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Brighthouse Financial,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much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-3910965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-3465195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-2882265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-2436495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-1990725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-584835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241"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220345</wp:posOffset>
            </wp:positionV>
            <wp:extent cx="5349240" cy="6969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69691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6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Notice of Annual Meeting of Stockholders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Notice of Annual Meeting of Stockholders</w:t>
      </w:r>
    </w:p>
    <w:p>
      <w:pPr>
        <w:spacing w:after="0" w:line="366" w:lineRule="exact"/>
        <w:rPr>
          <w:sz w:val="20"/>
          <w:szCs w:val="20"/>
          <w:color w:val="auto"/>
        </w:rPr>
      </w:pPr>
    </w:p>
    <w:p>
      <w:pPr>
        <w:ind w:left="120" w:right="3320"/>
        <w:spacing w:after="0" w:line="262" w:lineRule="auto"/>
        <w:rPr>
          <w:sz w:val="20"/>
          <w:szCs w:val="20"/>
          <w:color w:val="auto"/>
        </w:rPr>
      </w:pPr>
      <w:r>
        <w:rPr>
          <w:rFonts w:ascii="Arial" w:cs="Arial" w:eastAsia="Arial" w:hAnsi="Arial"/>
          <w:sz w:val="25"/>
          <w:szCs w:val="25"/>
          <w:color w:val="00ADBB"/>
        </w:rPr>
        <w:t>On behalf of the Board of Directors, I am honored to invite you to attend the 2021 Annual Meeting of Stockholders (the “</w:t>
      </w:r>
      <w:r>
        <w:rPr>
          <w:rFonts w:ascii="Arial" w:cs="Arial" w:eastAsia="Arial" w:hAnsi="Arial"/>
          <w:sz w:val="25"/>
          <w:szCs w:val="25"/>
          <w:b w:val="1"/>
          <w:bCs w:val="1"/>
          <w:color w:val="00ADBB"/>
        </w:rPr>
        <w:t>Annual Meeting</w:t>
      </w:r>
      <w:r>
        <w:rPr>
          <w:rFonts w:ascii="Arial" w:cs="Arial" w:eastAsia="Arial" w:hAnsi="Arial"/>
          <w:sz w:val="25"/>
          <w:szCs w:val="25"/>
          <w:color w:val="00ADBB"/>
        </w:rPr>
        <w:t>”) of Brighthouse Financial, Inc. (“</w:t>
      </w:r>
      <w:r>
        <w:rPr>
          <w:rFonts w:ascii="Arial" w:cs="Arial" w:eastAsia="Arial" w:hAnsi="Arial"/>
          <w:sz w:val="25"/>
          <w:szCs w:val="25"/>
          <w:b w:val="1"/>
          <w:bCs w:val="1"/>
          <w:color w:val="00ADBB"/>
        </w:rPr>
        <w:t>Brighthouse</w:t>
      </w:r>
      <w:r>
        <w:rPr>
          <w:rFonts w:ascii="Arial" w:cs="Arial" w:eastAsia="Arial" w:hAnsi="Arial"/>
          <w:sz w:val="25"/>
          <w:szCs w:val="25"/>
          <w:color w:val="00A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7003415"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685800"/>
                    </a:xfrm>
                    <a:prstGeom prst="rect">
                      <a:avLst/>
                    </a:prstGeom>
                    <a:noFill/>
                  </pic:spPr>
                </pic:pic>
              </a:graphicData>
            </a:graphic>
          </wp:anchor>
        </w:drawing>
      </w:r>
    </w:p>
    <w:p>
      <w:pPr>
        <w:spacing w:after="0" w:line="221" w:lineRule="exact"/>
        <w:rPr>
          <w:sz w:val="20"/>
          <w:szCs w:val="20"/>
          <w:color w:val="auto"/>
        </w:rPr>
      </w:pPr>
    </w:p>
    <w:p>
      <w:pPr>
        <w:ind w:left="280" w:right="540"/>
        <w:spacing w:after="0" w:line="244" w:lineRule="auto"/>
        <w:rPr>
          <w:sz w:val="20"/>
          <w:szCs w:val="20"/>
          <w:color w:val="auto"/>
        </w:rPr>
      </w:pPr>
      <w:r>
        <w:rPr>
          <w:rFonts w:ascii="Arial" w:cs="Arial" w:eastAsia="Arial" w:hAnsi="Arial"/>
          <w:sz w:val="18"/>
          <w:szCs w:val="18"/>
          <w:color w:val="4C4C4C"/>
        </w:rPr>
        <w:t>Brighthouse will hold its Annual Meeting solely by means of remote communication via the internet (a “</w:t>
      </w:r>
      <w:r>
        <w:rPr>
          <w:rFonts w:ascii="Arial" w:cs="Arial" w:eastAsia="Arial" w:hAnsi="Arial"/>
          <w:sz w:val="18"/>
          <w:szCs w:val="18"/>
          <w:b w:val="1"/>
          <w:bCs w:val="1"/>
          <w:color w:val="00ADBB"/>
        </w:rPr>
        <w:t>virtual meeting</w:t>
      </w:r>
      <w:r>
        <w:rPr>
          <w:rFonts w:ascii="Arial" w:cs="Arial" w:eastAsia="Arial" w:hAnsi="Arial"/>
          <w:sz w:val="18"/>
          <w:szCs w:val="18"/>
          <w:color w:val="4C4C4C"/>
        </w:rPr>
        <w:t>”). We are sensitive to our stockholders’ health concerns and restrictions on travel and gatherings, and therefore have determined that it is advisable to hold our Annual Meeting as a virtual meeting. All stockholders as of April 13, 2021 (the “</w:t>
      </w:r>
      <w:r>
        <w:rPr>
          <w:rFonts w:ascii="Arial" w:cs="Arial" w:eastAsia="Arial" w:hAnsi="Arial"/>
          <w:sz w:val="18"/>
          <w:szCs w:val="18"/>
          <w:b w:val="1"/>
          <w:bCs w:val="1"/>
          <w:color w:val="00ADBB"/>
        </w:rPr>
        <w:t>Record Date</w:t>
      </w:r>
      <w:r>
        <w:rPr>
          <w:rFonts w:ascii="Arial" w:cs="Arial" w:eastAsia="Arial" w:hAnsi="Arial"/>
          <w:sz w:val="18"/>
          <w:szCs w:val="18"/>
          <w:color w:val="4C4C4C"/>
        </w:rPr>
        <w:t>”) will be able to attend, vote, and participate in the meeting by remote communication. For additional information about participating in the Annual Meeting, see “</w:t>
      </w:r>
      <w:r>
        <w:rPr>
          <w:rFonts w:ascii="Arial" w:cs="Arial" w:eastAsia="Arial" w:hAnsi="Arial"/>
          <w:sz w:val="18"/>
          <w:szCs w:val="18"/>
          <w:color w:val="4CC5CF"/>
        </w:rPr>
        <w:t>Attending the Annual Meeting</w:t>
      </w:r>
      <w:r>
        <w:rPr>
          <w:rFonts w:ascii="Arial" w:cs="Arial" w:eastAsia="Arial" w:hAnsi="Arial"/>
          <w:sz w:val="18"/>
          <w:szCs w:val="18"/>
          <w:color w:val="4C4C4C"/>
        </w:rPr>
        <w:t>” in the accompanying Proxy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Date and Time</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Thursday, June 10, 2021 at 8:00 a.m., Eastern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Meeting Website</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4C4C4C"/>
        </w:rPr>
        <w:t>www.virtualshareholdermeeting.com/BHF2021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Agenda</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At the Annual Meeting, stockholders will consider and vote on the following matters:</w:t>
      </w:r>
    </w:p>
    <w:p>
      <w:pPr>
        <w:spacing w:after="0" w:line="113" w:lineRule="exact"/>
        <w:rPr>
          <w:sz w:val="20"/>
          <w:szCs w:val="20"/>
          <w:color w:val="auto"/>
        </w:rPr>
      </w:pPr>
    </w:p>
    <w:p>
      <w:pPr>
        <w:ind w:left="660" w:hanging="220"/>
        <w:spacing w:after="0"/>
        <w:tabs>
          <w:tab w:leader="none" w:pos="660" w:val="left"/>
        </w:tabs>
        <w:numPr>
          <w:ilvl w:val="0"/>
          <w:numId w:val="7"/>
        </w:numPr>
        <w:rPr>
          <w:rFonts w:ascii="Arial" w:cs="Arial" w:eastAsia="Arial" w:hAnsi="Arial"/>
          <w:sz w:val="18"/>
          <w:szCs w:val="18"/>
          <w:color w:val="4C4C4C"/>
        </w:rPr>
      </w:pPr>
      <w:r>
        <w:rPr>
          <w:rFonts w:ascii="Arial" w:cs="Arial" w:eastAsia="Arial" w:hAnsi="Arial"/>
          <w:sz w:val="18"/>
          <w:szCs w:val="18"/>
          <w:color w:val="4C4C4C"/>
        </w:rPr>
        <w:t>Proposal 1: Election of eight (8) Directors to serve a one-year term ending at the 2022 Annual Meeting of Stockholders;</w:t>
      </w:r>
    </w:p>
    <w:p>
      <w:pPr>
        <w:ind w:left="660" w:right="360" w:hanging="220"/>
        <w:spacing w:after="0" w:line="234" w:lineRule="auto"/>
        <w:tabs>
          <w:tab w:leader="none" w:pos="660" w:val="left"/>
        </w:tabs>
        <w:numPr>
          <w:ilvl w:val="0"/>
          <w:numId w:val="7"/>
        </w:numPr>
        <w:rPr>
          <w:rFonts w:ascii="Arial" w:cs="Arial" w:eastAsia="Arial" w:hAnsi="Arial"/>
          <w:sz w:val="18"/>
          <w:szCs w:val="18"/>
          <w:color w:val="4C4C4C"/>
        </w:rPr>
      </w:pPr>
      <w:r>
        <w:rPr>
          <w:rFonts w:ascii="Arial" w:cs="Arial" w:eastAsia="Arial" w:hAnsi="Arial"/>
          <w:sz w:val="18"/>
          <w:szCs w:val="18"/>
          <w:color w:val="4C4C4C"/>
        </w:rPr>
        <w:t>Proposal 2: Ratification of the appointment of Deloitte &amp; Touche LLP as Brighthouse’s independent registered public accounting firm for fiscal year 2021;</w:t>
      </w:r>
    </w:p>
    <w:p>
      <w:pPr>
        <w:spacing w:after="0" w:line="1" w:lineRule="exact"/>
        <w:rPr>
          <w:rFonts w:ascii="Arial" w:cs="Arial" w:eastAsia="Arial" w:hAnsi="Arial"/>
          <w:sz w:val="18"/>
          <w:szCs w:val="18"/>
          <w:color w:val="4C4C4C"/>
        </w:rPr>
      </w:pPr>
    </w:p>
    <w:p>
      <w:pPr>
        <w:ind w:left="660" w:hanging="220"/>
        <w:spacing w:after="0" w:line="234" w:lineRule="auto"/>
        <w:tabs>
          <w:tab w:leader="none" w:pos="660" w:val="left"/>
        </w:tabs>
        <w:numPr>
          <w:ilvl w:val="0"/>
          <w:numId w:val="7"/>
        </w:numPr>
        <w:rPr>
          <w:rFonts w:ascii="Arial" w:cs="Arial" w:eastAsia="Arial" w:hAnsi="Arial"/>
          <w:sz w:val="18"/>
          <w:szCs w:val="18"/>
          <w:color w:val="4C4C4C"/>
        </w:rPr>
      </w:pPr>
      <w:r>
        <w:rPr>
          <w:rFonts w:ascii="Arial" w:cs="Arial" w:eastAsia="Arial" w:hAnsi="Arial"/>
          <w:sz w:val="18"/>
          <w:szCs w:val="18"/>
          <w:color w:val="4C4C4C"/>
        </w:rPr>
        <w:t>Proposal 3: Advisory vote to approve the compensation paid to Brighthouse’s Named Executive Officers; and</w:t>
      </w:r>
    </w:p>
    <w:p>
      <w:pPr>
        <w:ind w:left="660" w:hanging="220"/>
        <w:spacing w:after="0"/>
        <w:tabs>
          <w:tab w:leader="none" w:pos="660" w:val="left"/>
        </w:tabs>
        <w:numPr>
          <w:ilvl w:val="0"/>
          <w:numId w:val="7"/>
        </w:numPr>
        <w:rPr>
          <w:rFonts w:ascii="Arial" w:cs="Arial" w:eastAsia="Arial" w:hAnsi="Arial"/>
          <w:sz w:val="18"/>
          <w:szCs w:val="18"/>
          <w:color w:val="4C4C4C"/>
        </w:rPr>
      </w:pPr>
      <w:r>
        <w:rPr>
          <w:rFonts w:ascii="Arial" w:cs="Arial" w:eastAsia="Arial" w:hAnsi="Arial"/>
          <w:sz w:val="18"/>
          <w:szCs w:val="18"/>
          <w:color w:val="4C4C4C"/>
        </w:rPr>
        <w:t>Any such other business as may properly come before the Annual Meeting or any adjournment or postponement thereof.</w:t>
      </w:r>
    </w:p>
    <w:p>
      <w:pPr>
        <w:spacing w:after="0" w:line="82" w:lineRule="exact"/>
        <w:rPr>
          <w:sz w:val="20"/>
          <w:szCs w:val="20"/>
          <w:color w:val="auto"/>
        </w:rPr>
      </w:pPr>
    </w:p>
    <w:p>
      <w:pPr>
        <w:ind w:left="120" w:right="720"/>
        <w:spacing w:after="0" w:line="253" w:lineRule="auto"/>
        <w:rPr>
          <w:sz w:val="20"/>
          <w:szCs w:val="20"/>
          <w:color w:val="auto"/>
        </w:rPr>
      </w:pPr>
      <w:r>
        <w:rPr>
          <w:rFonts w:ascii="Arial" w:cs="Arial" w:eastAsia="Arial" w:hAnsi="Arial"/>
          <w:sz w:val="18"/>
          <w:szCs w:val="18"/>
          <w:color w:val="4C4C4C"/>
        </w:rPr>
        <w:t>Our Board of Directors recommends that you vote “</w:t>
      </w:r>
      <w:r>
        <w:rPr>
          <w:rFonts w:ascii="Arial" w:cs="Arial" w:eastAsia="Arial" w:hAnsi="Arial"/>
          <w:sz w:val="18"/>
          <w:szCs w:val="18"/>
          <w:b w:val="1"/>
          <w:bCs w:val="1"/>
          <w:color w:val="00ADBB"/>
        </w:rPr>
        <w:t>FOR</w:t>
      </w:r>
      <w:r>
        <w:rPr>
          <w:rFonts w:ascii="Arial" w:cs="Arial" w:eastAsia="Arial" w:hAnsi="Arial"/>
          <w:sz w:val="18"/>
          <w:szCs w:val="18"/>
          <w:color w:val="4C4C4C"/>
        </w:rPr>
        <w:t>” the election of each of the nominees named in Proposal 1 and “</w:t>
      </w:r>
      <w:r>
        <w:rPr>
          <w:rFonts w:ascii="Arial" w:cs="Arial" w:eastAsia="Arial" w:hAnsi="Arial"/>
          <w:sz w:val="18"/>
          <w:szCs w:val="18"/>
          <w:b w:val="1"/>
          <w:bCs w:val="1"/>
          <w:color w:val="00ADBB"/>
        </w:rPr>
        <w:t>FOR</w:t>
      </w:r>
      <w:r>
        <w:rPr>
          <w:rFonts w:ascii="Arial" w:cs="Arial" w:eastAsia="Arial" w:hAnsi="Arial"/>
          <w:sz w:val="18"/>
          <w:szCs w:val="18"/>
          <w:color w:val="4C4C4C"/>
        </w:rPr>
        <w:t>” Proposals 2 and 3. Information about the matters to be acted upon at the Annual Meeting is contained in the accompanying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Voting Your Shares</w:t>
      </w:r>
    </w:p>
    <w:p>
      <w:pPr>
        <w:spacing w:after="0" w:line="10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4C4C4C"/>
        </w:rPr>
        <w:t>Stockholders of record who hold shares of Brighthouse common stock, par value $0.01 per share (“</w:t>
      </w:r>
      <w:r>
        <w:rPr>
          <w:rFonts w:ascii="Arial" w:cs="Arial" w:eastAsia="Arial" w:hAnsi="Arial"/>
          <w:sz w:val="18"/>
          <w:szCs w:val="18"/>
          <w:b w:val="1"/>
          <w:bCs w:val="1"/>
          <w:color w:val="00ADBB"/>
        </w:rPr>
        <w:t>Shares</w:t>
      </w:r>
      <w:r>
        <w:rPr>
          <w:rFonts w:ascii="Arial" w:cs="Arial" w:eastAsia="Arial" w:hAnsi="Arial"/>
          <w:sz w:val="18"/>
          <w:szCs w:val="18"/>
          <w:color w:val="4C4C4C"/>
        </w:rPr>
        <w:t>”), as of the close of business on the Record Date are entitled to vote at the Annual Meeting.</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You may submit a proxy to vote your Shares in advance of the Annual Meeting by any of the following means:</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4C4C4C"/>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997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720" cy="265430"/>
                    </a:xfrm>
                    <a:prstGeom prst="rect">
                      <a:avLst/>
                    </a:prstGeom>
                    <a:noFill/>
                  </pic:spPr>
                </pic:pic>
              </a:graphicData>
            </a:graphic>
          </wp:anchor>
        </w:drawing>
      </w:r>
    </w:p>
    <w:p>
      <w:pPr>
        <w:ind w:left="800" w:right="600"/>
        <w:spacing w:after="0" w:line="246" w:lineRule="auto"/>
        <w:rPr>
          <w:sz w:val="20"/>
          <w:szCs w:val="20"/>
          <w:color w:val="auto"/>
        </w:rPr>
      </w:pPr>
      <w:r>
        <w:rPr>
          <w:rFonts w:ascii="Arial" w:cs="Arial" w:eastAsia="Arial" w:hAnsi="Arial"/>
          <w:sz w:val="18"/>
          <w:szCs w:val="18"/>
          <w:color w:val="4C4C4C"/>
        </w:rPr>
        <w:t xml:space="preserve">Please log on to </w:t>
      </w:r>
      <w:r>
        <w:rPr>
          <w:rFonts w:ascii="Arial" w:cs="Arial" w:eastAsia="Arial" w:hAnsi="Arial"/>
          <w:sz w:val="18"/>
          <w:szCs w:val="18"/>
          <w:u w:val="single" w:color="auto"/>
          <w:color w:val="4C4C4C"/>
        </w:rPr>
        <w:t>www.proxyvote.com</w:t>
      </w:r>
      <w:r>
        <w:rPr>
          <w:rFonts w:ascii="Arial" w:cs="Arial" w:eastAsia="Arial" w:hAnsi="Arial"/>
          <w:sz w:val="18"/>
          <w:szCs w:val="18"/>
          <w:color w:val="4C4C4C"/>
        </w:rPr>
        <w:t xml:space="preserve"> and submit a proxy to vote your Shares by 11:59 p.m., Eastern Time, on Wednesday, June 9, 2021.</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Notice of Annual Meeting of Stockholders</w:t>
      </w:r>
      <w:r>
        <w:rPr>
          <w:sz w:val="20"/>
          <w:szCs w:val="20"/>
          <w:color w:val="auto"/>
        </w:rPr>
        <w:tab/>
      </w:r>
      <w:r>
        <w:rPr>
          <w:rFonts w:ascii="Arial" w:cs="Arial" w:eastAsia="Arial" w:hAnsi="Arial"/>
          <w:sz w:val="12"/>
          <w:szCs w:val="12"/>
          <w:b w:val="1"/>
          <w:bCs w:val="1"/>
          <w:color w:val="00ADBB"/>
        </w:rPr>
        <w:t>Brighthouse Financial, Inc.</w:t>
      </w:r>
    </w:p>
    <w:p>
      <w:pPr>
        <w:spacing w:after="0" w:line="37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4C4C4C"/>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2997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8"/>
          <w:szCs w:val="18"/>
          <w:color w:val="4C4C4C"/>
        </w:rPr>
        <w:t>Please call 1-800-690-6903 until 11:59 p.m., Eastern Time, on Wednesday, June 9, 2021.</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4C4C4C"/>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31686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6865" cy="214630"/>
                    </a:xfrm>
                    <a:prstGeom prst="rect">
                      <a:avLst/>
                    </a:prstGeom>
                    <a:noFill/>
                  </pic:spPr>
                </pic:pic>
              </a:graphicData>
            </a:graphic>
          </wp:anchor>
        </w:drawing>
      </w:r>
    </w:p>
    <w:p>
      <w:pPr>
        <w:ind w:left="1120" w:right="60"/>
        <w:spacing w:after="0" w:line="246" w:lineRule="auto"/>
        <w:rPr>
          <w:sz w:val="20"/>
          <w:szCs w:val="20"/>
          <w:color w:val="auto"/>
        </w:rPr>
      </w:pPr>
      <w:r>
        <w:rPr>
          <w:rFonts w:ascii="Arial" w:cs="Arial" w:eastAsia="Arial" w:hAnsi="Arial"/>
          <w:sz w:val="18"/>
          <w:szCs w:val="18"/>
          <w:color w:val="4C4C4C"/>
        </w:rPr>
        <w:t>If you received printed copies of the proxy materials, please complete, sign, date, and return your proxy card by mail so that it is received by Brighthouse, c/o Broadridge Financial Solutions, Inc., prior to the Annual Meeting.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You may also attend and vote at the Annual Meeting.</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4C4C4C"/>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248285"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8"/>
          <w:szCs w:val="18"/>
          <w:color w:val="4C4C4C"/>
        </w:rPr>
        <w:t xml:space="preserve">You may attend the Annual Meeting and cast your vote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21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4C4C4C"/>
        </w:rPr>
        <w:t>Beneficial owners whose Shares are held at a brokerage firm, or by a bank or other nominee, should follow the voting instructions that they received from the nominee (see information in the Proxy Statement under “</w:t>
      </w:r>
      <w:r>
        <w:rPr>
          <w:rFonts w:ascii="Arial" w:cs="Arial" w:eastAsia="Arial" w:hAnsi="Arial"/>
          <w:sz w:val="18"/>
          <w:szCs w:val="18"/>
          <w:color w:val="4CC5CF"/>
        </w:rPr>
        <w:t>Beneficial Owners or Holders in Street Name</w:t>
      </w:r>
      <w:r>
        <w:rPr>
          <w:rFonts w:ascii="Arial" w:cs="Arial" w:eastAsia="Arial" w:hAnsi="Arial"/>
          <w:sz w:val="18"/>
          <w:szCs w:val="18"/>
          <w:color w:val="4C4C4C"/>
        </w:rPr>
        <w:t>”). Participants in retirement and savings plans should refer to the voting instructions in the Proxy Statement under “</w:t>
      </w:r>
      <w:r>
        <w:rPr>
          <w:rFonts w:ascii="Arial" w:cs="Arial" w:eastAsia="Arial" w:hAnsi="Arial"/>
          <w:sz w:val="18"/>
          <w:szCs w:val="18"/>
          <w:color w:val="4CC5CF"/>
        </w:rPr>
        <w:t>Voting by Participants in</w:t>
      </w:r>
      <w:r>
        <w:rPr>
          <w:rFonts w:ascii="Arial" w:cs="Arial" w:eastAsia="Arial" w:hAnsi="Arial"/>
          <w:sz w:val="18"/>
          <w:szCs w:val="18"/>
          <w:color w:val="4C4C4C"/>
        </w:rPr>
        <w:t xml:space="preserve"> </w:t>
      </w:r>
      <w:r>
        <w:rPr>
          <w:rFonts w:ascii="Arial" w:cs="Arial" w:eastAsia="Arial" w:hAnsi="Arial"/>
          <w:sz w:val="18"/>
          <w:szCs w:val="18"/>
          <w:color w:val="4CC5CF"/>
        </w:rPr>
        <w:t>Retirement Plans</w:t>
      </w:r>
      <w:r>
        <w:rPr>
          <w:rFonts w:ascii="Arial" w:cs="Arial" w:eastAsia="Arial" w:hAnsi="Arial"/>
          <w:sz w:val="18"/>
          <w:szCs w:val="18"/>
          <w:color w:val="4C4C4C"/>
        </w:rPr>
        <w:t>.”</w:t>
      </w:r>
    </w:p>
    <w:p>
      <w:pPr>
        <w:spacing w:after="0" w:line="97"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4C4C4C"/>
        </w:rPr>
        <w:t xml:space="preserve">During the Annual Meeting, any stockholder attending the Annual Meeting may access a list of the stockholders entitled to vote at the Annual Meeting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 xml:space="preserve"> by following the instructions contained in the Proxy Statement.</w:t>
      </w:r>
    </w:p>
    <w:p>
      <w:pPr>
        <w:spacing w:after="0" w:line="89" w:lineRule="exact"/>
        <w:rPr>
          <w:sz w:val="20"/>
          <w:szCs w:val="20"/>
          <w:color w:val="auto"/>
        </w:rPr>
      </w:pPr>
    </w:p>
    <w:p>
      <w:pPr>
        <w:ind w:left="120" w:right="160"/>
        <w:spacing w:after="0"/>
        <w:rPr>
          <w:sz w:val="20"/>
          <w:szCs w:val="20"/>
          <w:color w:val="auto"/>
        </w:rPr>
      </w:pPr>
      <w:r>
        <w:rPr>
          <w:rFonts w:ascii="Arial" w:cs="Arial" w:eastAsia="Arial" w:hAnsi="Arial"/>
          <w:sz w:val="18"/>
          <w:szCs w:val="18"/>
          <w:color w:val="4C4C4C"/>
        </w:rPr>
        <w:t>This notice is being delivered to the holders of Shares as of the close of business on April 13, 2021, the record date fixed by the Board of Directors for the purposes of determining the Brighthouse stockholders entitled to receive notice of, and to vote at, the Annual Meeting, and constitutes notice of the Annual Meeting under Delaware law.</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1654175" cy="55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417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D. Burt Arrington</w:t>
      </w:r>
    </w:p>
    <w:p>
      <w:pPr>
        <w:ind w:left="120"/>
        <w:spacing w:after="0" w:line="234" w:lineRule="auto"/>
        <w:rPr>
          <w:sz w:val="20"/>
          <w:szCs w:val="20"/>
          <w:color w:val="auto"/>
        </w:rPr>
      </w:pPr>
      <w:r>
        <w:rPr>
          <w:rFonts w:ascii="Arial" w:cs="Arial" w:eastAsia="Arial" w:hAnsi="Arial"/>
          <w:sz w:val="18"/>
          <w:szCs w:val="18"/>
          <w:color w:val="4C4C4C"/>
        </w:rPr>
        <w:t>Corporate Secretary</w:t>
      </w:r>
    </w:p>
    <w:p>
      <w:pPr>
        <w:ind w:left="120"/>
        <w:spacing w:after="0" w:line="235" w:lineRule="auto"/>
        <w:rPr>
          <w:sz w:val="20"/>
          <w:szCs w:val="20"/>
          <w:color w:val="auto"/>
        </w:rPr>
      </w:pPr>
      <w:r>
        <w:rPr>
          <w:rFonts w:ascii="Arial" w:cs="Arial" w:eastAsia="Arial" w:hAnsi="Arial"/>
          <w:sz w:val="18"/>
          <w:szCs w:val="18"/>
          <w:color w:val="4C4C4C"/>
        </w:rPr>
        <w:t>Charlotte, North Carolina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April 28, 2021</w:t>
      </w:r>
    </w:p>
    <w:p>
      <w:pPr>
        <w:spacing w:after="0" w:line="82"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b w:val="1"/>
          <w:bCs w:val="1"/>
          <w:color w:val="4C4C4C"/>
        </w:rPr>
        <w:t>Important Notice Regarding the Availability of Proxy Materials for the Annual Meeting of Stockholders to be Held on June 10, 2021</w:t>
      </w:r>
    </w:p>
    <w:p>
      <w:pPr>
        <w:spacing w:after="0" w:line="1"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4C4C4C"/>
        </w:rPr>
        <w:t xml:space="preserve">The accompanying Proxy Statement, our 2020 Annual Report to Stockholders, and additional information about our Annual Meeting are available at </w:t>
      </w:r>
      <w:r>
        <w:rPr>
          <w:rFonts w:ascii="Arial" w:cs="Arial" w:eastAsia="Arial" w:hAnsi="Arial"/>
          <w:sz w:val="18"/>
          <w:szCs w:val="18"/>
          <w:u w:val="single" w:color="auto"/>
          <w:color w:val="4C4C4C"/>
        </w:rPr>
        <w:t>investor.brighthousefinancial.com</w:t>
      </w:r>
      <w:r>
        <w:rPr>
          <w:rFonts w:ascii="Arial" w:cs="Arial" w:eastAsia="Arial" w:hAnsi="Arial"/>
          <w:sz w:val="18"/>
          <w:szCs w:val="18"/>
          <w:color w:val="4C4C4C"/>
        </w:rPr>
        <w:t xml:space="preserve"> by selecting the appropriate link under “</w:t>
      </w:r>
      <w:r>
        <w:rPr>
          <w:rFonts w:ascii="Arial" w:cs="Arial" w:eastAsia="Arial" w:hAnsi="Arial"/>
          <w:sz w:val="18"/>
          <w:szCs w:val="18"/>
          <w:b w:val="1"/>
          <w:bCs w:val="1"/>
          <w:color w:val="00ADBB"/>
        </w:rPr>
        <w:t>Financial Information</w:t>
      </w:r>
      <w:r>
        <w:rPr>
          <w:rFonts w:ascii="Arial" w:cs="Arial" w:eastAsia="Arial" w:hAnsi="Arial"/>
          <w:sz w:val="18"/>
          <w:szCs w:val="18"/>
          <w:color w:val="4C4C4C"/>
        </w:rPr>
        <w:t>” or “</w:t>
      </w:r>
      <w:r>
        <w:rPr>
          <w:rFonts w:ascii="Arial" w:cs="Arial" w:eastAsia="Arial" w:hAnsi="Arial"/>
          <w:sz w:val="18"/>
          <w:szCs w:val="18"/>
          <w:b w:val="1"/>
          <w:bCs w:val="1"/>
          <w:color w:val="00ADBB"/>
        </w:rPr>
        <w:t>News &amp; Events</w:t>
      </w:r>
      <w:r>
        <w:rPr>
          <w:rFonts w:ascii="Arial" w:cs="Arial" w:eastAsia="Arial" w:hAnsi="Arial"/>
          <w:sz w:val="18"/>
          <w:szCs w:val="18"/>
          <w:color w:val="4C4C4C"/>
        </w:rPr>
        <w: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ii | 2021 Proxy Statement</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8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Chairman’s Letter to Our Stockholders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3FC1CC"/>
        </w:rPr>
        <w:t>Chairman’s Letter to Our Stockholders</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5"/>
          <w:szCs w:val="25"/>
          <w:color w:val="00ADBB"/>
        </w:rPr>
        <w:t>Dear Fellow Stockholders:</w:t>
      </w:r>
    </w:p>
    <w:p>
      <w:pPr>
        <w:spacing w:after="0" w:line="134" w:lineRule="exact"/>
        <w:rPr>
          <w:sz w:val="20"/>
          <w:szCs w:val="20"/>
          <w:color w:val="auto"/>
        </w:rPr>
      </w:pPr>
    </w:p>
    <w:p>
      <w:pPr>
        <w:ind w:left="120" w:right="60"/>
        <w:spacing w:after="0"/>
        <w:rPr>
          <w:sz w:val="20"/>
          <w:szCs w:val="20"/>
          <w:color w:val="auto"/>
        </w:rPr>
      </w:pPr>
      <w:r>
        <w:rPr>
          <w:rFonts w:ascii="Arial" w:cs="Arial" w:eastAsia="Arial" w:hAnsi="Arial"/>
          <w:sz w:val="18"/>
          <w:szCs w:val="18"/>
          <w:color w:val="4C4C4C"/>
        </w:rPr>
        <w:t>On behalf of the Board of Directors, thank you for choosing to invest in Brighthouse Financial, Inc. (the “</w:t>
      </w:r>
      <w:r>
        <w:rPr>
          <w:rFonts w:ascii="Arial" w:cs="Arial" w:eastAsia="Arial" w:hAnsi="Arial"/>
          <w:sz w:val="18"/>
          <w:szCs w:val="18"/>
          <w:color w:val="4CC5CF"/>
        </w:rPr>
        <w:t>Company</w:t>
      </w:r>
      <w:r>
        <w:rPr>
          <w:rFonts w:ascii="Arial" w:cs="Arial" w:eastAsia="Arial" w:hAnsi="Arial"/>
          <w:sz w:val="18"/>
          <w:szCs w:val="18"/>
          <w:color w:val="4C4C4C"/>
        </w:rPr>
        <w:t>” or “</w:t>
      </w:r>
      <w:r>
        <w:rPr>
          <w:rFonts w:ascii="Arial" w:cs="Arial" w:eastAsia="Arial" w:hAnsi="Arial"/>
          <w:sz w:val="18"/>
          <w:szCs w:val="18"/>
          <w:color w:val="4CC5CF"/>
        </w:rPr>
        <w:t>Brighthouse</w:t>
      </w:r>
      <w:r>
        <w:rPr>
          <w:rFonts w:ascii="Arial" w:cs="Arial" w:eastAsia="Arial" w:hAnsi="Arial"/>
          <w:sz w:val="18"/>
          <w:szCs w:val="18"/>
          <w:color w:val="4C4C4C"/>
        </w:rPr>
        <w:t>”). 2020 was a challenging year in many ways, and I am proud of how Brighthouse rose to meet those challenges, supporting our employees, customers, financial professionals, partners, and communities in these difficult times.</w:t>
      </w:r>
    </w:p>
    <w:p>
      <w:pPr>
        <w:spacing w:after="0" w:line="9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4C4C4C"/>
        </w:rPr>
        <w:t>Our Board remains focused on its work to oversee the Company on your behalf. As the COVID-19 pandemic hit, the Board shifted all of its meetings to a virtual format, enabling the Board to remain connected with each other and management. To enhance the Board’s oversight during the pandemic, we increased the frequency of our formal and informal communications with management, a practice that helped the Board stay apprised of management’s thinking and decisions during an especially dynamic time. Not surprisingly, a key focus was our oversight of Brighthouse’s response to the pandemic. I am proud of the actions that the Company has taken to maintain strong business continuity while prioritizing the health and safety of our employees and their families. The Board believes that Brighthouse remains well positioned to navigate the current environment and that management is focused and able to continue to execute the Company’s strategy and deliver on its mission.</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4C4C4C"/>
        </w:rPr>
        <w:t>I am also proud of Brighthouse’s strong performance in 2020, despite the significant challenges. Among the Company’s accomplishments, it delivered strong sales growth, continued to enhance its product portfolio and expand its distribution network, repurchased more of its common stock, and completed the revision of its hedging strategy, which significantly reduced Brighthouse’s risk profile. Additional highlights of the Company’s performance can be found in the accompanying Proxy Statement.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Now, I would like to share with you some highlights of the Board’s work during the past year and our priorities for 2021:</w:t>
      </w:r>
    </w:p>
    <w:p>
      <w:pPr>
        <w:spacing w:after="0" w:line="82" w:lineRule="exact"/>
        <w:rPr>
          <w:sz w:val="20"/>
          <w:szCs w:val="20"/>
          <w:color w:val="auto"/>
        </w:rPr>
      </w:pPr>
    </w:p>
    <w:p>
      <w:pPr>
        <w:ind w:left="120" w:right="300"/>
        <w:spacing w:after="0" w:line="266" w:lineRule="auto"/>
        <w:rPr>
          <w:sz w:val="20"/>
          <w:szCs w:val="20"/>
          <w:color w:val="auto"/>
        </w:rPr>
      </w:pPr>
      <w:r>
        <w:rPr>
          <w:rFonts w:ascii="Arial" w:cs="Arial" w:eastAsia="Arial" w:hAnsi="Arial"/>
          <w:sz w:val="17"/>
          <w:szCs w:val="17"/>
          <w:b w:val="1"/>
          <w:bCs w:val="1"/>
          <w:color w:val="00ADBB"/>
        </w:rPr>
        <w:t>Strategy and Risk Management Oversight</w:t>
      </w:r>
      <w:r>
        <w:rPr>
          <w:rFonts w:ascii="Arial" w:cs="Arial" w:eastAsia="Arial" w:hAnsi="Arial"/>
          <w:sz w:val="17"/>
          <w:szCs w:val="17"/>
          <w:b w:val="1"/>
          <w:bCs w:val="1"/>
          <w:color w:val="3F3F3F"/>
        </w:rPr>
        <w:t>.</w:t>
      </w:r>
      <w:r>
        <w:rPr>
          <w:rFonts w:ascii="Arial" w:cs="Arial" w:eastAsia="Arial" w:hAnsi="Arial"/>
          <w:sz w:val="17"/>
          <w:szCs w:val="17"/>
          <w:b w:val="1"/>
          <w:bCs w:val="1"/>
          <w:color w:val="00ADBB"/>
        </w:rPr>
        <w:t xml:space="preserve"> </w:t>
      </w:r>
      <w:r>
        <w:rPr>
          <w:rFonts w:ascii="Arial" w:cs="Arial" w:eastAsia="Arial" w:hAnsi="Arial"/>
          <w:sz w:val="17"/>
          <w:szCs w:val="17"/>
          <w:color w:val="4C4C4C"/>
        </w:rPr>
        <w:t>Throughout 2020, the Board engaged in constructive dialogue with management on</w:t>
      </w:r>
      <w:r>
        <w:rPr>
          <w:rFonts w:ascii="Arial" w:cs="Arial" w:eastAsia="Arial" w:hAnsi="Arial"/>
          <w:sz w:val="17"/>
          <w:szCs w:val="17"/>
          <w:b w:val="1"/>
          <w:bCs w:val="1"/>
          <w:color w:val="00ADBB"/>
        </w:rPr>
        <w:t xml:space="preserve"> </w:t>
      </w:r>
      <w:r>
        <w:rPr>
          <w:rFonts w:ascii="Arial" w:cs="Arial" w:eastAsia="Arial" w:hAnsi="Arial"/>
          <w:sz w:val="17"/>
          <w:szCs w:val="17"/>
          <w:color w:val="4C4C4C"/>
        </w:rPr>
        <w:t>management’s strategy to deliver sustainable, long-term value for our stockholders. Topics included the Company’s product, sales, and marketing strategy and plans; human capital management strategy and culture; sustainability program; Diversity, Equity, and Inclusion (“</w:t>
      </w:r>
      <w:r>
        <w:rPr>
          <w:rFonts w:ascii="Arial" w:cs="Arial" w:eastAsia="Arial" w:hAnsi="Arial"/>
          <w:sz w:val="17"/>
          <w:szCs w:val="17"/>
          <w:color w:val="4CC5CF"/>
        </w:rPr>
        <w:t>DE&amp;I</w:t>
      </w:r>
      <w:r>
        <w:rPr>
          <w:rFonts w:ascii="Arial" w:cs="Arial" w:eastAsia="Arial" w:hAnsi="Arial"/>
          <w:sz w:val="17"/>
          <w:szCs w:val="17"/>
          <w:color w:val="4C4C4C"/>
        </w:rPr>
        <w:t>”) strategy and initiatives; investment strategy; and financial plan, including capital return and other financial drivers and goals.</w:t>
      </w:r>
    </w:p>
    <w:p>
      <w:pPr>
        <w:spacing w:after="0" w:line="73"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4C4C4C"/>
        </w:rPr>
        <w:t>The Board and its committees also continue to focus on the Company’s risk profile and oversight of risk management. As the COVID-19 situation evolves, the Board and its committees remain actively engaged in overseeing business, operational, and financial risks associated with the impact of the pandemic. We also continue to regularly review the Company’s progress toward implementing its future state operations and technology platform, as well as its management of information technology and cybersecurity risk. In addition, we have engaged with management on key emerging risks, including climate change, asset prices, and major political or regulatory changes.</w:t>
      </w:r>
    </w:p>
    <w:p>
      <w:pPr>
        <w:spacing w:after="0" w:line="60"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00ADBB"/>
        </w:rPr>
        <w:t>Sustainability</w:t>
      </w:r>
      <w:r>
        <w:rPr>
          <w:rFonts w:ascii="Arial" w:cs="Arial" w:eastAsia="Arial" w:hAnsi="Arial"/>
          <w:sz w:val="18"/>
          <w:szCs w:val="18"/>
          <w:b w:val="1"/>
          <w:bCs w:val="1"/>
          <w:color w:val="3F3F3F"/>
        </w:rPr>
        <w:t>.</w:t>
      </w:r>
      <w:r>
        <w:rPr>
          <w:rFonts w:ascii="Arial" w:cs="Arial" w:eastAsia="Arial" w:hAnsi="Arial"/>
          <w:sz w:val="18"/>
          <w:szCs w:val="18"/>
          <w:b w:val="1"/>
          <w:bCs w:val="1"/>
          <w:color w:val="00ADBB"/>
        </w:rPr>
        <w:t xml:space="preserve"> </w:t>
      </w:r>
      <w:r>
        <w:rPr>
          <w:rFonts w:ascii="Arial" w:cs="Arial" w:eastAsia="Arial" w:hAnsi="Arial"/>
          <w:sz w:val="18"/>
          <w:szCs w:val="18"/>
          <w:color w:val="4C4C4C"/>
        </w:rPr>
        <w:t>The Board continues to focus on Brighthouse’s sustainability program and advancement of its environmental, social, and</w:t>
      </w:r>
      <w:r>
        <w:rPr>
          <w:rFonts w:ascii="Arial" w:cs="Arial" w:eastAsia="Arial" w:hAnsi="Arial"/>
          <w:sz w:val="18"/>
          <w:szCs w:val="18"/>
          <w:b w:val="1"/>
          <w:bCs w:val="1"/>
          <w:color w:val="00ADBB"/>
        </w:rPr>
        <w:t xml:space="preserve"> </w:t>
      </w:r>
      <w:r>
        <w:rPr>
          <w:rFonts w:ascii="Arial" w:cs="Arial" w:eastAsia="Arial" w:hAnsi="Arial"/>
          <w:sz w:val="18"/>
          <w:szCs w:val="18"/>
          <w:color w:val="4C4C4C"/>
        </w:rPr>
        <w:t>governance (“</w:t>
      </w:r>
      <w:r>
        <w:rPr>
          <w:rFonts w:ascii="Arial" w:cs="Arial" w:eastAsia="Arial" w:hAnsi="Arial"/>
          <w:sz w:val="18"/>
          <w:szCs w:val="18"/>
          <w:color w:val="4CC5CF"/>
        </w:rPr>
        <w:t>ESG</w:t>
      </w:r>
      <w:r>
        <w:rPr>
          <w:rFonts w:ascii="Arial" w:cs="Arial" w:eastAsia="Arial" w:hAnsi="Arial"/>
          <w:sz w:val="18"/>
          <w:szCs w:val="18"/>
          <w:color w:val="4C4C4C"/>
        </w:rPr>
        <w:t>”) priorities. Brighthouse has made and continues to make significant progress in this area, including the recent launch of a webpage on its corporate website dedicated to the Company’s sustainability journey. The Board is proud of this important step, which constitutes comprehensive disclosure of Brighthouse’s practices and priorities in these areas. The webpage addresses a broad range of topics, including our Board and workforce diversity, our support for employees and communities during the pandemic, our actions to help protect the environment, and our incorporation of ESG factors into our investment decisions. I would like to thank our stockholders for their valuable feedback, which has helped guide these new disclosures. As Brighthouse’s sustainability journey continues, the Board is committed to overseeing the Company’s ongoing progress in this critical area.</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iii</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Chairman’s Letter to Our Stockholders</w:t>
      </w:r>
      <w:r>
        <w:rPr>
          <w:sz w:val="20"/>
          <w:szCs w:val="20"/>
          <w:color w:val="auto"/>
        </w:rPr>
        <w:tab/>
      </w:r>
      <w:r>
        <w:rPr>
          <w:rFonts w:ascii="Arial" w:cs="Arial" w:eastAsia="Arial" w:hAnsi="Arial"/>
          <w:sz w:val="12"/>
          <w:szCs w:val="12"/>
          <w:b w:val="1"/>
          <w:bCs w:val="1"/>
          <w:color w:val="00ADBB"/>
        </w:rPr>
        <w:t>Brighthouse Financial, Inc.</w:t>
      </w:r>
    </w:p>
    <w:p>
      <w:pPr>
        <w:spacing w:after="0" w:line="22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00ADBB"/>
        </w:rPr>
        <w:t>Diversity, Equity, and Inclusion</w:t>
      </w:r>
      <w:r>
        <w:rPr>
          <w:rFonts w:ascii="Arial" w:cs="Arial" w:eastAsia="Arial" w:hAnsi="Arial"/>
          <w:sz w:val="18"/>
          <w:szCs w:val="18"/>
          <w:b w:val="1"/>
          <w:bCs w:val="1"/>
          <w:color w:val="3F3F3F"/>
        </w:rPr>
        <w:t>.</w:t>
      </w:r>
      <w:r>
        <w:rPr>
          <w:rFonts w:ascii="Arial" w:cs="Arial" w:eastAsia="Arial" w:hAnsi="Arial"/>
          <w:sz w:val="18"/>
          <w:szCs w:val="18"/>
          <w:b w:val="1"/>
          <w:bCs w:val="1"/>
          <w:color w:val="00ADBB"/>
        </w:rPr>
        <w:t xml:space="preserve"> </w:t>
      </w:r>
      <w:r>
        <w:rPr>
          <w:rFonts w:ascii="Arial" w:cs="Arial" w:eastAsia="Arial" w:hAnsi="Arial"/>
          <w:sz w:val="18"/>
          <w:szCs w:val="18"/>
          <w:color w:val="4C4C4C"/>
        </w:rPr>
        <w:t>Brighthouse is presenting new disclosures about the diversity of its workforce as part of its commitment</w:t>
      </w:r>
      <w:r>
        <w:rPr>
          <w:rFonts w:ascii="Arial" w:cs="Arial" w:eastAsia="Arial" w:hAnsi="Arial"/>
          <w:sz w:val="18"/>
          <w:szCs w:val="18"/>
          <w:b w:val="1"/>
          <w:bCs w:val="1"/>
          <w:color w:val="00ADBB"/>
        </w:rPr>
        <w:t xml:space="preserve"> </w:t>
      </w:r>
      <w:r>
        <w:rPr>
          <w:rFonts w:ascii="Arial" w:cs="Arial" w:eastAsia="Arial" w:hAnsi="Arial"/>
          <w:sz w:val="18"/>
          <w:szCs w:val="18"/>
          <w:color w:val="4C4C4C"/>
        </w:rPr>
        <w:t>to further enhance its inclusive culture. We recognize the importance of creating an inclusive workplace and fully support and encourage management’s focus on continuing to advance and promote DE&amp;I throughout Brighthouse. The Board is closely engaged with management on Brighthouse’s DE&amp;I initiatives, and we regularly receive updates from management on the Company’s progress, including toward increasing representation of underrepresented groups across Brighthouse. As part of the Board’s focus on DE&amp;I, the Compensation and Human Capital Committee oversees the Company’s DE&amp;I initiatives in connection with its oversight of human capital matters. The Board also supports diversity at the board level and believes that a diverse board is better able to effectively perform its duties on behalf of our stockholders. I am proud that five of our eight currently serving Independent Directors are diverse by gender and/or race or ethnicity and that diverse Directors hold a majority of our Board leadership positions. I am also proud that the Board recently joined the Board Diversity Action Alliance (“</w:t>
      </w:r>
      <w:r>
        <w:rPr>
          <w:rFonts w:ascii="Arial" w:cs="Arial" w:eastAsia="Arial" w:hAnsi="Arial"/>
          <w:sz w:val="18"/>
          <w:szCs w:val="18"/>
          <w:color w:val="4CC5CF"/>
        </w:rPr>
        <w:t>BDAA</w:t>
      </w:r>
      <w:r>
        <w:rPr>
          <w:rFonts w:ascii="Arial" w:cs="Arial" w:eastAsia="Arial" w:hAnsi="Arial"/>
          <w:sz w:val="18"/>
          <w:szCs w:val="18"/>
          <w:color w:val="4C4C4C"/>
        </w:rPr>
        <w:t>”) as a signatory in support of BDAA’s efforts to increase the representation of racially and ethnically diverse directors on corporate boards. I also applaud the Company’s strong commitment to DE&amp;I, which it demonstrated in many ways, including through Eric Steigerwalt’s signing on to the CEO Action for Diversity &amp; Inclusion</w:t>
      </w:r>
      <w:r>
        <w:rPr>
          <w:rFonts w:ascii="Arial" w:cs="Arial" w:eastAsia="Arial" w:hAnsi="Arial"/>
          <w:sz w:val="15"/>
          <w:szCs w:val="15"/>
          <w:color w:val="4C4C4C"/>
        </w:rPr>
        <w:t>™</w:t>
      </w:r>
      <w:r>
        <w:rPr>
          <w:rFonts w:ascii="Arial" w:cs="Arial" w:eastAsia="Arial" w:hAnsi="Arial"/>
          <w:sz w:val="18"/>
          <w:szCs w:val="18"/>
          <w:color w:val="4C4C4C"/>
        </w:rPr>
        <w:t xml:space="preserve"> pledge, significant Brighthouse Financial Foundation contributions to nonprofits that support racial equity, and management’s robust engagement with employees through webcasts, town halls, and other opportunities for employees to listen to and learn from one another. In June of 2020, I had the pleasure of serving as a panelist for an “Inclusive Conversations” discussion that Brighthouse hosted virtually for its employees. This valuable opportunity enabled me to connect with and hear directly from our employees about how Brighthouse can continue to foster an inclusive culture.</w:t>
      </w:r>
    </w:p>
    <w:p>
      <w:pPr>
        <w:spacing w:after="0" w:line="7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color w:val="00ADBB"/>
        </w:rPr>
        <w:t>Stockholder Engagement</w:t>
      </w:r>
      <w:r>
        <w:rPr>
          <w:rFonts w:ascii="Arial" w:cs="Arial" w:eastAsia="Arial" w:hAnsi="Arial"/>
          <w:sz w:val="18"/>
          <w:szCs w:val="18"/>
          <w:b w:val="1"/>
          <w:bCs w:val="1"/>
          <w:color w:val="3F3F3F"/>
        </w:rPr>
        <w:t>.</w:t>
      </w:r>
      <w:r>
        <w:rPr>
          <w:rFonts w:ascii="Arial" w:cs="Arial" w:eastAsia="Arial" w:hAnsi="Arial"/>
          <w:sz w:val="18"/>
          <w:szCs w:val="18"/>
          <w:b w:val="1"/>
          <w:bCs w:val="1"/>
          <w:color w:val="00ADBB"/>
        </w:rPr>
        <w:t xml:space="preserve"> </w:t>
      </w:r>
      <w:r>
        <w:rPr>
          <w:rFonts w:ascii="Arial" w:cs="Arial" w:eastAsia="Arial" w:hAnsi="Arial"/>
          <w:sz w:val="18"/>
          <w:szCs w:val="18"/>
          <w:color w:val="4C4C4C"/>
        </w:rPr>
        <w:t>The Board greatly values the feedback of our stockholders and continues to engage with our stockholders on</w:t>
      </w:r>
      <w:r>
        <w:rPr>
          <w:rFonts w:ascii="Arial" w:cs="Arial" w:eastAsia="Arial" w:hAnsi="Arial"/>
          <w:sz w:val="18"/>
          <w:szCs w:val="18"/>
          <w:b w:val="1"/>
          <w:bCs w:val="1"/>
          <w:color w:val="00ADBB"/>
        </w:rPr>
        <w:t xml:space="preserve"> </w:t>
      </w:r>
      <w:r>
        <w:rPr>
          <w:rFonts w:ascii="Arial" w:cs="Arial" w:eastAsia="Arial" w:hAnsi="Arial"/>
          <w:sz w:val="18"/>
          <w:szCs w:val="18"/>
          <w:color w:val="4C4C4C"/>
        </w:rPr>
        <w:t>issues that are important to them. This year we reached out to stockholders representing approximately 60% of our outstanding shares of common stock (at that time) and met with stockholders representing approximately 28% of our outstanding shares of common stock (at that time), as part of the robust and proactive stockholder engagement program that we instituted in 2017. I remain available to meet with stockholders to share the Board’s perspectives and to solicit feedback on issues that are important to them, and I look forward to engaging with you at our annual meeting.</w:t>
      </w:r>
    </w:p>
    <w:p>
      <w:pPr>
        <w:spacing w:after="0" w:line="7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color w:val="00ADBB"/>
        </w:rPr>
        <w:t>Board Composition and Refreshment</w:t>
      </w:r>
      <w:r>
        <w:rPr>
          <w:rFonts w:ascii="Arial" w:cs="Arial" w:eastAsia="Arial" w:hAnsi="Arial"/>
          <w:sz w:val="18"/>
          <w:szCs w:val="18"/>
          <w:b w:val="1"/>
          <w:bCs w:val="1"/>
          <w:color w:val="3F3F3F"/>
        </w:rPr>
        <w:t>.</w:t>
      </w:r>
      <w:r>
        <w:rPr>
          <w:rFonts w:ascii="Arial" w:cs="Arial" w:eastAsia="Arial" w:hAnsi="Arial"/>
          <w:sz w:val="18"/>
          <w:szCs w:val="18"/>
          <w:b w:val="1"/>
          <w:bCs w:val="1"/>
          <w:color w:val="00ADBB"/>
        </w:rPr>
        <w:t xml:space="preserve"> </w:t>
      </w:r>
      <w:r>
        <w:rPr>
          <w:rFonts w:ascii="Arial" w:cs="Arial" w:eastAsia="Arial" w:hAnsi="Arial"/>
          <w:sz w:val="18"/>
          <w:szCs w:val="18"/>
          <w:color w:val="4C4C4C"/>
        </w:rPr>
        <w:t>Our Board remains committed to regularly assessing our performance and recruiting Directors</w:t>
      </w:r>
      <w:r>
        <w:rPr>
          <w:rFonts w:ascii="Arial" w:cs="Arial" w:eastAsia="Arial" w:hAnsi="Arial"/>
          <w:sz w:val="18"/>
          <w:szCs w:val="18"/>
          <w:b w:val="1"/>
          <w:bCs w:val="1"/>
          <w:color w:val="00ADBB"/>
        </w:rPr>
        <w:t xml:space="preserve"> </w:t>
      </w:r>
      <w:r>
        <w:rPr>
          <w:rFonts w:ascii="Arial" w:cs="Arial" w:eastAsia="Arial" w:hAnsi="Arial"/>
          <w:sz w:val="18"/>
          <w:szCs w:val="18"/>
          <w:color w:val="4C4C4C"/>
        </w:rPr>
        <w:t>who possess the skills and experience to help us oversee the Company. In August, we welcomed Steve Hooley to the Board, as well as to our Audit Committee and Investment Committee. Steve brings a wealth of expertise and experience, including as a former chief executive officer at multiple companies, that complements and enhances our already strong Board.</w:t>
      </w:r>
    </w:p>
    <w:p>
      <w:pPr>
        <w:spacing w:after="0" w:line="88"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4C4C4C"/>
        </w:rPr>
        <w:t>On behalf of our Board, I would also like to thank Meg McCarthy, who has decided not to stand for reelection to the Board at this year’s annual meeting, for her service to Brighthouse. We have benefited from her meaningful contributions and wish her well.</w:t>
      </w:r>
    </w:p>
    <w:p>
      <w:pPr>
        <w:spacing w:after="0" w:line="89" w:lineRule="exact"/>
        <w:rPr>
          <w:sz w:val="20"/>
          <w:szCs w:val="20"/>
          <w:color w:val="auto"/>
        </w:rPr>
      </w:pPr>
    </w:p>
    <w:p>
      <w:pPr>
        <w:ind w:left="120" w:right="120"/>
        <w:spacing w:after="0"/>
        <w:rPr>
          <w:sz w:val="20"/>
          <w:szCs w:val="20"/>
          <w:color w:val="auto"/>
        </w:rPr>
      </w:pPr>
      <w:r>
        <w:rPr>
          <w:rFonts w:ascii="Arial" w:cs="Arial" w:eastAsia="Arial" w:hAnsi="Arial"/>
          <w:sz w:val="18"/>
          <w:szCs w:val="18"/>
          <w:color w:val="4C4C4C"/>
        </w:rPr>
        <w:t>Thank you again for your continued support of Brighthouse. We look forward to your participation in our annual meeting. Whether or not you plan to attend, your vote is important to us, and we encourage you to read these proxy materials and to vote your shares “FOR” each proposal.</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1765935" cy="600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59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Chuck Chaplin</w:t>
      </w:r>
    </w:p>
    <w:p>
      <w:pPr>
        <w:ind w:left="120"/>
        <w:spacing w:after="0" w:line="234" w:lineRule="auto"/>
        <w:rPr>
          <w:sz w:val="20"/>
          <w:szCs w:val="20"/>
          <w:color w:val="auto"/>
        </w:rPr>
      </w:pPr>
      <w:r>
        <w:rPr>
          <w:rFonts w:ascii="Arial" w:cs="Arial" w:eastAsia="Arial" w:hAnsi="Arial"/>
          <w:sz w:val="18"/>
          <w:szCs w:val="18"/>
          <w:color w:val="4C4C4C"/>
        </w:rPr>
        <w:t>Chairman of the Board</w:t>
      </w:r>
    </w:p>
    <w:p>
      <w:pPr>
        <w:ind w:left="120"/>
        <w:spacing w:after="0" w:line="235" w:lineRule="auto"/>
        <w:rPr>
          <w:sz w:val="20"/>
          <w:szCs w:val="20"/>
          <w:color w:val="auto"/>
        </w:rPr>
      </w:pPr>
      <w:r>
        <w:rPr>
          <w:rFonts w:ascii="Arial" w:cs="Arial" w:eastAsia="Arial" w:hAnsi="Arial"/>
          <w:sz w:val="18"/>
          <w:szCs w:val="18"/>
          <w:color w:val="4C4C4C"/>
        </w:rPr>
        <w:t>Brighthouse Financial, Inc.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April 28, 2021</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iv | 2021 Proxy Statement</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Statement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Proxy Statement</w:t>
      </w:r>
    </w:p>
    <w:p>
      <w:pPr>
        <w:spacing w:after="0" w:line="360"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4C4C4C"/>
        </w:rPr>
        <w:t>The Board of Directors (the “</w:t>
      </w:r>
      <w:r>
        <w:rPr>
          <w:rFonts w:ascii="Arial" w:cs="Arial" w:eastAsia="Arial" w:hAnsi="Arial"/>
          <w:sz w:val="18"/>
          <w:szCs w:val="18"/>
          <w:b w:val="1"/>
          <w:bCs w:val="1"/>
          <w:color w:val="00ADBB"/>
        </w:rPr>
        <w:t>Board</w:t>
      </w:r>
      <w:r>
        <w:rPr>
          <w:rFonts w:ascii="Arial" w:cs="Arial" w:eastAsia="Arial" w:hAnsi="Arial"/>
          <w:sz w:val="18"/>
          <w:szCs w:val="18"/>
          <w:color w:val="4C4C4C"/>
        </w:rPr>
        <w:t>” or the “</w:t>
      </w:r>
      <w:r>
        <w:rPr>
          <w:rFonts w:ascii="Arial" w:cs="Arial" w:eastAsia="Arial" w:hAnsi="Arial"/>
          <w:sz w:val="18"/>
          <w:szCs w:val="18"/>
          <w:b w:val="1"/>
          <w:bCs w:val="1"/>
          <w:color w:val="00ADBB"/>
        </w:rPr>
        <w:t>Board of Directors</w:t>
      </w:r>
      <w:r>
        <w:rPr>
          <w:rFonts w:ascii="Arial" w:cs="Arial" w:eastAsia="Arial" w:hAnsi="Arial"/>
          <w:sz w:val="18"/>
          <w:szCs w:val="18"/>
          <w:color w:val="4C4C4C"/>
        </w:rPr>
        <w:t>”) of Brighthouse Financial, Inc. (“</w:t>
      </w:r>
      <w:r>
        <w:rPr>
          <w:rFonts w:ascii="Arial" w:cs="Arial" w:eastAsia="Arial" w:hAnsi="Arial"/>
          <w:sz w:val="18"/>
          <w:szCs w:val="18"/>
          <w:b w:val="1"/>
          <w:bCs w:val="1"/>
          <w:color w:val="00ADBB"/>
        </w:rPr>
        <w:t>Brighthouse</w:t>
      </w:r>
      <w:r>
        <w:rPr>
          <w:rFonts w:ascii="Arial" w:cs="Arial" w:eastAsia="Arial" w:hAnsi="Arial"/>
          <w:sz w:val="18"/>
          <w:szCs w:val="18"/>
          <w:color w:val="4C4C4C"/>
        </w:rPr>
        <w:t>” or the “</w:t>
      </w:r>
      <w:r>
        <w:rPr>
          <w:rFonts w:ascii="Arial" w:cs="Arial" w:eastAsia="Arial" w:hAnsi="Arial"/>
          <w:sz w:val="18"/>
          <w:szCs w:val="18"/>
          <w:b w:val="1"/>
          <w:bCs w:val="1"/>
          <w:color w:val="00ADBB"/>
        </w:rPr>
        <w:t>Company</w:t>
      </w:r>
      <w:r>
        <w:rPr>
          <w:rFonts w:ascii="Arial" w:cs="Arial" w:eastAsia="Arial" w:hAnsi="Arial"/>
          <w:sz w:val="18"/>
          <w:szCs w:val="18"/>
          <w:color w:val="4C4C4C"/>
        </w:rPr>
        <w:t>”) is providing this Proxy Statement in connection with the Annual Meeting of Stockholders to be held on June 10, 2021, at 8:00 a.m., Eastern Time (the “</w:t>
      </w:r>
      <w:r>
        <w:rPr>
          <w:rFonts w:ascii="Arial" w:cs="Arial" w:eastAsia="Arial" w:hAnsi="Arial"/>
          <w:sz w:val="18"/>
          <w:szCs w:val="18"/>
          <w:b w:val="1"/>
          <w:bCs w:val="1"/>
          <w:color w:val="00ADBB"/>
        </w:rPr>
        <w:t>Annual Meeting</w:t>
      </w:r>
      <w:r>
        <w:rPr>
          <w:rFonts w:ascii="Arial" w:cs="Arial" w:eastAsia="Arial" w:hAnsi="Arial"/>
          <w:sz w:val="18"/>
          <w:szCs w:val="18"/>
          <w:color w:val="4C4C4C"/>
        </w:rPr>
        <w:t>”) and at any adjournment or postponement thereof. Stockholders holding shares of common stock, par value $0.01 per share, of the Company (“</w:t>
      </w:r>
      <w:r>
        <w:rPr>
          <w:rFonts w:ascii="Arial" w:cs="Arial" w:eastAsia="Arial" w:hAnsi="Arial"/>
          <w:sz w:val="18"/>
          <w:szCs w:val="18"/>
          <w:b w:val="1"/>
          <w:bCs w:val="1"/>
          <w:color w:val="00ADBB"/>
        </w:rPr>
        <w:t>Shares</w:t>
      </w:r>
      <w:r>
        <w:rPr>
          <w:rFonts w:ascii="Arial" w:cs="Arial" w:eastAsia="Arial" w:hAnsi="Arial"/>
          <w:sz w:val="18"/>
          <w:szCs w:val="18"/>
          <w:color w:val="4C4C4C"/>
        </w:rPr>
        <w:t>”) as of the close of business on April 13, 2021 (the “</w:t>
      </w:r>
      <w:r>
        <w:rPr>
          <w:rFonts w:ascii="Arial" w:cs="Arial" w:eastAsia="Arial" w:hAnsi="Arial"/>
          <w:sz w:val="18"/>
          <w:szCs w:val="18"/>
          <w:b w:val="1"/>
          <w:bCs w:val="1"/>
          <w:color w:val="00ADBB"/>
        </w:rPr>
        <w:t>Record Date</w:t>
      </w:r>
      <w:r>
        <w:rPr>
          <w:rFonts w:ascii="Arial" w:cs="Arial" w:eastAsia="Arial" w:hAnsi="Arial"/>
          <w:sz w:val="18"/>
          <w:szCs w:val="18"/>
          <w:color w:val="4C4C4C"/>
        </w:rPr>
        <w:t>”) are entitled to vote at the Annual Meeting. Proxy materials or a Notice of Internet Availability were first made available, sent, or given to the Company’s stockholders on or about April 28, 2021.</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Contents</w:t>
      </w:r>
    </w:p>
    <w:p>
      <w:pPr>
        <w:spacing w:after="0" w:line="200" w:lineRule="exact"/>
        <w:rPr>
          <w:sz w:val="20"/>
          <w:szCs w:val="20"/>
          <w:color w:val="auto"/>
        </w:rPr>
      </w:pPr>
    </w:p>
    <w:p>
      <w:pPr>
        <w:spacing w:after="0" w:line="254" w:lineRule="exact"/>
        <w:rPr>
          <w:sz w:val="20"/>
          <w:szCs w:val="20"/>
          <w:color w:val="auto"/>
        </w:rPr>
      </w:pPr>
    </w:p>
    <w:p>
      <w:pPr>
        <w:ind w:left="540" w:hanging="263"/>
        <w:spacing w:after="0"/>
        <w:tabs>
          <w:tab w:leader="none" w:pos="540" w:val="left"/>
        </w:tabs>
        <w:numPr>
          <w:ilvl w:val="0"/>
          <w:numId w:val="8"/>
        </w:numPr>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Proxy Summary</w:t>
        </w:r>
      </w:hyperlink>
    </w:p>
    <w:p>
      <w:pPr>
        <w:spacing w:after="0" w:line="13" w:lineRule="exact"/>
        <w:rPr>
          <w:sz w:val="20"/>
          <w:szCs w:val="20"/>
          <w:color w:val="auto"/>
        </w:rPr>
      </w:pPr>
    </w:p>
    <w:p>
      <w:pPr>
        <w:ind w:left="1440" w:hanging="799"/>
        <w:spacing w:after="0"/>
        <w:tabs>
          <w:tab w:leader="none" w:pos="1440" w:val="left"/>
        </w:tabs>
        <w:numPr>
          <w:ilvl w:val="0"/>
          <w:numId w:val="9"/>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Proposals for Your Vote</w:t>
        </w:r>
      </w:hyperlink>
    </w:p>
    <w:p>
      <w:pPr>
        <w:ind w:left="1440" w:hanging="799"/>
        <w:spacing w:after="0" w:line="234" w:lineRule="auto"/>
        <w:tabs>
          <w:tab w:leader="none" w:pos="1440" w:val="left"/>
        </w:tabs>
        <w:numPr>
          <w:ilvl w:val="0"/>
          <w:numId w:val="9"/>
        </w:numPr>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Brighthouse Story</w:t>
        </w:r>
      </w:hyperlink>
    </w:p>
    <w:p>
      <w:pPr>
        <w:spacing w:after="0" w:line="1" w:lineRule="exact"/>
        <w:rPr>
          <w:rFonts w:ascii="Arial" w:cs="Arial" w:eastAsia="Arial" w:hAnsi="Arial"/>
          <w:sz w:val="18"/>
          <w:szCs w:val="18"/>
          <w:color w:val="4C4C4C"/>
        </w:rPr>
      </w:pPr>
    </w:p>
    <w:p>
      <w:pPr>
        <w:ind w:left="1440" w:right="880" w:hanging="799"/>
        <w:spacing w:after="0" w:line="234" w:lineRule="auto"/>
        <w:tabs>
          <w:tab w:leader="none" w:pos="1440" w:val="left"/>
        </w:tabs>
        <w:numPr>
          <w:ilvl w:val="0"/>
          <w:numId w:val="10"/>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Our Board of Directors: Composition,</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Qualifications, and Diversity</w:t>
        </w:r>
      </w:hyperlink>
    </w:p>
    <w:p>
      <w:pPr>
        <w:spacing w:after="0" w:line="1" w:lineRule="exact"/>
        <w:rPr>
          <w:rFonts w:ascii="Arial" w:cs="Arial" w:eastAsia="Arial" w:hAnsi="Arial"/>
          <w:sz w:val="18"/>
          <w:szCs w:val="18"/>
          <w:color w:val="4C4C4C"/>
        </w:rPr>
      </w:pPr>
    </w:p>
    <w:p>
      <w:pPr>
        <w:ind w:left="1440" w:hanging="899"/>
        <w:spacing w:after="0"/>
        <w:tabs>
          <w:tab w:leader="none" w:pos="1440" w:val="left"/>
        </w:tabs>
        <w:numPr>
          <w:ilvl w:val="0"/>
          <w:numId w:val="11"/>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Our Sustainability Journey</w:t>
        </w:r>
      </w:hyperlink>
    </w:p>
    <w:p>
      <w:pPr>
        <w:spacing w:after="0" w:line="82" w:lineRule="exact"/>
        <w:rPr>
          <w:rFonts w:ascii="Arial" w:cs="Arial" w:eastAsia="Arial" w:hAnsi="Arial"/>
          <w:sz w:val="18"/>
          <w:szCs w:val="18"/>
          <w:color w:val="4C4C4C"/>
        </w:rPr>
      </w:pPr>
    </w:p>
    <w:p>
      <w:pPr>
        <w:ind w:left="540" w:right="900" w:hanging="363"/>
        <w:spacing w:after="0" w:line="247" w:lineRule="auto"/>
        <w:tabs>
          <w:tab w:leader="none" w:pos="540" w:val="left"/>
        </w:tabs>
        <w:numPr>
          <w:ilvl w:val="0"/>
          <w:numId w:val="12"/>
        </w:numPr>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Proposal 1 – Election of eight (8) Directors to</w:t>
        </w:r>
      </w:hyperlink>
      <w:r>
        <w:rPr>
          <w:rFonts w:ascii="Arial" w:cs="Arial" w:eastAsia="Arial" w:hAnsi="Arial"/>
          <w:sz w:val="18"/>
          <w:szCs w:val="18"/>
          <w:b w:val="1"/>
          <w:bCs w:val="1"/>
          <w:u w:val="single" w:color="auto"/>
          <w:color w:val="0000EE"/>
        </w:rPr>
        <w:t xml:space="preserve"> </w:t>
      </w:r>
      <w:hyperlink w:anchor="page22">
        <w:r>
          <w:rPr>
            <w:rFonts w:ascii="Arial" w:cs="Arial" w:eastAsia="Arial" w:hAnsi="Arial"/>
            <w:sz w:val="18"/>
            <w:szCs w:val="18"/>
            <w:b w:val="1"/>
            <w:bCs w:val="1"/>
            <w:u w:val="single" w:color="auto"/>
            <w:color w:val="0000EE"/>
          </w:rPr>
          <w:t>serve a one-year term ending at the 2022</w:t>
        </w:r>
      </w:hyperlink>
    </w:p>
    <w:p>
      <w:pPr>
        <w:spacing w:after="0" w:line="20" w:lineRule="exact"/>
        <w:rPr>
          <w:rFonts w:ascii="Arial" w:cs="Arial" w:eastAsia="Arial" w:hAnsi="Arial"/>
          <w:sz w:val="18"/>
          <w:szCs w:val="18"/>
          <w:b w:val="1"/>
          <w:bCs w:val="1"/>
          <w:color w:val="00ADBB"/>
        </w:rPr>
      </w:pPr>
      <w:r>
        <w:rPr>
          <w:rFonts w:ascii="Arial" w:cs="Arial" w:eastAsia="Arial" w:hAnsi="Arial"/>
          <w:sz w:val="18"/>
          <w:szCs w:val="18"/>
          <w:b w:val="1"/>
          <w:bCs w:val="1"/>
          <w:color w:val="00ADBB"/>
        </w:rPr>
        <w:drawing>
          <wp:anchor simplePos="0" relativeHeight="251657728" behindDoc="1" locked="0" layoutInCell="0" allowOverlap="1">
            <wp:simplePos x="0" y="0"/>
            <wp:positionH relativeFrom="column">
              <wp:posOffset>307975</wp:posOffset>
            </wp:positionH>
            <wp:positionV relativeFrom="paragraph">
              <wp:posOffset>-144145</wp:posOffset>
            </wp:positionV>
            <wp:extent cx="3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540"/>
        <w:spacing w:after="0" w:line="235" w:lineRule="auto"/>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Annual Meeting of Stockholders</w:t>
        </w:r>
      </w:hyperlink>
    </w:p>
    <w:p>
      <w:pPr>
        <w:spacing w:after="0" w:line="1" w:lineRule="exact"/>
        <w:rPr>
          <w:rFonts w:ascii="Arial" w:cs="Arial" w:eastAsia="Arial" w:hAnsi="Arial"/>
          <w:sz w:val="18"/>
          <w:szCs w:val="18"/>
          <w:b w:val="1"/>
          <w:bCs w:val="1"/>
          <w:color w:val="00ADBB"/>
        </w:rPr>
      </w:pPr>
    </w:p>
    <w:p>
      <w:pPr>
        <w:ind w:left="1440" w:hanging="899"/>
        <w:spacing w:after="0"/>
        <w:tabs>
          <w:tab w:leader="none" w:pos="1440" w:val="left"/>
        </w:tabs>
        <w:numPr>
          <w:ilvl w:val="0"/>
          <w:numId w:val="13"/>
        </w:numPr>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The Board of Directors</w:t>
        </w:r>
      </w:hyperlink>
    </w:p>
    <w:p>
      <w:pPr>
        <w:spacing w:after="0" w:line="82" w:lineRule="exact"/>
        <w:rPr>
          <w:rFonts w:ascii="Arial" w:cs="Arial" w:eastAsia="Arial" w:hAnsi="Arial"/>
          <w:sz w:val="18"/>
          <w:szCs w:val="18"/>
          <w:b w:val="1"/>
          <w:bCs w:val="1"/>
          <w:color w:val="00ADBB"/>
        </w:rPr>
      </w:pPr>
    </w:p>
    <w:p>
      <w:pPr>
        <w:ind w:left="540" w:hanging="363"/>
        <w:spacing w:after="0"/>
        <w:tabs>
          <w:tab w:leader="none" w:pos="540" w:val="left"/>
        </w:tabs>
        <w:numPr>
          <w:ilvl w:val="0"/>
          <w:numId w:val="14"/>
        </w:numPr>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Board and Corporate Governance Practices</w:t>
        </w:r>
      </w:hyperlink>
    </w:p>
    <w:p>
      <w:pPr>
        <w:spacing w:after="0" w:line="13" w:lineRule="exact"/>
        <w:rPr>
          <w:rFonts w:ascii="Arial" w:cs="Arial" w:eastAsia="Arial" w:hAnsi="Arial"/>
          <w:sz w:val="18"/>
          <w:szCs w:val="18"/>
          <w:b w:val="1"/>
          <w:bCs w:val="1"/>
          <w:color w:val="00ADBB"/>
        </w:rPr>
      </w:pPr>
    </w:p>
    <w:p>
      <w:pPr>
        <w:ind w:left="1440" w:hanging="899"/>
        <w:spacing w:after="0"/>
        <w:tabs>
          <w:tab w:leader="none" w:pos="1440" w:val="left"/>
        </w:tabs>
        <w:numPr>
          <w:ilvl w:val="0"/>
          <w:numId w:val="15"/>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Investor Stewardship Group Principles</w:t>
        </w:r>
      </w:hyperlink>
    </w:p>
    <w:p>
      <w:pPr>
        <w:ind w:left="1440" w:hanging="899"/>
        <w:spacing w:after="0" w:line="234" w:lineRule="auto"/>
        <w:tabs>
          <w:tab w:leader="none" w:pos="1440" w:val="left"/>
        </w:tabs>
        <w:numPr>
          <w:ilvl w:val="0"/>
          <w:numId w:val="15"/>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Building Our Board of Directors</w:t>
        </w:r>
      </w:hyperlink>
    </w:p>
    <w:p>
      <w:pPr>
        <w:ind w:left="1440" w:hanging="899"/>
        <w:spacing w:after="0" w:line="235" w:lineRule="auto"/>
        <w:tabs>
          <w:tab w:leader="none" w:pos="1440" w:val="left"/>
        </w:tabs>
        <w:numPr>
          <w:ilvl w:val="0"/>
          <w:numId w:val="16"/>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Board Leadership Structure</w:t>
        </w:r>
      </w:hyperlink>
    </w:p>
    <w:p>
      <w:pPr>
        <w:ind w:left="1440" w:hanging="899"/>
        <w:spacing w:after="0" w:line="234" w:lineRule="auto"/>
        <w:tabs>
          <w:tab w:leader="none" w:pos="1440" w:val="left"/>
        </w:tabs>
        <w:numPr>
          <w:ilvl w:val="0"/>
          <w:numId w:val="16"/>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Director Independence</w:t>
        </w:r>
      </w:hyperlink>
    </w:p>
    <w:p>
      <w:pPr>
        <w:ind w:left="1440" w:hanging="899"/>
        <w:spacing w:after="0" w:line="235" w:lineRule="auto"/>
        <w:tabs>
          <w:tab w:leader="none" w:pos="1440" w:val="left"/>
        </w:tabs>
        <w:numPr>
          <w:ilvl w:val="0"/>
          <w:numId w:val="17"/>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Executive Sessions</w:t>
        </w:r>
      </w:hyperlink>
    </w:p>
    <w:p>
      <w:pPr>
        <w:ind w:left="1440" w:hanging="899"/>
        <w:spacing w:after="0" w:line="234" w:lineRule="auto"/>
        <w:tabs>
          <w:tab w:leader="none" w:pos="1440" w:val="left"/>
        </w:tabs>
        <w:numPr>
          <w:ilvl w:val="0"/>
          <w:numId w:val="17"/>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Stockholder Engagement</w:t>
        </w:r>
      </w:hyperlink>
    </w:p>
    <w:p>
      <w:pPr>
        <w:ind w:left="1440" w:hanging="899"/>
        <w:spacing w:after="0" w:line="235" w:lineRule="auto"/>
        <w:tabs>
          <w:tab w:leader="none" w:pos="1440" w:val="left"/>
        </w:tabs>
        <w:numPr>
          <w:ilvl w:val="0"/>
          <w:numId w:val="18"/>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Succession Planning and Talent Management</w:t>
        </w:r>
      </w:hyperlink>
    </w:p>
    <w:p>
      <w:pPr>
        <w:ind w:left="1440" w:hanging="899"/>
        <w:spacing w:after="0" w:line="235" w:lineRule="auto"/>
        <w:tabs>
          <w:tab w:leader="none" w:pos="1440" w:val="left"/>
        </w:tabs>
        <w:numPr>
          <w:ilvl w:val="0"/>
          <w:numId w:val="19"/>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Oversight</w:t>
        </w:r>
      </w:hyperlink>
    </w:p>
    <w:p>
      <w:pPr>
        <w:ind w:left="1440" w:hanging="899"/>
        <w:spacing w:after="0" w:line="234" w:lineRule="auto"/>
        <w:tabs>
          <w:tab w:leader="none" w:pos="1440" w:val="left"/>
        </w:tabs>
        <w:numPr>
          <w:ilvl w:val="0"/>
          <w:numId w:val="19"/>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Information About Our Board Committees</w:t>
        </w:r>
      </w:hyperlink>
    </w:p>
    <w:p>
      <w:pPr>
        <w:ind w:left="1440" w:hanging="899"/>
        <w:spacing w:after="0" w:line="235" w:lineRule="auto"/>
        <w:tabs>
          <w:tab w:leader="none" w:pos="1440" w:val="left"/>
        </w:tabs>
        <w:numPr>
          <w:ilvl w:val="0"/>
          <w:numId w:val="20"/>
        </w:numPr>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Director Compensation</w:t>
        </w:r>
      </w:hyperlink>
    </w:p>
    <w:p>
      <w:pPr>
        <w:ind w:left="1440" w:hanging="899"/>
        <w:spacing w:after="0" w:line="235" w:lineRule="auto"/>
        <w:tabs>
          <w:tab w:leader="none" w:pos="1440" w:val="left"/>
        </w:tabs>
        <w:numPr>
          <w:ilvl w:val="0"/>
          <w:numId w:val="21"/>
        </w:numPr>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2020 Director Compensation Table</w:t>
        </w:r>
      </w:hyperlink>
    </w:p>
    <w:p>
      <w:pPr>
        <w:ind w:left="1440" w:hanging="899"/>
        <w:spacing w:after="0" w:line="234" w:lineRule="auto"/>
        <w:tabs>
          <w:tab w:leader="none" w:pos="1440" w:val="left"/>
        </w:tabs>
        <w:numPr>
          <w:ilvl w:val="0"/>
          <w:numId w:val="21"/>
        </w:numPr>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Director Stock Ownership Guidelines</w:t>
        </w:r>
      </w:hyperlink>
    </w:p>
    <w:p>
      <w:pPr>
        <w:ind w:left="1440" w:hanging="899"/>
        <w:spacing w:after="0" w:line="246" w:lineRule="auto"/>
        <w:tabs>
          <w:tab w:leader="none" w:pos="1440" w:val="left"/>
        </w:tabs>
        <w:numPr>
          <w:ilvl w:val="0"/>
          <w:numId w:val="21"/>
        </w:numPr>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Compensation Committee Interlocks and Insider</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Participation</w:t>
        </w:r>
      </w:hyperlink>
    </w:p>
    <w:p>
      <w:pPr>
        <w:spacing w:after="0" w:line="67" w:lineRule="exact"/>
        <w:rPr>
          <w:rFonts w:ascii="Arial" w:cs="Arial" w:eastAsia="Arial" w:hAnsi="Arial"/>
          <w:sz w:val="18"/>
          <w:szCs w:val="18"/>
          <w:color w:val="4C4C4C"/>
        </w:rPr>
      </w:pPr>
    </w:p>
    <w:p>
      <w:pPr>
        <w:ind w:left="540" w:right="760" w:hanging="363"/>
        <w:spacing w:after="0" w:line="241" w:lineRule="auto"/>
        <w:tabs>
          <w:tab w:leader="none" w:pos="540" w:val="left"/>
        </w:tabs>
        <w:numPr>
          <w:ilvl w:val="0"/>
          <w:numId w:val="22"/>
        </w:numPr>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Proposal 2 – Ratification of the appointment of</w:t>
        </w:r>
      </w:hyperlink>
      <w:r>
        <w:rPr>
          <w:rFonts w:ascii="Arial" w:cs="Arial" w:eastAsia="Arial" w:hAnsi="Arial"/>
          <w:sz w:val="18"/>
          <w:szCs w:val="18"/>
          <w:b w:val="1"/>
          <w:bCs w:val="1"/>
          <w:u w:val="single" w:color="auto"/>
          <w:color w:val="0000EE"/>
        </w:rPr>
        <w:t xml:space="preserve"> </w:t>
      </w:r>
      <w:hyperlink w:anchor="page45">
        <w:r>
          <w:rPr>
            <w:rFonts w:ascii="Arial" w:cs="Arial" w:eastAsia="Arial" w:hAnsi="Arial"/>
            <w:sz w:val="18"/>
            <w:szCs w:val="18"/>
            <w:b w:val="1"/>
            <w:bCs w:val="1"/>
            <w:u w:val="single" w:color="auto"/>
            <w:color w:val="0000EE"/>
          </w:rPr>
          <w:t>Deloitte &amp; Touche LLP as Brighthouse’s</w:t>
        </w:r>
      </w:hyperlink>
      <w:r>
        <w:rPr>
          <w:rFonts w:ascii="Arial" w:cs="Arial" w:eastAsia="Arial" w:hAnsi="Arial"/>
          <w:sz w:val="18"/>
          <w:szCs w:val="18"/>
          <w:b w:val="1"/>
          <w:bCs w:val="1"/>
          <w:u w:val="single" w:color="auto"/>
          <w:color w:val="0000EE"/>
        </w:rPr>
        <w:t xml:space="preserve"> </w:t>
      </w:r>
      <w:hyperlink w:anchor="page45">
        <w:r>
          <w:rPr>
            <w:rFonts w:ascii="Arial" w:cs="Arial" w:eastAsia="Arial" w:hAnsi="Arial"/>
            <w:sz w:val="18"/>
            <w:szCs w:val="18"/>
            <w:b w:val="1"/>
            <w:bCs w:val="1"/>
            <w:u w:val="single" w:color="auto"/>
            <w:color w:val="0000EE"/>
          </w:rPr>
          <w:t>independent registered public accounting firm</w:t>
        </w:r>
      </w:hyperlink>
      <w:r>
        <w:rPr>
          <w:rFonts w:ascii="Arial" w:cs="Arial" w:eastAsia="Arial" w:hAnsi="Arial"/>
          <w:sz w:val="18"/>
          <w:szCs w:val="18"/>
          <w:b w:val="1"/>
          <w:bCs w:val="1"/>
          <w:u w:val="single" w:color="auto"/>
          <w:color w:val="0000EE"/>
        </w:rPr>
        <w:t xml:space="preserve"> </w:t>
      </w:r>
      <w:hyperlink w:anchor="page45">
        <w:r>
          <w:rPr>
            <w:rFonts w:ascii="Arial" w:cs="Arial" w:eastAsia="Arial" w:hAnsi="Arial"/>
            <w:sz w:val="18"/>
            <w:szCs w:val="18"/>
            <w:b w:val="1"/>
            <w:bCs w:val="1"/>
            <w:u w:val="single" w:color="auto"/>
            <w:color w:val="0000EE"/>
          </w:rPr>
          <w:t>for fiscal year 2021</w:t>
        </w:r>
      </w:hyperlink>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307975</wp:posOffset>
            </wp:positionH>
            <wp:positionV relativeFrom="paragraph">
              <wp:posOffset>-401320</wp:posOffset>
            </wp:positionV>
            <wp:extent cx="3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1440" w:hanging="899"/>
        <w:spacing w:after="0" w:line="235" w:lineRule="auto"/>
        <w:tabs>
          <w:tab w:leader="none" w:pos="1440" w:val="left"/>
        </w:tabs>
        <w:numPr>
          <w:ilvl w:val="0"/>
          <w:numId w:val="23"/>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Fees Paid to Deloitte &amp; Touche LLP</w:t>
        </w:r>
      </w:hyperlink>
    </w:p>
    <w:p>
      <w:pPr>
        <w:ind w:left="1440" w:hanging="899"/>
        <w:spacing w:after="0" w:line="235" w:lineRule="auto"/>
        <w:tabs>
          <w:tab w:leader="none" w:pos="1440" w:val="left"/>
        </w:tabs>
        <w:numPr>
          <w:ilvl w:val="0"/>
          <w:numId w:val="24"/>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Audit Committee Pre-Approval Policy</w:t>
        </w:r>
      </w:hyperlink>
    </w:p>
    <w:p>
      <w:pPr>
        <w:ind w:left="1440" w:hanging="899"/>
        <w:spacing w:after="0"/>
        <w:tabs>
          <w:tab w:leader="none" w:pos="1440" w:val="left"/>
        </w:tabs>
        <w:numPr>
          <w:ilvl w:val="0"/>
          <w:numId w:val="24"/>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Audit Committee Report</w:t>
        </w:r>
      </w:hyperlink>
    </w:p>
    <w:p>
      <w:pPr>
        <w:spacing w:after="0" w:line="20" w:lineRule="exact"/>
        <w:rPr>
          <w:rFonts w:ascii="Arial" w:cs="Arial" w:eastAsia="Arial" w:hAnsi="Arial"/>
          <w:sz w:val="18"/>
          <w:szCs w:val="18"/>
          <w:color w:val="4C4C4C"/>
        </w:rPr>
      </w:pPr>
      <w:r>
        <w:rPr>
          <w:rFonts w:ascii="Arial" w:cs="Arial" w:eastAsia="Arial" w:hAnsi="Arial"/>
          <w:sz w:val="18"/>
          <w:szCs w:val="18"/>
          <w:color w:val="4C4C4C"/>
        </w:rPr>
        <w:br w:type="column"/>
      </w:r>
    </w:p>
    <w:p>
      <w:pPr>
        <w:spacing w:after="0" w:line="200" w:lineRule="exact"/>
        <w:rPr>
          <w:rFonts w:ascii="Arial" w:cs="Arial" w:eastAsia="Arial" w:hAnsi="Arial"/>
          <w:sz w:val="18"/>
          <w:szCs w:val="18"/>
          <w:color w:val="4C4C4C"/>
        </w:rPr>
      </w:pPr>
    </w:p>
    <w:p>
      <w:pPr>
        <w:spacing w:after="0" w:line="200" w:lineRule="exact"/>
        <w:rPr>
          <w:rFonts w:ascii="Arial" w:cs="Arial" w:eastAsia="Arial" w:hAnsi="Arial"/>
          <w:sz w:val="18"/>
          <w:szCs w:val="18"/>
          <w:color w:val="4C4C4C"/>
        </w:rPr>
      </w:pPr>
    </w:p>
    <w:p>
      <w:pPr>
        <w:spacing w:after="0" w:line="200" w:lineRule="exact"/>
        <w:rPr>
          <w:rFonts w:ascii="Arial" w:cs="Arial" w:eastAsia="Arial" w:hAnsi="Arial"/>
          <w:sz w:val="18"/>
          <w:szCs w:val="18"/>
          <w:color w:val="4C4C4C"/>
        </w:rPr>
      </w:pPr>
    </w:p>
    <w:p>
      <w:pPr>
        <w:spacing w:after="0" w:line="200" w:lineRule="exact"/>
        <w:rPr>
          <w:rFonts w:ascii="Arial" w:cs="Arial" w:eastAsia="Arial" w:hAnsi="Arial"/>
          <w:sz w:val="18"/>
          <w:szCs w:val="18"/>
          <w:color w:val="4C4C4C"/>
        </w:rPr>
      </w:pPr>
    </w:p>
    <w:p>
      <w:pPr>
        <w:spacing w:after="0" w:line="385" w:lineRule="exact"/>
        <w:rPr>
          <w:rFonts w:ascii="Arial" w:cs="Arial" w:eastAsia="Arial" w:hAnsi="Arial"/>
          <w:sz w:val="18"/>
          <w:szCs w:val="18"/>
          <w:color w:val="4C4C4C"/>
        </w:rPr>
      </w:pPr>
    </w:p>
    <w:p>
      <w:pPr>
        <w:ind w:left="364" w:right="1220" w:hanging="364"/>
        <w:spacing w:after="0" w:line="253" w:lineRule="auto"/>
        <w:tabs>
          <w:tab w:leader="none" w:pos="364" w:val="left"/>
        </w:tabs>
        <w:numPr>
          <w:ilvl w:val="0"/>
          <w:numId w:val="25"/>
        </w:numPr>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Proposal 3 – Advisory vote to approve the</w:t>
        </w:r>
      </w:hyperlink>
      <w:r>
        <w:rPr>
          <w:rFonts w:ascii="Arial" w:cs="Arial" w:eastAsia="Arial" w:hAnsi="Arial"/>
          <w:sz w:val="18"/>
          <w:szCs w:val="18"/>
          <w:b w:val="1"/>
          <w:bCs w:val="1"/>
          <w:u w:val="single" w:color="auto"/>
          <w:color w:val="0000EE"/>
        </w:rPr>
        <w:t xml:space="preserve"> </w:t>
      </w:r>
      <w:hyperlink w:anchor="page49">
        <w:r>
          <w:rPr>
            <w:rFonts w:ascii="Arial" w:cs="Arial" w:eastAsia="Arial" w:hAnsi="Arial"/>
            <w:sz w:val="18"/>
            <w:szCs w:val="18"/>
            <w:b w:val="1"/>
            <w:bCs w:val="1"/>
            <w:u w:val="single" w:color="auto"/>
            <w:color w:val="0000EE"/>
          </w:rPr>
          <w:t>compensation paid to Brighthouse’s Named</w:t>
        </w:r>
      </w:hyperlink>
      <w:r>
        <w:rPr>
          <w:rFonts w:ascii="Arial" w:cs="Arial" w:eastAsia="Arial" w:hAnsi="Arial"/>
          <w:sz w:val="18"/>
          <w:szCs w:val="18"/>
          <w:b w:val="1"/>
          <w:bCs w:val="1"/>
          <w:u w:val="single" w:color="auto"/>
          <w:color w:val="0000EE"/>
        </w:rPr>
        <w:t xml:space="preserve"> </w:t>
      </w:r>
      <w:hyperlink w:anchor="page49">
        <w:r>
          <w:rPr>
            <w:rFonts w:ascii="Arial" w:cs="Arial" w:eastAsia="Arial" w:hAnsi="Arial"/>
            <w:sz w:val="18"/>
            <w:szCs w:val="18"/>
            <w:b w:val="1"/>
            <w:bCs w:val="1"/>
            <w:u w:val="single" w:color="auto"/>
            <w:color w:val="0000EE"/>
          </w:rPr>
          <w:t>Executive Officers</w:t>
        </w:r>
      </w:hyperlink>
    </w:p>
    <w:p>
      <w:pPr>
        <w:spacing w:after="0" w:line="60" w:lineRule="exact"/>
        <w:rPr>
          <w:rFonts w:ascii="Arial" w:cs="Arial" w:eastAsia="Arial" w:hAnsi="Arial"/>
          <w:sz w:val="18"/>
          <w:szCs w:val="18"/>
          <w:b w:val="1"/>
          <w:bCs w:val="1"/>
          <w:u w:val="single" w:color="auto"/>
          <w:color w:val="0000EE"/>
        </w:rPr>
      </w:pPr>
    </w:p>
    <w:p>
      <w:pPr>
        <w:ind w:left="364" w:hanging="364"/>
        <w:spacing w:after="0"/>
        <w:tabs>
          <w:tab w:leader="none" w:pos="364" w:val="left"/>
        </w:tabs>
        <w:numPr>
          <w:ilvl w:val="0"/>
          <w:numId w:val="25"/>
        </w:numPr>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Compensation Discussion and Analysis</w:t>
        </w:r>
      </w:hyperlink>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195580</wp:posOffset>
            </wp:positionH>
            <wp:positionV relativeFrom="paragraph">
              <wp:posOffset>-459105</wp:posOffset>
            </wp:positionV>
            <wp:extent cx="3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1284" w:hanging="920"/>
        <w:spacing w:after="0"/>
        <w:tabs>
          <w:tab w:leader="none" w:pos="1284" w:val="left"/>
        </w:tabs>
        <w:numPr>
          <w:ilvl w:val="0"/>
          <w:numId w:val="26"/>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Named Executive Officers</w:t>
        </w:r>
      </w:hyperlink>
    </w:p>
    <w:p>
      <w:pPr>
        <w:ind w:left="1284" w:hanging="920"/>
        <w:spacing w:after="0" w:line="234" w:lineRule="auto"/>
        <w:tabs>
          <w:tab w:leader="none" w:pos="1284" w:val="left"/>
        </w:tabs>
        <w:numPr>
          <w:ilvl w:val="0"/>
          <w:numId w:val="27"/>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CD&amp;A Contents</w:t>
        </w:r>
      </w:hyperlink>
    </w:p>
    <w:p>
      <w:pPr>
        <w:ind w:left="1284" w:hanging="920"/>
        <w:spacing w:after="0" w:line="235" w:lineRule="auto"/>
        <w:tabs>
          <w:tab w:leader="none" w:pos="1284" w:val="left"/>
        </w:tabs>
        <w:numPr>
          <w:ilvl w:val="0"/>
          <w:numId w:val="28"/>
        </w:numPr>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Section 1 – Executive Summary</w:t>
        </w:r>
      </w:hyperlink>
    </w:p>
    <w:p>
      <w:pPr>
        <w:ind w:left="1644" w:hanging="1280"/>
        <w:spacing w:after="0" w:line="235" w:lineRule="auto"/>
        <w:tabs>
          <w:tab w:leader="none" w:pos="1644" w:val="left"/>
        </w:tabs>
        <w:numPr>
          <w:ilvl w:val="0"/>
          <w:numId w:val="29"/>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The Brighthouse Story</w:t>
        </w:r>
      </w:hyperlink>
    </w:p>
    <w:p>
      <w:pPr>
        <w:ind w:left="1644" w:right="60" w:hanging="1280"/>
        <w:spacing w:after="0" w:line="234" w:lineRule="auto"/>
        <w:tabs>
          <w:tab w:leader="none" w:pos="1644" w:val="left"/>
        </w:tabs>
        <w:numPr>
          <w:ilvl w:val="0"/>
          <w:numId w:val="29"/>
        </w:numPr>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2020 Highlights – Executing Our Strategy in a</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Challenging Year</w:t>
        </w:r>
      </w:hyperlink>
    </w:p>
    <w:p>
      <w:pPr>
        <w:spacing w:after="0" w:line="1" w:lineRule="exact"/>
        <w:rPr>
          <w:rFonts w:ascii="Arial" w:cs="Arial" w:eastAsia="Arial" w:hAnsi="Arial"/>
          <w:sz w:val="18"/>
          <w:szCs w:val="18"/>
          <w:u w:val="single" w:color="auto"/>
          <w:color w:val="0000EE"/>
        </w:rPr>
      </w:pPr>
    </w:p>
    <w:p>
      <w:pPr>
        <w:ind w:left="1644" w:right="380" w:hanging="1280"/>
        <w:spacing w:after="0" w:line="234" w:lineRule="auto"/>
        <w:tabs>
          <w:tab w:leader="none" w:pos="1644" w:val="left"/>
        </w:tabs>
        <w:numPr>
          <w:ilvl w:val="0"/>
          <w:numId w:val="29"/>
        </w:numPr>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Impact of the COVID-19 Pandemic on our</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Executive Compensation Program</w:t>
        </w:r>
      </w:hyperlink>
    </w:p>
    <w:p>
      <w:pPr>
        <w:ind w:left="1644" w:hanging="1280"/>
        <w:spacing w:after="0" w:line="236" w:lineRule="auto"/>
        <w:tabs>
          <w:tab w:leader="none" w:pos="1644" w:val="left"/>
        </w:tabs>
        <w:numPr>
          <w:ilvl w:val="0"/>
          <w:numId w:val="30"/>
        </w:numPr>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Compensation Philosophy</w:t>
        </w:r>
      </w:hyperlink>
    </w:p>
    <w:p>
      <w:pPr>
        <w:ind w:left="1644" w:right="320" w:hanging="1280"/>
        <w:spacing w:after="0" w:line="234" w:lineRule="auto"/>
        <w:tabs>
          <w:tab w:leader="none" w:pos="1644" w:val="left"/>
        </w:tabs>
        <w:numPr>
          <w:ilvl w:val="0"/>
          <w:numId w:val="30"/>
        </w:numPr>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What’s New With Our 2020 Compensation</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Program</w:t>
        </w:r>
      </w:hyperlink>
    </w:p>
    <w:p>
      <w:pPr>
        <w:spacing w:after="0" w:line="1" w:lineRule="exact"/>
        <w:rPr>
          <w:rFonts w:ascii="Arial" w:cs="Arial" w:eastAsia="Arial" w:hAnsi="Arial"/>
          <w:sz w:val="18"/>
          <w:szCs w:val="18"/>
          <w:u w:val="single" w:color="auto"/>
          <w:color w:val="0000EE"/>
        </w:rPr>
      </w:pPr>
    </w:p>
    <w:p>
      <w:pPr>
        <w:ind w:left="1644" w:right="560" w:hanging="1280"/>
        <w:spacing w:after="0" w:line="234" w:lineRule="auto"/>
        <w:tabs>
          <w:tab w:leader="none" w:pos="1644" w:val="left"/>
        </w:tabs>
        <w:numPr>
          <w:ilvl w:val="0"/>
          <w:numId w:val="30"/>
        </w:numPr>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2020 Say-on-Pay Vote and Stockholder</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Engagement</w:t>
        </w:r>
      </w:hyperlink>
    </w:p>
    <w:p>
      <w:pPr>
        <w:ind w:left="1644" w:hanging="1280"/>
        <w:spacing w:after="0" w:line="236" w:lineRule="auto"/>
        <w:tabs>
          <w:tab w:leader="none" w:pos="1644" w:val="left"/>
        </w:tabs>
        <w:numPr>
          <w:ilvl w:val="0"/>
          <w:numId w:val="31"/>
        </w:numPr>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Compensation Highlights</w:t>
        </w:r>
      </w:hyperlink>
    </w:p>
    <w:p>
      <w:pPr>
        <w:ind w:left="1644" w:hanging="1280"/>
        <w:spacing w:after="0" w:line="234" w:lineRule="auto"/>
        <w:tabs>
          <w:tab w:leader="none" w:pos="1644" w:val="left"/>
        </w:tabs>
        <w:numPr>
          <w:ilvl w:val="0"/>
          <w:numId w:val="31"/>
        </w:numPr>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CEO Compensation</w:t>
        </w:r>
      </w:hyperlink>
    </w:p>
    <w:p>
      <w:pPr>
        <w:ind w:left="1644" w:hanging="1280"/>
        <w:spacing w:after="0" w:line="235" w:lineRule="auto"/>
        <w:tabs>
          <w:tab w:leader="none" w:pos="1644" w:val="left"/>
        </w:tabs>
        <w:numPr>
          <w:ilvl w:val="0"/>
          <w:numId w:val="32"/>
        </w:numPr>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Planned Changes for 2021</w:t>
        </w:r>
      </w:hyperlink>
    </w:p>
    <w:p>
      <w:pPr>
        <w:ind w:left="1284" w:right="100" w:hanging="920"/>
        <w:spacing w:after="0" w:line="234" w:lineRule="auto"/>
        <w:tabs>
          <w:tab w:leader="none" w:pos="1284" w:val="left"/>
        </w:tabs>
        <w:numPr>
          <w:ilvl w:val="0"/>
          <w:numId w:val="32"/>
        </w:numPr>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Section 2 – Our 2020 Executive Compensation</w:t>
        </w:r>
      </w:hyperlink>
      <w:r>
        <w:rPr>
          <w:rFonts w:ascii="Arial" w:cs="Arial" w:eastAsia="Arial" w:hAnsi="Arial"/>
          <w:sz w:val="18"/>
          <w:szCs w:val="18"/>
          <w:b w:val="1"/>
          <w:bCs w:val="1"/>
          <w:u w:val="single" w:color="auto"/>
          <w:color w:val="0000EE"/>
        </w:rPr>
        <w:t xml:space="preserve"> </w:t>
      </w:r>
      <w:hyperlink w:anchor="page56">
        <w:r>
          <w:rPr>
            <w:rFonts w:ascii="Arial" w:cs="Arial" w:eastAsia="Arial" w:hAnsi="Arial"/>
            <w:sz w:val="18"/>
            <w:szCs w:val="18"/>
            <w:b w:val="1"/>
            <w:bCs w:val="1"/>
            <w:u w:val="single" w:color="auto"/>
            <w:color w:val="0000EE"/>
          </w:rPr>
          <w:t>Program</w:t>
        </w:r>
      </w:hyperlink>
    </w:p>
    <w:p>
      <w:pPr>
        <w:ind w:left="1644" w:hanging="1280"/>
        <w:spacing w:after="0" w:line="236" w:lineRule="auto"/>
        <w:tabs>
          <w:tab w:leader="none" w:pos="1644" w:val="left"/>
        </w:tabs>
        <w:numPr>
          <w:ilvl w:val="0"/>
          <w:numId w:val="33"/>
        </w:numPr>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2020 Compensation Planning Process</w:t>
        </w:r>
      </w:hyperlink>
    </w:p>
    <w:p>
      <w:pPr>
        <w:ind w:left="1644" w:right="40" w:hanging="1280"/>
        <w:spacing w:after="0" w:line="234" w:lineRule="auto"/>
        <w:tabs>
          <w:tab w:leader="none" w:pos="1644" w:val="left"/>
        </w:tabs>
        <w:numPr>
          <w:ilvl w:val="0"/>
          <w:numId w:val="33"/>
        </w:numPr>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Role of the Compensation and Human Capital</w:t>
        </w:r>
      </w:hyperlink>
      <w:r>
        <w:rPr>
          <w:rFonts w:ascii="Arial" w:cs="Arial" w:eastAsia="Arial" w:hAnsi="Arial"/>
          <w:sz w:val="18"/>
          <w:szCs w:val="18"/>
          <w:u w:val="single" w:color="auto"/>
          <w:color w:val="0000EE"/>
        </w:rPr>
        <w:t xml:space="preserve"> </w:t>
      </w:r>
      <w:hyperlink w:anchor="page57">
        <w:r>
          <w:rPr>
            <w:rFonts w:ascii="Arial" w:cs="Arial" w:eastAsia="Arial" w:hAnsi="Arial"/>
            <w:sz w:val="18"/>
            <w:szCs w:val="18"/>
            <w:u w:val="single" w:color="auto"/>
            <w:color w:val="0000EE"/>
          </w:rPr>
          <w:t>Committee and Others in Determining</w:t>
        </w:r>
      </w:hyperlink>
      <w:r>
        <w:rPr>
          <w:rFonts w:ascii="Arial" w:cs="Arial" w:eastAsia="Arial" w:hAnsi="Arial"/>
          <w:sz w:val="18"/>
          <w:szCs w:val="18"/>
          <w:u w:val="single" w:color="auto"/>
          <w:color w:val="0000EE"/>
        </w:rPr>
        <w:t xml:space="preserve"> </w:t>
      </w:r>
      <w:hyperlink w:anchor="page57">
        <w:r>
          <w:rPr>
            <w:rFonts w:ascii="Arial" w:cs="Arial" w:eastAsia="Arial" w:hAnsi="Arial"/>
            <w:sz w:val="18"/>
            <w:szCs w:val="18"/>
            <w:u w:val="single" w:color="auto"/>
            <w:color w:val="0000EE"/>
          </w:rPr>
          <w:t>Compensation</w:t>
        </w:r>
      </w:hyperlink>
    </w:p>
    <w:p>
      <w:pPr>
        <w:spacing w:after="0" w:line="2" w:lineRule="exact"/>
        <w:rPr>
          <w:rFonts w:ascii="Arial" w:cs="Arial" w:eastAsia="Arial" w:hAnsi="Arial"/>
          <w:sz w:val="18"/>
          <w:szCs w:val="18"/>
          <w:u w:val="single" w:color="auto"/>
          <w:color w:val="0000EE"/>
        </w:rPr>
      </w:pPr>
    </w:p>
    <w:p>
      <w:pPr>
        <w:ind w:left="1644" w:hanging="1280"/>
        <w:spacing w:after="0" w:line="234" w:lineRule="auto"/>
        <w:tabs>
          <w:tab w:leader="none" w:pos="1644" w:val="left"/>
        </w:tabs>
        <w:numPr>
          <w:ilvl w:val="0"/>
          <w:numId w:val="33"/>
        </w:numPr>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Elements of 2020 Compensation</w:t>
        </w:r>
      </w:hyperlink>
    </w:p>
    <w:p>
      <w:pPr>
        <w:ind w:left="1644" w:hanging="1280"/>
        <w:spacing w:after="0" w:line="235" w:lineRule="auto"/>
        <w:tabs>
          <w:tab w:leader="none" w:pos="1644" w:val="left"/>
        </w:tabs>
        <w:numPr>
          <w:ilvl w:val="0"/>
          <w:numId w:val="34"/>
        </w:numPr>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2020 Target Total Direct Compensation</w:t>
        </w:r>
      </w:hyperlink>
    </w:p>
    <w:p>
      <w:pPr>
        <w:ind w:left="1644" w:hanging="1280"/>
        <w:spacing w:after="0" w:line="235" w:lineRule="auto"/>
        <w:tabs>
          <w:tab w:leader="none" w:pos="1644" w:val="left"/>
        </w:tabs>
        <w:numPr>
          <w:ilvl w:val="0"/>
          <w:numId w:val="35"/>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2020 Short-Term Incentive Awards</w:t>
        </w:r>
      </w:hyperlink>
    </w:p>
    <w:p>
      <w:pPr>
        <w:ind w:left="1644" w:hanging="1280"/>
        <w:spacing w:after="0" w:line="235" w:lineRule="auto"/>
        <w:tabs>
          <w:tab w:leader="none" w:pos="1644" w:val="left"/>
        </w:tabs>
        <w:numPr>
          <w:ilvl w:val="0"/>
          <w:numId w:val="36"/>
        </w:numPr>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2018 PSU Payouts</w:t>
        </w:r>
      </w:hyperlink>
    </w:p>
    <w:p>
      <w:pPr>
        <w:ind w:left="1284" w:right="40" w:hanging="920"/>
        <w:spacing w:after="0" w:line="234" w:lineRule="auto"/>
        <w:tabs>
          <w:tab w:leader="none" w:pos="1284" w:val="left"/>
        </w:tabs>
        <w:numPr>
          <w:ilvl w:val="0"/>
          <w:numId w:val="36"/>
        </w:numPr>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Section 3 – Additional Compensation Practices</w:t>
        </w:r>
      </w:hyperlink>
      <w:r>
        <w:rPr>
          <w:rFonts w:ascii="Arial" w:cs="Arial" w:eastAsia="Arial" w:hAnsi="Arial"/>
          <w:sz w:val="18"/>
          <w:szCs w:val="18"/>
          <w:b w:val="1"/>
          <w:bCs w:val="1"/>
          <w:u w:val="single" w:color="auto"/>
          <w:color w:val="0000EE"/>
        </w:rPr>
        <w:t xml:space="preserve"> </w:t>
      </w:r>
      <w:hyperlink w:anchor="page66">
        <w:r>
          <w:rPr>
            <w:rFonts w:ascii="Arial" w:cs="Arial" w:eastAsia="Arial" w:hAnsi="Arial"/>
            <w:sz w:val="18"/>
            <w:szCs w:val="18"/>
            <w:b w:val="1"/>
            <w:bCs w:val="1"/>
            <w:u w:val="single" w:color="auto"/>
            <w:color w:val="0000EE"/>
          </w:rPr>
          <w:t>and Policies</w:t>
        </w:r>
      </w:hyperlink>
    </w:p>
    <w:p>
      <w:pPr>
        <w:spacing w:after="0" w:line="1" w:lineRule="exact"/>
        <w:rPr>
          <w:rFonts w:ascii="Arial" w:cs="Arial" w:eastAsia="Arial" w:hAnsi="Arial"/>
          <w:sz w:val="18"/>
          <w:szCs w:val="18"/>
          <w:b w:val="1"/>
          <w:bCs w:val="1"/>
          <w:color w:val="4C4C4C"/>
        </w:rPr>
      </w:pPr>
    </w:p>
    <w:p>
      <w:pPr>
        <w:ind w:left="1644" w:hanging="1280"/>
        <w:spacing w:after="0"/>
        <w:tabs>
          <w:tab w:leader="none" w:pos="1644" w:val="left"/>
        </w:tabs>
        <w:numPr>
          <w:ilvl w:val="0"/>
          <w:numId w:val="37"/>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Stock Ownership and Retention Guidelines</w:t>
        </w:r>
      </w:hyperlink>
    </w:p>
    <w:p>
      <w:pPr>
        <w:spacing w:after="0" w:line="213" w:lineRule="exact"/>
        <w:rPr>
          <w:rFonts w:ascii="Arial" w:cs="Arial" w:eastAsia="Arial" w:hAnsi="Arial"/>
          <w:sz w:val="18"/>
          <w:szCs w:val="18"/>
          <w:b w:val="1"/>
          <w:bCs w:val="1"/>
          <w:color w:val="4C4C4C"/>
        </w:rPr>
      </w:pPr>
    </w:p>
    <w:p>
      <w:pPr>
        <w:sectPr>
          <w:pgSz w:w="11900" w:h="16838" w:orient="portrait"/>
          <w:cols w:equalWidth="0" w:num="2">
            <w:col w:w="5280" w:space="516"/>
            <w:col w:w="5344"/>
          </w:cols>
          <w:pgMar w:left="320" w:top="459" w:right="439" w:bottom="1440" w:gutter="0" w:footer="0" w:header="0"/>
          <w:type w:val="continuous"/>
        </w:sectPr>
      </w:pPr>
    </w:p>
    <w:p>
      <w:pPr>
        <w:spacing w:after="0" w:line="71" w:lineRule="exact"/>
        <w:rPr>
          <w:rFonts w:ascii="Arial" w:cs="Arial" w:eastAsia="Arial" w:hAnsi="Arial"/>
          <w:sz w:val="18"/>
          <w:szCs w:val="18"/>
          <w:b w:val="1"/>
          <w:bCs w:val="1"/>
          <w:color w:val="4C4C4C"/>
        </w:rPr>
      </w:pPr>
    </w:p>
    <w:p>
      <w:pPr>
        <w:ind w:left="9580"/>
        <w:spacing w:after="0"/>
        <w:rPr>
          <w:sz w:val="20"/>
          <w:szCs w:val="20"/>
          <w:color w:val="auto"/>
        </w:rPr>
      </w:pPr>
      <w:r>
        <w:rPr>
          <w:rFonts w:ascii="Arial" w:cs="Arial" w:eastAsia="Arial" w:hAnsi="Arial"/>
          <w:sz w:val="13"/>
          <w:szCs w:val="13"/>
          <w:b w:val="1"/>
          <w:bCs w:val="1"/>
          <w:color w:val="00ADBB"/>
        </w:rPr>
        <w:t>2021 Proxy Statement | 1</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Contents</w:t>
      </w:r>
    </w:p>
    <w:p>
      <w:pPr>
        <w:spacing w:after="0" w:line="299" w:lineRule="exact"/>
        <w:rPr>
          <w:sz w:val="20"/>
          <w:szCs w:val="20"/>
          <w:color w:val="auto"/>
        </w:rPr>
      </w:pPr>
    </w:p>
    <w:p>
      <w:pPr>
        <w:ind w:left="1700" w:hanging="1159"/>
        <w:spacing w:after="0"/>
        <w:tabs>
          <w:tab w:leader="none" w:pos="1700" w:val="left"/>
        </w:tabs>
        <w:numPr>
          <w:ilvl w:val="0"/>
          <w:numId w:val="38"/>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Benefit Plans</w:t>
        </w:r>
      </w:hyperlink>
    </w:p>
    <w:p>
      <w:pPr>
        <w:ind w:left="1700" w:hanging="1159"/>
        <w:spacing w:after="0" w:line="234" w:lineRule="auto"/>
        <w:tabs>
          <w:tab w:leader="none" w:pos="1700" w:val="left"/>
        </w:tabs>
        <w:numPr>
          <w:ilvl w:val="0"/>
          <w:numId w:val="38"/>
        </w:numPr>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Termination and Change of Control Benefits</w:t>
        </w:r>
      </w:hyperlink>
    </w:p>
    <w:p>
      <w:pPr>
        <w:ind w:left="1700" w:hanging="1159"/>
        <w:spacing w:after="0" w:line="234" w:lineRule="auto"/>
        <w:tabs>
          <w:tab w:leader="none" w:pos="1700" w:val="left"/>
        </w:tabs>
        <w:numPr>
          <w:ilvl w:val="0"/>
          <w:numId w:val="38"/>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Stock-Based Award Timing Practices</w:t>
        </w:r>
      </w:hyperlink>
    </w:p>
    <w:p>
      <w:pPr>
        <w:spacing w:after="0" w:line="1" w:lineRule="exact"/>
        <w:rPr>
          <w:rFonts w:ascii="Arial" w:cs="Arial" w:eastAsia="Arial" w:hAnsi="Arial"/>
          <w:sz w:val="18"/>
          <w:szCs w:val="18"/>
          <w:color w:val="4C4C4C"/>
        </w:rPr>
      </w:pPr>
    </w:p>
    <w:p>
      <w:pPr>
        <w:ind w:left="1700" w:hanging="1159"/>
        <w:spacing w:after="0"/>
        <w:tabs>
          <w:tab w:leader="none" w:pos="1700" w:val="left"/>
        </w:tabs>
        <w:numPr>
          <w:ilvl w:val="0"/>
          <w:numId w:val="39"/>
        </w:numPr>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Tax Deductibility of Executive Compensation</w:t>
        </w:r>
      </w:hyperlink>
    </w:p>
    <w:p>
      <w:pPr>
        <w:spacing w:after="0" w:line="3" w:lineRule="exact"/>
        <w:rPr>
          <w:rFonts w:ascii="Arial" w:cs="Arial" w:eastAsia="Arial" w:hAnsi="Arial"/>
          <w:sz w:val="18"/>
          <w:szCs w:val="18"/>
          <w:color w:val="4C4C4C"/>
        </w:rPr>
      </w:pPr>
    </w:p>
    <w:p>
      <w:pPr>
        <w:ind w:left="1700" w:hanging="1159"/>
        <w:spacing w:after="0"/>
        <w:tabs>
          <w:tab w:leader="none" w:pos="1700" w:val="left"/>
        </w:tabs>
        <w:numPr>
          <w:ilvl w:val="0"/>
          <w:numId w:val="40"/>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Hedging and Pledging Prohibition</w:t>
        </w:r>
      </w:hyperlink>
    </w:p>
    <w:p>
      <w:pPr>
        <w:ind w:left="1700" w:hanging="1159"/>
        <w:spacing w:after="0" w:line="234" w:lineRule="auto"/>
        <w:tabs>
          <w:tab w:leader="none" w:pos="1700" w:val="left"/>
        </w:tabs>
        <w:numPr>
          <w:ilvl w:val="0"/>
          <w:numId w:val="41"/>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Clawback Policy</w:t>
        </w:r>
      </w:hyperlink>
    </w:p>
    <w:p>
      <w:pPr>
        <w:ind w:left="1700" w:hanging="1159"/>
        <w:spacing w:after="0" w:line="234" w:lineRule="auto"/>
        <w:tabs>
          <w:tab w:leader="none" w:pos="1700" w:val="left"/>
        </w:tabs>
        <w:numPr>
          <w:ilvl w:val="0"/>
          <w:numId w:val="41"/>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Risk Assessment</w:t>
        </w:r>
      </w:hyperlink>
    </w:p>
    <w:p>
      <w:pPr>
        <w:spacing w:after="0" w:line="1" w:lineRule="exact"/>
        <w:rPr>
          <w:rFonts w:ascii="Arial" w:cs="Arial" w:eastAsia="Arial" w:hAnsi="Arial"/>
          <w:sz w:val="18"/>
          <w:szCs w:val="18"/>
          <w:color w:val="4C4C4C"/>
        </w:rPr>
      </w:pPr>
    </w:p>
    <w:p>
      <w:pPr>
        <w:ind w:left="1340" w:right="400" w:hanging="799"/>
        <w:spacing w:after="0" w:line="234" w:lineRule="auto"/>
        <w:tabs>
          <w:tab w:leader="none" w:pos="1340" w:val="left"/>
        </w:tabs>
        <w:numPr>
          <w:ilvl w:val="0"/>
          <w:numId w:val="42"/>
        </w:numPr>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Section 4 – 2021 Compensation Program</w:t>
        </w:r>
      </w:hyperlink>
      <w:r>
        <w:rPr>
          <w:rFonts w:ascii="Arial" w:cs="Arial" w:eastAsia="Arial" w:hAnsi="Arial"/>
          <w:sz w:val="18"/>
          <w:szCs w:val="18"/>
          <w:b w:val="1"/>
          <w:bCs w:val="1"/>
          <w:u w:val="single" w:color="auto"/>
          <w:color w:val="0000EE"/>
        </w:rPr>
        <w:t xml:space="preserve"> </w:t>
      </w:r>
      <w:hyperlink w:anchor="page69">
        <w:r>
          <w:rPr>
            <w:rFonts w:ascii="Arial" w:cs="Arial" w:eastAsia="Arial" w:hAnsi="Arial"/>
            <w:sz w:val="18"/>
            <w:szCs w:val="18"/>
            <w:b w:val="1"/>
            <w:bCs w:val="1"/>
            <w:u w:val="single" w:color="auto"/>
            <w:color w:val="0000EE"/>
          </w:rPr>
          <w:t>Overview</w:t>
        </w:r>
      </w:hyperlink>
    </w:p>
    <w:p>
      <w:pPr>
        <w:spacing w:after="0" w:line="1" w:lineRule="exact"/>
        <w:rPr>
          <w:rFonts w:ascii="Arial" w:cs="Arial" w:eastAsia="Arial" w:hAnsi="Arial"/>
          <w:sz w:val="18"/>
          <w:szCs w:val="18"/>
          <w:b w:val="1"/>
          <w:bCs w:val="1"/>
          <w:color w:val="4C4C4C"/>
        </w:rPr>
      </w:pPr>
    </w:p>
    <w:p>
      <w:pPr>
        <w:ind w:left="1700" w:right="380" w:hanging="1159"/>
        <w:spacing w:after="0" w:line="234" w:lineRule="auto"/>
        <w:tabs>
          <w:tab w:leader="none" w:pos="1700" w:val="left"/>
        </w:tabs>
        <w:numPr>
          <w:ilvl w:val="0"/>
          <w:numId w:val="43"/>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2020 Say-on-Pay Vote and Stockholder</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Engagement</w:t>
        </w:r>
      </w:hyperlink>
    </w:p>
    <w:p>
      <w:pPr>
        <w:spacing w:after="0" w:line="1" w:lineRule="exact"/>
        <w:rPr>
          <w:rFonts w:ascii="Arial" w:cs="Arial" w:eastAsia="Arial" w:hAnsi="Arial"/>
          <w:sz w:val="18"/>
          <w:szCs w:val="18"/>
          <w:u w:val="single" w:color="auto"/>
          <w:color w:val="0000EE"/>
        </w:rPr>
      </w:pPr>
    </w:p>
    <w:p>
      <w:pPr>
        <w:ind w:left="1700" w:hanging="1159"/>
        <w:spacing w:after="0" w:line="234" w:lineRule="auto"/>
        <w:tabs>
          <w:tab w:leader="none" w:pos="1700" w:val="left"/>
        </w:tabs>
        <w:numPr>
          <w:ilvl w:val="0"/>
          <w:numId w:val="43"/>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2021 STI Metrics</w:t>
        </w:r>
      </w:hyperlink>
    </w:p>
    <w:p>
      <w:pPr>
        <w:ind w:left="1700" w:hanging="1159"/>
        <w:spacing w:after="0" w:line="235" w:lineRule="auto"/>
        <w:tabs>
          <w:tab w:leader="none" w:pos="1700" w:val="left"/>
        </w:tabs>
        <w:numPr>
          <w:ilvl w:val="0"/>
          <w:numId w:val="44"/>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2021 LTI Awards</w:t>
        </w:r>
      </w:hyperlink>
    </w:p>
    <w:p>
      <w:pPr>
        <w:ind w:left="1700" w:hanging="1159"/>
        <w:spacing w:after="0" w:line="234" w:lineRule="auto"/>
        <w:tabs>
          <w:tab w:leader="none" w:pos="1700" w:val="left"/>
        </w:tabs>
        <w:numPr>
          <w:ilvl w:val="0"/>
          <w:numId w:val="44"/>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2021 Target TDC</w:t>
        </w:r>
      </w:hyperlink>
    </w:p>
    <w:p>
      <w:pPr>
        <w:spacing w:after="0" w:line="1" w:lineRule="exact"/>
        <w:rPr>
          <w:rFonts w:ascii="Arial" w:cs="Arial" w:eastAsia="Arial" w:hAnsi="Arial"/>
          <w:sz w:val="18"/>
          <w:szCs w:val="18"/>
          <w:color w:val="4C4C4C"/>
        </w:rPr>
      </w:pPr>
    </w:p>
    <w:p>
      <w:pPr>
        <w:ind w:left="1340" w:hanging="799"/>
        <w:spacing w:after="0"/>
        <w:tabs>
          <w:tab w:leader="none" w:pos="1340" w:val="left"/>
        </w:tabs>
        <w:numPr>
          <w:ilvl w:val="0"/>
          <w:numId w:val="45"/>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Compensation Committee Report</w:t>
        </w:r>
      </w:hyperlink>
    </w:p>
    <w:p>
      <w:pPr>
        <w:spacing w:after="0" w:line="82" w:lineRule="exact"/>
        <w:rPr>
          <w:rFonts w:ascii="Arial" w:cs="Arial" w:eastAsia="Arial" w:hAnsi="Arial"/>
          <w:sz w:val="18"/>
          <w:szCs w:val="18"/>
          <w:color w:val="4C4C4C"/>
        </w:rPr>
      </w:pPr>
    </w:p>
    <w:p>
      <w:pPr>
        <w:ind w:left="540" w:hanging="363"/>
        <w:spacing w:after="0"/>
        <w:tabs>
          <w:tab w:leader="none" w:pos="540" w:val="left"/>
        </w:tabs>
        <w:numPr>
          <w:ilvl w:val="0"/>
          <w:numId w:val="46"/>
        </w:numPr>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Compensation Tables</w:t>
        </w:r>
      </w:hyperlink>
    </w:p>
    <w:p>
      <w:pPr>
        <w:spacing w:after="0" w:line="17" w:lineRule="exact"/>
        <w:rPr>
          <w:rFonts w:ascii="Arial" w:cs="Arial" w:eastAsia="Arial" w:hAnsi="Arial"/>
          <w:sz w:val="18"/>
          <w:szCs w:val="18"/>
          <w:b w:val="1"/>
          <w:bCs w:val="1"/>
          <w:u w:val="single" w:color="auto"/>
          <w:color w:val="0000EE"/>
        </w:rPr>
      </w:pPr>
    </w:p>
    <w:p>
      <w:pPr>
        <w:ind w:left="540"/>
        <w:spacing w:after="0"/>
        <w:rPr>
          <w:rFonts w:ascii="Arial" w:cs="Arial" w:eastAsia="Arial" w:hAnsi="Arial"/>
          <w:sz w:val="17"/>
          <w:szCs w:val="17"/>
          <w:u w:val="single" w:color="auto"/>
          <w:color w:val="0000EE"/>
        </w:rPr>
      </w:pPr>
      <w:r>
        <w:rPr>
          <w:rFonts w:ascii="Arial" w:cs="Arial" w:eastAsia="Arial" w:hAnsi="Arial"/>
          <w:sz w:val="18"/>
          <w:szCs w:val="18"/>
          <w:color w:val="4C4C4C"/>
        </w:rPr>
        <w:t>64</w:t>
      </w:r>
      <w:hyperlink w:anchor="page72">
        <w:r>
          <w:rPr>
            <w:rFonts w:ascii="Arial" w:cs="Arial" w:eastAsia="Arial" w:hAnsi="Arial"/>
            <w:sz w:val="17"/>
            <w:szCs w:val="17"/>
            <w:u w:val="single" w:color="auto"/>
            <w:color w:val="0000EE"/>
          </w:rPr>
          <w:t>Summary Compensation Table for 2020</w:t>
        </w:r>
      </w:hyperlink>
    </w:p>
    <w:p>
      <w:pPr>
        <w:ind w:left="540"/>
        <w:spacing w:after="0" w:line="234" w:lineRule="auto"/>
        <w:rPr>
          <w:rFonts w:ascii="Arial" w:cs="Arial" w:eastAsia="Arial" w:hAnsi="Arial"/>
          <w:sz w:val="18"/>
          <w:szCs w:val="18"/>
          <w:u w:val="single" w:color="auto"/>
          <w:color w:val="0000EE"/>
        </w:rPr>
      </w:pPr>
      <w:r>
        <w:rPr>
          <w:rFonts w:ascii="Arial" w:cs="Arial" w:eastAsia="Arial" w:hAnsi="Arial"/>
          <w:sz w:val="18"/>
          <w:szCs w:val="18"/>
          <w:color w:val="4C4C4C"/>
        </w:rPr>
        <w:t>67</w:t>
      </w:r>
      <w:hyperlink w:anchor="page75">
        <w:r>
          <w:rPr>
            <w:rFonts w:ascii="Arial" w:cs="Arial" w:eastAsia="Arial" w:hAnsi="Arial"/>
            <w:sz w:val="18"/>
            <w:szCs w:val="18"/>
            <w:u w:val="single" w:color="auto"/>
            <w:color w:val="0000EE"/>
          </w:rPr>
          <w:t>Grants of Plan-Based Awards in 2020</w:t>
        </w:r>
      </w:hyperlink>
    </w:p>
    <w:p>
      <w:pPr>
        <w:ind w:left="1340" w:right="80" w:hanging="808"/>
        <w:spacing w:after="0" w:line="234" w:lineRule="auto"/>
        <w:rPr>
          <w:rFonts w:ascii="Arial" w:cs="Arial" w:eastAsia="Arial" w:hAnsi="Arial"/>
          <w:sz w:val="18"/>
          <w:szCs w:val="18"/>
          <w:u w:val="single" w:color="auto"/>
          <w:color w:val="0000EE"/>
        </w:rPr>
      </w:pPr>
      <w:r>
        <w:rPr>
          <w:rFonts w:ascii="Arial" w:cs="Arial" w:eastAsia="Arial" w:hAnsi="Arial"/>
          <w:sz w:val="18"/>
          <w:szCs w:val="18"/>
          <w:color w:val="4C4C4C"/>
        </w:rPr>
        <w:t>69</w:t>
      </w:r>
      <w:hyperlink w:anchor="page77">
        <w:r>
          <w:rPr>
            <w:rFonts w:ascii="Arial" w:cs="Arial" w:eastAsia="Arial" w:hAnsi="Arial"/>
            <w:sz w:val="18"/>
            <w:szCs w:val="18"/>
            <w:u w:val="single" w:color="auto"/>
            <w:color w:val="0000EE"/>
          </w:rPr>
          <w:t>Outstanding Equity Awards at 2020 Fiscal Year-</w:t>
        </w:r>
      </w:hyperlink>
      <w:hyperlink w:anchor="page77">
        <w:r>
          <w:rPr>
            <w:rFonts w:ascii="Arial" w:cs="Arial" w:eastAsia="Arial" w:hAnsi="Arial"/>
            <w:sz w:val="18"/>
            <w:szCs w:val="18"/>
            <w:u w:val="single" w:color="auto"/>
            <w:color w:val="0000EE"/>
          </w:rPr>
          <w:t>End</w:t>
        </w:r>
      </w:hyperlink>
    </w:p>
    <w:p>
      <w:pPr>
        <w:spacing w:after="0" w:line="1" w:lineRule="exact"/>
        <w:rPr>
          <w:rFonts w:ascii="Arial" w:cs="Arial" w:eastAsia="Arial" w:hAnsi="Arial"/>
          <w:sz w:val="18"/>
          <w:szCs w:val="18"/>
          <w:u w:val="single" w:color="auto"/>
          <w:color w:val="0000EE"/>
        </w:rPr>
      </w:pPr>
    </w:p>
    <w:p>
      <w:pPr>
        <w:ind w:left="540"/>
        <w:spacing w:after="0"/>
        <w:rPr>
          <w:rFonts w:ascii="Arial" w:cs="Arial" w:eastAsia="Arial" w:hAnsi="Arial"/>
          <w:sz w:val="17"/>
          <w:szCs w:val="17"/>
          <w:u w:val="single" w:color="auto"/>
          <w:color w:val="0000EE"/>
        </w:rPr>
      </w:pPr>
      <w:r>
        <w:rPr>
          <w:rFonts w:ascii="Arial" w:cs="Arial" w:eastAsia="Arial" w:hAnsi="Arial"/>
          <w:sz w:val="18"/>
          <w:szCs w:val="18"/>
          <w:color w:val="4C4C4C"/>
        </w:rPr>
        <w:t>71</w:t>
      </w:r>
      <w:hyperlink w:anchor="page79">
        <w:r>
          <w:rPr>
            <w:rFonts w:ascii="Arial" w:cs="Arial" w:eastAsia="Arial" w:hAnsi="Arial"/>
            <w:sz w:val="17"/>
            <w:szCs w:val="17"/>
            <w:u w:val="single" w:color="auto"/>
            <w:color w:val="0000EE"/>
          </w:rPr>
          <w:t>Option Exercises and Stock Vested in 2020</w:t>
        </w:r>
      </w:hyperlink>
    </w:p>
    <w:p>
      <w:pPr>
        <w:ind w:left="540"/>
        <w:spacing w:after="0"/>
        <w:rPr>
          <w:rFonts w:ascii="Arial" w:cs="Arial" w:eastAsia="Arial" w:hAnsi="Arial"/>
          <w:sz w:val="17"/>
          <w:szCs w:val="17"/>
          <w:u w:val="single" w:color="auto"/>
          <w:color w:val="0000EE"/>
        </w:rPr>
      </w:pPr>
      <w:r>
        <w:rPr>
          <w:rFonts w:ascii="Arial" w:cs="Arial" w:eastAsia="Arial" w:hAnsi="Arial"/>
          <w:sz w:val="18"/>
          <w:szCs w:val="18"/>
          <w:color w:val="4C4C4C"/>
        </w:rPr>
        <w:t>71</w:t>
      </w:r>
      <w:hyperlink w:anchor="page79">
        <w:r>
          <w:rPr>
            <w:rFonts w:ascii="Arial" w:cs="Arial" w:eastAsia="Arial" w:hAnsi="Arial"/>
            <w:sz w:val="17"/>
            <w:szCs w:val="17"/>
            <w:u w:val="single" w:color="auto"/>
            <w:color w:val="0000EE"/>
          </w:rPr>
          <w:t>Nonqualified Deferred Compensation in 2020</w:t>
        </w:r>
      </w:hyperlink>
    </w:p>
    <w:p>
      <w:pPr>
        <w:ind w:left="1340" w:hanging="808"/>
        <w:spacing w:after="0" w:line="234" w:lineRule="auto"/>
        <w:rPr>
          <w:rFonts w:ascii="Arial" w:cs="Arial" w:eastAsia="Arial" w:hAnsi="Arial"/>
          <w:sz w:val="18"/>
          <w:szCs w:val="18"/>
          <w:u w:val="single" w:color="auto"/>
          <w:color w:val="0000EE"/>
        </w:rPr>
      </w:pPr>
      <w:r>
        <w:rPr>
          <w:rFonts w:ascii="Arial" w:cs="Arial" w:eastAsia="Arial" w:hAnsi="Arial"/>
          <w:sz w:val="18"/>
          <w:szCs w:val="18"/>
          <w:color w:val="4C4C4C"/>
        </w:rPr>
        <w:t>73</w:t>
      </w:r>
      <w:hyperlink w:anchor="page81">
        <w:r>
          <w:rPr>
            <w:rFonts w:ascii="Arial" w:cs="Arial" w:eastAsia="Arial" w:hAnsi="Arial"/>
            <w:sz w:val="18"/>
            <w:szCs w:val="18"/>
            <w:u w:val="single" w:color="auto"/>
            <w:color w:val="0000EE"/>
          </w:rPr>
          <w:t>Potential Payments Upon Termination or Change</w:t>
        </w:r>
      </w:hyperlink>
      <w:r>
        <w:rPr>
          <w:rFonts w:ascii="Arial" w:cs="Arial" w:eastAsia="Arial" w:hAnsi="Arial"/>
          <w:sz w:val="18"/>
          <w:szCs w:val="18"/>
          <w:u w:val="single" w:color="auto"/>
          <w:color w:val="0000EE"/>
        </w:rPr>
        <w:t xml:space="preserve"> </w:t>
      </w:r>
      <w:hyperlink w:anchor="page81">
        <w:r>
          <w:rPr>
            <w:rFonts w:ascii="Arial" w:cs="Arial" w:eastAsia="Arial" w:hAnsi="Arial"/>
            <w:sz w:val="18"/>
            <w:szCs w:val="18"/>
            <w:u w:val="single" w:color="auto"/>
            <w:color w:val="0000EE"/>
          </w:rPr>
          <w:t>in Control</w:t>
        </w:r>
      </w:hyperlink>
    </w:p>
    <w:p>
      <w:pPr>
        <w:spacing w:after="0" w:line="1" w:lineRule="exact"/>
        <w:rPr>
          <w:rFonts w:ascii="Arial" w:cs="Arial" w:eastAsia="Arial" w:hAnsi="Arial"/>
          <w:sz w:val="18"/>
          <w:szCs w:val="18"/>
          <w:u w:val="single" w:color="auto"/>
          <w:color w:val="0000EE"/>
        </w:rPr>
      </w:pPr>
    </w:p>
    <w:p>
      <w:pPr>
        <w:ind w:left="1340" w:right="380" w:hanging="808"/>
        <w:spacing w:after="0" w:line="246" w:lineRule="auto"/>
        <w:rPr>
          <w:rFonts w:ascii="Arial" w:cs="Arial" w:eastAsia="Arial" w:hAnsi="Arial"/>
          <w:sz w:val="18"/>
          <w:szCs w:val="18"/>
          <w:u w:val="single" w:color="auto"/>
          <w:color w:val="0000EE"/>
        </w:rPr>
      </w:pPr>
      <w:r>
        <w:rPr>
          <w:rFonts w:ascii="Arial" w:cs="Arial" w:eastAsia="Arial" w:hAnsi="Arial"/>
          <w:sz w:val="18"/>
          <w:szCs w:val="18"/>
          <w:color w:val="4C4C4C"/>
        </w:rPr>
        <w:t>76</w:t>
      </w:r>
      <w:hyperlink w:anchor="page84">
        <w:r>
          <w:rPr>
            <w:rFonts w:ascii="Arial" w:cs="Arial" w:eastAsia="Arial" w:hAnsi="Arial"/>
            <w:sz w:val="18"/>
            <w:szCs w:val="18"/>
            <w:u w:val="single" w:color="auto"/>
            <w:color w:val="0000EE"/>
          </w:rPr>
          <w:t>Equity Compensation Plan Information as of</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December 31, 2020</w:t>
        </w:r>
      </w:hyperlink>
    </w:p>
    <w:p>
      <w:pPr>
        <w:spacing w:after="0" w:line="67" w:lineRule="exact"/>
        <w:rPr>
          <w:rFonts w:ascii="Arial" w:cs="Arial" w:eastAsia="Arial" w:hAnsi="Arial"/>
          <w:sz w:val="18"/>
          <w:szCs w:val="18"/>
          <w:u w:val="single" w:color="auto"/>
          <w:color w:val="0000EE"/>
        </w:rPr>
      </w:pPr>
    </w:p>
    <w:p>
      <w:pPr>
        <w:ind w:left="540" w:hanging="363"/>
        <w:spacing w:after="0"/>
        <w:tabs>
          <w:tab w:leader="none" w:pos="540" w:val="left"/>
        </w:tabs>
        <w:numPr>
          <w:ilvl w:val="0"/>
          <w:numId w:val="47"/>
        </w:numPr>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CEO Pay Ratio</w:t>
        </w:r>
      </w:hyperlink>
    </w:p>
    <w:p>
      <w:pPr>
        <w:spacing w:after="0" w:line="200" w:lineRule="exact"/>
        <w:rPr>
          <w:rFonts w:ascii="Arial" w:cs="Arial" w:eastAsia="Arial" w:hAnsi="Arial"/>
          <w:sz w:val="18"/>
          <w:szCs w:val="18"/>
          <w:u w:val="single" w:color="auto"/>
          <w:color w:val="0000EE"/>
        </w:rPr>
      </w:pPr>
    </w:p>
    <w:p>
      <w:pPr>
        <w:spacing w:after="0" w:line="309" w:lineRule="exact"/>
        <w:rPr>
          <w:rFonts w:ascii="Arial" w:cs="Arial" w:eastAsia="Arial" w:hAnsi="Arial"/>
          <w:sz w:val="18"/>
          <w:szCs w:val="18"/>
          <w:u w:val="single" w:color="auto"/>
          <w:color w:val="0000EE"/>
        </w:rPr>
      </w:pPr>
    </w:p>
    <w:p>
      <w:pPr>
        <w:ind w:left="120"/>
        <w:spacing w:after="0"/>
        <w:rPr>
          <w:sz w:val="20"/>
          <w:szCs w:val="20"/>
          <w:color w:val="auto"/>
        </w:rPr>
      </w:pPr>
      <w:r>
        <w:rPr>
          <w:rFonts w:ascii="Arial" w:cs="Arial" w:eastAsia="Arial" w:hAnsi="Arial"/>
          <w:sz w:val="13"/>
          <w:szCs w:val="13"/>
          <w:b w:val="1"/>
          <w:bCs w:val="1"/>
          <w:color w:val="00ADBB"/>
        </w:rPr>
        <w:t>2 | 2021 Proxy Statement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72"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3"/>
          <w:szCs w:val="13"/>
          <w:b w:val="1"/>
          <w:bCs w:val="1"/>
          <w:color w:val="00ADBB"/>
        </w:rPr>
        <w:t>Brighthouse Financial, Inc.</w:t>
      </w:r>
    </w:p>
    <w:p>
      <w:pPr>
        <w:spacing w:after="0" w:line="282" w:lineRule="exact"/>
        <w:rPr>
          <w:rFonts w:ascii="Arial" w:cs="Arial" w:eastAsia="Arial" w:hAnsi="Arial"/>
          <w:sz w:val="18"/>
          <w:szCs w:val="18"/>
          <w:u w:val="single" w:color="auto"/>
          <w:color w:val="0000EE"/>
        </w:rPr>
      </w:pPr>
    </w:p>
    <w:p>
      <w:pPr>
        <w:ind w:left="364" w:right="1400" w:hanging="364"/>
        <w:spacing w:after="0" w:line="247" w:lineRule="auto"/>
        <w:tabs>
          <w:tab w:leader="none" w:pos="364" w:val="left"/>
        </w:tabs>
        <w:numPr>
          <w:ilvl w:val="0"/>
          <w:numId w:val="48"/>
        </w:numPr>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Certain Relationships and Related Person</w:t>
        </w:r>
      </w:hyperlink>
      <w:r>
        <w:rPr>
          <w:rFonts w:ascii="Arial" w:cs="Arial" w:eastAsia="Arial" w:hAnsi="Arial"/>
          <w:sz w:val="18"/>
          <w:szCs w:val="18"/>
          <w:b w:val="1"/>
          <w:bCs w:val="1"/>
          <w:u w:val="single" w:color="auto"/>
          <w:color w:val="0000EE"/>
        </w:rPr>
        <w:t xml:space="preserve"> </w:t>
      </w:r>
      <w:hyperlink w:anchor="page85">
        <w:r>
          <w:rPr>
            <w:rFonts w:ascii="Arial" w:cs="Arial" w:eastAsia="Arial" w:hAnsi="Arial"/>
            <w:sz w:val="18"/>
            <w:szCs w:val="18"/>
            <w:b w:val="1"/>
            <w:bCs w:val="1"/>
            <w:u w:val="single" w:color="auto"/>
            <w:color w:val="0000EE"/>
          </w:rPr>
          <w:t>Transactions</w:t>
        </w:r>
      </w:hyperlink>
    </w:p>
    <w:p>
      <w:pPr>
        <w:ind w:left="364"/>
        <w:spacing w:after="0"/>
        <w:rPr>
          <w:rFonts w:ascii="Arial" w:cs="Arial" w:eastAsia="Arial" w:hAnsi="Arial"/>
          <w:sz w:val="17"/>
          <w:szCs w:val="17"/>
          <w:u w:val="single" w:color="auto"/>
          <w:color w:val="0000EE"/>
        </w:rPr>
      </w:pPr>
      <w:r>
        <w:rPr>
          <w:rFonts w:ascii="Arial" w:cs="Arial" w:eastAsia="Arial" w:hAnsi="Arial"/>
          <w:sz w:val="18"/>
          <w:szCs w:val="18"/>
          <w:color w:val="4C4C4C"/>
        </w:rPr>
        <w:t>77</w:t>
      </w:r>
      <w:hyperlink w:anchor="page85">
        <w:r>
          <w:rPr>
            <w:rFonts w:ascii="Arial" w:cs="Arial" w:eastAsia="Arial" w:hAnsi="Arial"/>
            <w:sz w:val="17"/>
            <w:szCs w:val="17"/>
            <w:u w:val="single" w:color="auto"/>
            <w:color w:val="0000EE"/>
          </w:rPr>
          <w:t>Related Person Transaction Approval Policy</w:t>
        </w:r>
      </w:hyperlink>
    </w:p>
    <w:p>
      <w:pPr>
        <w:ind w:left="1184" w:right="260" w:hanging="821"/>
        <w:spacing w:after="0" w:line="246" w:lineRule="auto"/>
        <w:rPr>
          <w:rFonts w:ascii="Arial" w:cs="Arial" w:eastAsia="Arial" w:hAnsi="Arial"/>
          <w:sz w:val="18"/>
          <w:szCs w:val="18"/>
          <w:u w:val="single" w:color="auto"/>
          <w:color w:val="0000EE"/>
        </w:rPr>
      </w:pPr>
      <w:r>
        <w:rPr>
          <w:rFonts w:ascii="Arial" w:cs="Arial" w:eastAsia="Arial" w:hAnsi="Arial"/>
          <w:sz w:val="18"/>
          <w:szCs w:val="18"/>
          <w:color w:val="4C4C4C"/>
        </w:rPr>
        <w:t>77</w:t>
      </w:r>
      <w:hyperlink w:anchor="page85">
        <w:r>
          <w:rPr>
            <w:rFonts w:ascii="Arial" w:cs="Arial" w:eastAsia="Arial" w:hAnsi="Arial"/>
            <w:sz w:val="18"/>
            <w:szCs w:val="18"/>
            <w:u w:val="single" w:color="auto"/>
            <w:color w:val="0000EE"/>
          </w:rPr>
          <w:t>Security Ownership of Certain Beneficial Owners</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and Management</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195580</wp:posOffset>
            </wp:positionH>
            <wp:positionV relativeFrom="paragraph">
              <wp:posOffset>-542290</wp:posOffset>
            </wp:positionV>
            <wp:extent cx="31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47" w:lineRule="exact"/>
        <w:rPr>
          <w:rFonts w:ascii="Arial" w:cs="Arial" w:eastAsia="Arial" w:hAnsi="Arial"/>
          <w:sz w:val="17"/>
          <w:szCs w:val="17"/>
          <w:u w:val="single" w:color="auto"/>
          <w:color w:val="0000EE"/>
        </w:rPr>
      </w:pPr>
    </w:p>
    <w:p>
      <w:pPr>
        <w:ind w:left="364" w:right="1680" w:hanging="364"/>
        <w:spacing w:after="0" w:line="247" w:lineRule="auto"/>
        <w:tabs>
          <w:tab w:leader="none" w:pos="364" w:val="left"/>
        </w:tabs>
        <w:numPr>
          <w:ilvl w:val="0"/>
          <w:numId w:val="49"/>
        </w:numPr>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The Annual Meeting, Voting, and Other</w:t>
        </w:r>
      </w:hyperlink>
      <w:r>
        <w:rPr>
          <w:rFonts w:ascii="Arial" w:cs="Arial" w:eastAsia="Arial" w:hAnsi="Arial"/>
          <w:sz w:val="18"/>
          <w:szCs w:val="18"/>
          <w:b w:val="1"/>
          <w:bCs w:val="1"/>
          <w:u w:val="single" w:color="auto"/>
          <w:color w:val="0000EE"/>
        </w:rPr>
        <w:t xml:space="preserve"> </w:t>
      </w:r>
      <w:hyperlink w:anchor="page88">
        <w:r>
          <w:rPr>
            <w:rFonts w:ascii="Arial" w:cs="Arial" w:eastAsia="Arial" w:hAnsi="Arial"/>
            <w:sz w:val="18"/>
            <w:szCs w:val="18"/>
            <w:b w:val="1"/>
            <w:bCs w:val="1"/>
            <w:u w:val="single" w:color="auto"/>
            <w:color w:val="0000EE"/>
          </w:rPr>
          <w:t>Information</w:t>
        </w:r>
      </w:hyperlink>
    </w:p>
    <w:p>
      <w:pPr>
        <w:spacing w:after="0" w:line="20" w:lineRule="exact"/>
        <w:rPr>
          <w:rFonts w:ascii="Arial" w:cs="Arial" w:eastAsia="Arial" w:hAnsi="Arial"/>
          <w:sz w:val="18"/>
          <w:szCs w:val="18"/>
          <w:b w:val="1"/>
          <w:bCs w:val="1"/>
          <w:color w:val="00ADBB"/>
        </w:rPr>
      </w:pPr>
      <w:r>
        <w:rPr>
          <w:rFonts w:ascii="Arial" w:cs="Arial" w:eastAsia="Arial" w:hAnsi="Arial"/>
          <w:sz w:val="18"/>
          <w:szCs w:val="18"/>
          <w:b w:val="1"/>
          <w:bCs w:val="1"/>
          <w:color w:val="00ADBB"/>
        </w:rPr>
        <w:drawing>
          <wp:anchor simplePos="0" relativeHeight="251657728" behindDoc="1" locked="0" layoutInCell="0" allowOverlap="1">
            <wp:simplePos x="0" y="0"/>
            <wp:positionH relativeFrom="column">
              <wp:posOffset>195580</wp:posOffset>
            </wp:positionH>
            <wp:positionV relativeFrom="paragraph">
              <wp:posOffset>-144145</wp:posOffset>
            </wp:positionV>
            <wp:extent cx="31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1184" w:hanging="820"/>
        <w:spacing w:after="0" w:line="235" w:lineRule="auto"/>
        <w:tabs>
          <w:tab w:leader="none" w:pos="1184" w:val="left"/>
        </w:tabs>
        <w:numPr>
          <w:ilvl w:val="0"/>
          <w:numId w:val="50"/>
        </w:numPr>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Overview</w:t>
        </w:r>
      </w:hyperlink>
    </w:p>
    <w:p>
      <w:pPr>
        <w:ind w:left="1184" w:hanging="820"/>
        <w:spacing w:after="0" w:line="235" w:lineRule="auto"/>
        <w:tabs>
          <w:tab w:leader="none" w:pos="1184" w:val="left"/>
        </w:tabs>
        <w:numPr>
          <w:ilvl w:val="0"/>
          <w:numId w:val="51"/>
        </w:numPr>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Attending the Annual Meeting</w:t>
        </w:r>
      </w:hyperlink>
    </w:p>
    <w:p>
      <w:pPr>
        <w:ind w:left="1184" w:hanging="820"/>
        <w:spacing w:after="0" w:line="234" w:lineRule="auto"/>
        <w:tabs>
          <w:tab w:leader="none" w:pos="1184" w:val="left"/>
        </w:tabs>
        <w:numPr>
          <w:ilvl w:val="0"/>
          <w:numId w:val="51"/>
        </w:numPr>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Directors’ Attendance at the Annual Meeting</w:t>
        </w:r>
      </w:hyperlink>
    </w:p>
    <w:p>
      <w:pPr>
        <w:spacing w:after="0" w:line="1" w:lineRule="exact"/>
        <w:rPr>
          <w:rFonts w:ascii="Arial" w:cs="Arial" w:eastAsia="Arial" w:hAnsi="Arial"/>
          <w:sz w:val="18"/>
          <w:szCs w:val="18"/>
          <w:color w:val="4C4C4C"/>
        </w:rPr>
      </w:pPr>
    </w:p>
    <w:p>
      <w:pPr>
        <w:ind w:left="1184" w:right="60" w:hanging="820"/>
        <w:spacing w:after="0" w:line="234" w:lineRule="auto"/>
        <w:tabs>
          <w:tab w:leader="none" w:pos="1184" w:val="left"/>
        </w:tabs>
        <w:numPr>
          <w:ilvl w:val="0"/>
          <w:numId w:val="52"/>
        </w:numPr>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Shares Outstanding and Holders of Record Entitled</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to Vote at the Annual Meeting</w:t>
        </w:r>
      </w:hyperlink>
    </w:p>
    <w:p>
      <w:pPr>
        <w:spacing w:after="0" w:line="1" w:lineRule="exact"/>
        <w:rPr>
          <w:rFonts w:ascii="Arial" w:cs="Arial" w:eastAsia="Arial" w:hAnsi="Arial"/>
          <w:sz w:val="18"/>
          <w:szCs w:val="18"/>
          <w:u w:val="single" w:color="auto"/>
          <w:color w:val="0000EE"/>
        </w:rPr>
      </w:pPr>
    </w:p>
    <w:p>
      <w:pPr>
        <w:ind w:left="1184" w:hanging="820"/>
        <w:spacing w:after="0" w:line="234" w:lineRule="auto"/>
        <w:tabs>
          <w:tab w:leader="none" w:pos="1184" w:val="left"/>
        </w:tabs>
        <w:numPr>
          <w:ilvl w:val="0"/>
          <w:numId w:val="52"/>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Your Vote is Important</w:t>
        </w:r>
      </w:hyperlink>
    </w:p>
    <w:p>
      <w:pPr>
        <w:ind w:left="1184" w:hanging="820"/>
        <w:spacing w:after="0" w:line="235" w:lineRule="auto"/>
        <w:tabs>
          <w:tab w:leader="none" w:pos="1184" w:val="left"/>
        </w:tabs>
        <w:numPr>
          <w:ilvl w:val="0"/>
          <w:numId w:val="53"/>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Quorum Requirement</w:t>
        </w:r>
      </w:hyperlink>
    </w:p>
    <w:p>
      <w:pPr>
        <w:ind w:left="1184" w:hanging="820"/>
        <w:spacing w:after="0" w:line="234" w:lineRule="auto"/>
        <w:tabs>
          <w:tab w:leader="none" w:pos="1184" w:val="left"/>
        </w:tabs>
        <w:numPr>
          <w:ilvl w:val="0"/>
          <w:numId w:val="54"/>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Voting Your Shares</w:t>
        </w:r>
      </w:hyperlink>
    </w:p>
    <w:p>
      <w:pPr>
        <w:ind w:left="1184" w:hanging="820"/>
        <w:spacing w:after="0" w:line="234" w:lineRule="auto"/>
        <w:tabs>
          <w:tab w:leader="none" w:pos="1184" w:val="left"/>
        </w:tabs>
        <w:numPr>
          <w:ilvl w:val="0"/>
          <w:numId w:val="54"/>
        </w:numPr>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Changing Your Vote or Revoking Your Proxy</w:t>
        </w:r>
      </w:hyperlink>
    </w:p>
    <w:p>
      <w:pPr>
        <w:ind w:left="1184" w:hanging="820"/>
        <w:spacing w:after="0" w:line="234" w:lineRule="auto"/>
        <w:tabs>
          <w:tab w:leader="none" w:pos="1184" w:val="left"/>
        </w:tabs>
        <w:numPr>
          <w:ilvl w:val="0"/>
          <w:numId w:val="54"/>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Vote Required for Each Proposal</w:t>
        </w:r>
      </w:hyperlink>
    </w:p>
    <w:p>
      <w:pPr>
        <w:ind w:left="1184" w:hanging="820"/>
        <w:spacing w:after="0" w:line="235" w:lineRule="auto"/>
        <w:tabs>
          <w:tab w:leader="none" w:pos="1184" w:val="left"/>
        </w:tabs>
        <w:numPr>
          <w:ilvl w:val="0"/>
          <w:numId w:val="55"/>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Matters to be Presented</w:t>
        </w:r>
      </w:hyperlink>
    </w:p>
    <w:p>
      <w:pPr>
        <w:ind w:left="1184" w:hanging="820"/>
        <w:spacing w:after="0" w:line="234" w:lineRule="auto"/>
        <w:tabs>
          <w:tab w:leader="none" w:pos="1184" w:val="left"/>
        </w:tabs>
        <w:numPr>
          <w:ilvl w:val="0"/>
          <w:numId w:val="56"/>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Delivery of Proxy Materials</w:t>
        </w:r>
      </w:hyperlink>
    </w:p>
    <w:p>
      <w:pPr>
        <w:ind w:left="1184" w:hanging="820"/>
        <w:spacing w:after="0" w:line="234" w:lineRule="auto"/>
        <w:tabs>
          <w:tab w:leader="none" w:pos="1184" w:val="left"/>
        </w:tabs>
        <w:numPr>
          <w:ilvl w:val="0"/>
          <w:numId w:val="56"/>
        </w:numPr>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Proxy Solicitation Costs</w:t>
        </w:r>
      </w:hyperlink>
    </w:p>
    <w:p>
      <w:pPr>
        <w:ind w:left="1184" w:hanging="820"/>
        <w:spacing w:after="0" w:line="234" w:lineRule="auto"/>
        <w:tabs>
          <w:tab w:leader="none" w:pos="1184" w:val="left"/>
        </w:tabs>
        <w:numPr>
          <w:ilvl w:val="0"/>
          <w:numId w:val="57"/>
        </w:numPr>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Vote Tabulation</w:t>
        </w:r>
      </w:hyperlink>
    </w:p>
    <w:p>
      <w:pPr>
        <w:ind w:left="1184" w:hanging="820"/>
        <w:spacing w:after="0" w:line="234" w:lineRule="auto"/>
        <w:tabs>
          <w:tab w:leader="none" w:pos="1184" w:val="left"/>
        </w:tabs>
        <w:numPr>
          <w:ilvl w:val="0"/>
          <w:numId w:val="58"/>
        </w:numPr>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Inspector of Election</w:t>
        </w:r>
      </w:hyperlink>
    </w:p>
    <w:p>
      <w:pPr>
        <w:ind w:left="1184" w:hanging="820"/>
        <w:spacing w:after="0" w:line="234" w:lineRule="auto"/>
        <w:tabs>
          <w:tab w:leader="none" w:pos="1184" w:val="left"/>
        </w:tabs>
        <w:numPr>
          <w:ilvl w:val="0"/>
          <w:numId w:val="59"/>
        </w:numPr>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Results of the Vote</w:t>
        </w:r>
      </w:hyperlink>
    </w:p>
    <w:p>
      <w:pPr>
        <w:ind w:left="1184" w:hanging="820"/>
        <w:spacing w:after="0"/>
        <w:tabs>
          <w:tab w:leader="none" w:pos="1184" w:val="left"/>
        </w:tabs>
        <w:numPr>
          <w:ilvl w:val="0"/>
          <w:numId w:val="59"/>
        </w:numPr>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Other Information</w:t>
        </w:r>
      </w:hyperlink>
    </w:p>
    <w:p>
      <w:pPr>
        <w:spacing w:after="0" w:line="82" w:lineRule="exact"/>
        <w:rPr>
          <w:rFonts w:ascii="Arial" w:cs="Arial" w:eastAsia="Arial" w:hAnsi="Arial"/>
          <w:sz w:val="18"/>
          <w:szCs w:val="18"/>
          <w:color w:val="4C4C4C"/>
        </w:rPr>
      </w:pPr>
    </w:p>
    <w:p>
      <w:pPr>
        <w:ind w:left="364" w:hanging="364"/>
        <w:spacing w:after="0"/>
        <w:tabs>
          <w:tab w:leader="none" w:pos="364" w:val="left"/>
        </w:tabs>
        <w:numPr>
          <w:ilvl w:val="0"/>
          <w:numId w:val="60"/>
        </w:numPr>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Forward-Looking Statements</w:t>
        </w:r>
      </w:hyperlink>
    </w:p>
    <w:p>
      <w:pPr>
        <w:spacing w:after="0" w:line="103" w:lineRule="exact"/>
        <w:rPr>
          <w:rFonts w:ascii="Arial" w:cs="Arial" w:eastAsia="Arial" w:hAnsi="Arial"/>
          <w:sz w:val="18"/>
          <w:szCs w:val="18"/>
          <w:b w:val="1"/>
          <w:bCs w:val="1"/>
          <w:u w:val="single" w:color="auto"/>
          <w:color w:val="0000EE"/>
        </w:rPr>
      </w:pPr>
    </w:p>
    <w:p>
      <w:pPr>
        <w:ind w:left="364" w:hanging="364"/>
        <w:spacing w:after="0"/>
        <w:tabs>
          <w:tab w:leader="none" w:pos="364" w:val="left"/>
        </w:tabs>
        <w:numPr>
          <w:ilvl w:val="0"/>
          <w:numId w:val="61"/>
        </w:numPr>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Website References</w:t>
        </w:r>
      </w:hyperlink>
    </w:p>
    <w:p>
      <w:pPr>
        <w:spacing w:after="0" w:line="103" w:lineRule="exact"/>
        <w:rPr>
          <w:rFonts w:ascii="Arial" w:cs="Arial" w:eastAsia="Arial" w:hAnsi="Arial"/>
          <w:sz w:val="18"/>
          <w:szCs w:val="18"/>
          <w:b w:val="1"/>
          <w:bCs w:val="1"/>
          <w:u w:val="single" w:color="auto"/>
          <w:color w:val="0000EE"/>
        </w:rPr>
      </w:pPr>
    </w:p>
    <w:p>
      <w:pPr>
        <w:ind w:left="364" w:hanging="364"/>
        <w:spacing w:after="0"/>
        <w:tabs>
          <w:tab w:leader="none" w:pos="364" w:val="left"/>
        </w:tabs>
        <w:numPr>
          <w:ilvl w:val="0"/>
          <w:numId w:val="61"/>
        </w:numPr>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Non-GAAP and Other Financial Disclosures</w:t>
        </w:r>
      </w:hyperlink>
    </w:p>
    <w:p>
      <w:pPr>
        <w:sectPr>
          <w:pgSz w:w="11900" w:h="16838" w:orient="portrait"/>
          <w:cols w:equalWidth="0" w:num="2">
            <w:col w:w="5240" w:space="556"/>
            <w:col w:w="5344"/>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Summary</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Proxy Summary</w:t>
      </w:r>
    </w:p>
    <w:p>
      <w:pPr>
        <w:spacing w:after="0" w:line="366" w:lineRule="exact"/>
        <w:rPr>
          <w:sz w:val="20"/>
          <w:szCs w:val="20"/>
          <w:color w:val="auto"/>
        </w:rPr>
      </w:pPr>
    </w:p>
    <w:p>
      <w:pPr>
        <w:ind w:left="120" w:right="220"/>
        <w:spacing w:after="0" w:line="257" w:lineRule="auto"/>
        <w:rPr>
          <w:sz w:val="20"/>
          <w:szCs w:val="20"/>
          <w:color w:val="auto"/>
        </w:rPr>
      </w:pPr>
      <w:r>
        <w:rPr>
          <w:rFonts w:ascii="Arial" w:cs="Arial" w:eastAsia="Arial" w:hAnsi="Arial"/>
          <w:sz w:val="25"/>
          <w:szCs w:val="25"/>
          <w:color w:val="00ADBB"/>
        </w:rPr>
        <w:t>This section summarizes important information contained in this Proxy Statement and in our 2020 Annual Report to Stockholders (the “</w:t>
      </w:r>
      <w:r>
        <w:rPr>
          <w:rFonts w:ascii="Arial" w:cs="Arial" w:eastAsia="Arial" w:hAnsi="Arial"/>
          <w:sz w:val="25"/>
          <w:szCs w:val="25"/>
          <w:b w:val="1"/>
          <w:bCs w:val="1"/>
          <w:color w:val="00ADBB"/>
        </w:rPr>
        <w:t>Annual Report</w:t>
      </w:r>
      <w:r>
        <w:rPr>
          <w:rFonts w:ascii="Arial" w:cs="Arial" w:eastAsia="Arial" w:hAnsi="Arial"/>
          <w:sz w:val="25"/>
          <w:szCs w:val="25"/>
          <w:color w:val="00ADBB"/>
        </w:rPr>
        <w:t>”), but it does not contain all the information that you should consider when casting your vote. Please review the entire Proxy Statement and Annual Report carefully before voting.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Proposals for Your Vote</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7620" w:type="dxa"/>
            <w:vAlign w:val="bottom"/>
            <w:tcBorders>
              <w:top w:val="single" w:sz="8" w:color="00ADBB"/>
              <w:bottom w:val="single" w:sz="8" w:color="4C4C4C"/>
            </w:tcBorders>
            <w:gridSpan w:val="2"/>
          </w:tcPr>
          <w:p>
            <w:pPr>
              <w:spacing w:after="0"/>
              <w:rPr>
                <w:sz w:val="20"/>
                <w:szCs w:val="20"/>
                <w:color w:val="auto"/>
              </w:rPr>
            </w:pPr>
            <w:r>
              <w:rPr>
                <w:rFonts w:ascii="Arial" w:cs="Arial" w:eastAsia="Arial" w:hAnsi="Arial"/>
                <w:sz w:val="18"/>
                <w:szCs w:val="18"/>
                <w:b w:val="1"/>
                <w:bCs w:val="1"/>
                <w:color w:val="00ADBB"/>
              </w:rPr>
              <w:t>Proposal</w:t>
            </w:r>
          </w:p>
        </w:tc>
        <w:tc>
          <w:tcPr>
            <w:tcW w:w="220" w:type="dxa"/>
            <w:vAlign w:val="bottom"/>
          </w:tcPr>
          <w:p>
            <w:pPr>
              <w:spacing w:after="0"/>
              <w:rPr>
                <w:sz w:val="21"/>
                <w:szCs w:val="21"/>
                <w:color w:val="auto"/>
              </w:rPr>
            </w:pPr>
          </w:p>
        </w:tc>
        <w:tc>
          <w:tcPr>
            <w:tcW w:w="2420" w:type="dxa"/>
            <w:vAlign w:val="bottom"/>
            <w:tcBorders>
              <w:top w:val="single" w:sz="8" w:color="00ADBB"/>
              <w:bottom w:val="single" w:sz="8" w:color="4C4C4C"/>
            </w:tcBorders>
            <w:gridSpan w:val="2"/>
          </w:tcPr>
          <w:p>
            <w:pPr>
              <w:ind w:left="100"/>
              <w:spacing w:after="0"/>
              <w:rPr>
                <w:sz w:val="20"/>
                <w:szCs w:val="20"/>
                <w:color w:val="auto"/>
              </w:rPr>
            </w:pPr>
            <w:r>
              <w:rPr>
                <w:rFonts w:ascii="Arial" w:cs="Arial" w:eastAsia="Arial" w:hAnsi="Arial"/>
                <w:sz w:val="18"/>
                <w:szCs w:val="18"/>
                <w:b w:val="1"/>
                <w:bCs w:val="1"/>
                <w:color w:val="00ADBB"/>
              </w:rPr>
              <w:t>Board Recommendation</w:t>
            </w:r>
          </w:p>
        </w:tc>
        <w:tc>
          <w:tcPr>
            <w:tcW w:w="220" w:type="dxa"/>
            <w:vAlign w:val="bottom"/>
          </w:tcPr>
          <w:p>
            <w:pPr>
              <w:spacing w:after="0"/>
              <w:rPr>
                <w:sz w:val="21"/>
                <w:szCs w:val="21"/>
                <w:color w:val="auto"/>
              </w:rPr>
            </w:pPr>
          </w:p>
        </w:tc>
        <w:tc>
          <w:tcPr>
            <w:tcW w:w="100" w:type="dxa"/>
            <w:vAlign w:val="bottom"/>
            <w:tcBorders>
              <w:top w:val="single" w:sz="8" w:color="00ADBB"/>
              <w:bottom w:val="single" w:sz="8" w:color="4C4C4C"/>
            </w:tcBorders>
          </w:tcPr>
          <w:p>
            <w:pPr>
              <w:spacing w:after="0"/>
              <w:rPr>
                <w:sz w:val="21"/>
                <w:szCs w:val="21"/>
                <w:color w:val="auto"/>
              </w:rPr>
            </w:pPr>
          </w:p>
        </w:tc>
        <w:tc>
          <w:tcPr>
            <w:tcW w:w="440" w:type="dxa"/>
            <w:vAlign w:val="bottom"/>
            <w:tcBorders>
              <w:top w:val="single" w:sz="8" w:color="00ADBB"/>
              <w:bottom w:val="single" w:sz="8" w:color="4C4C4C"/>
            </w:tcBorders>
          </w:tcPr>
          <w:p>
            <w:pPr>
              <w:jc w:val="center"/>
              <w:spacing w:after="0"/>
              <w:rPr>
                <w:sz w:val="20"/>
                <w:szCs w:val="20"/>
                <w:color w:val="auto"/>
              </w:rPr>
            </w:pPr>
            <w:r>
              <w:rPr>
                <w:rFonts w:ascii="Arial" w:cs="Arial" w:eastAsia="Arial" w:hAnsi="Arial"/>
                <w:sz w:val="18"/>
                <w:szCs w:val="18"/>
                <w:b w:val="1"/>
                <w:bCs w:val="1"/>
                <w:color w:val="00ADBB"/>
              </w:rPr>
              <w:t>Page</w:t>
            </w:r>
          </w:p>
        </w:tc>
      </w:tr>
      <w:tr>
        <w:trPr>
          <w:trHeight w:val="236"/>
        </w:trPr>
        <w:tc>
          <w:tcPr>
            <w:tcW w:w="240" w:type="dxa"/>
            <w:vAlign w:val="bottom"/>
          </w:tcPr>
          <w:p>
            <w:pPr>
              <w:spacing w:after="0"/>
              <w:rPr>
                <w:sz w:val="20"/>
                <w:szCs w:val="20"/>
                <w:color w:val="auto"/>
              </w:rPr>
            </w:pPr>
            <w:r>
              <w:rPr>
                <w:rFonts w:ascii="Arial" w:cs="Arial" w:eastAsia="Arial" w:hAnsi="Arial"/>
                <w:sz w:val="18"/>
                <w:szCs w:val="18"/>
                <w:color w:val="4C4C4C"/>
              </w:rPr>
              <w:t>1.</w:t>
            </w:r>
          </w:p>
        </w:tc>
        <w:tc>
          <w:tcPr>
            <w:tcW w:w="7380" w:type="dxa"/>
            <w:vAlign w:val="bottom"/>
          </w:tcPr>
          <w:p>
            <w:pPr>
              <w:ind w:left="100"/>
              <w:spacing w:after="0"/>
              <w:rPr>
                <w:sz w:val="20"/>
                <w:szCs w:val="20"/>
                <w:color w:val="auto"/>
              </w:rPr>
            </w:pPr>
            <w:r>
              <w:rPr>
                <w:rFonts w:ascii="Arial" w:cs="Arial" w:eastAsia="Arial" w:hAnsi="Arial"/>
                <w:sz w:val="18"/>
                <w:szCs w:val="18"/>
                <w:color w:val="4C4C4C"/>
              </w:rPr>
              <w:t>Election of eight (8) Directors to serve a one-year term ending at the 2022 Annual Meeting</w:t>
            </w:r>
          </w:p>
        </w:tc>
        <w:tc>
          <w:tcPr>
            <w:tcW w:w="220" w:type="dxa"/>
            <w:vAlign w:val="bottom"/>
          </w:tcPr>
          <w:p>
            <w:pPr>
              <w:spacing w:after="0"/>
              <w:rPr>
                <w:sz w:val="20"/>
                <w:szCs w:val="20"/>
                <w:color w:val="auto"/>
              </w:rPr>
            </w:pPr>
          </w:p>
        </w:tc>
        <w:tc>
          <w:tcPr>
            <w:tcW w:w="2420" w:type="dxa"/>
            <w:vAlign w:val="bottom"/>
            <w:gridSpan w:val="2"/>
          </w:tcPr>
          <w:p>
            <w:pPr>
              <w:ind w:left="100"/>
              <w:spacing w:after="0"/>
              <w:rPr>
                <w:sz w:val="20"/>
                <w:szCs w:val="20"/>
                <w:color w:val="auto"/>
              </w:rPr>
            </w:pPr>
            <w:r>
              <w:rPr>
                <w:rFonts w:ascii="Arial" w:cs="Arial" w:eastAsia="Arial" w:hAnsi="Arial"/>
                <w:sz w:val="18"/>
                <w:szCs w:val="18"/>
                <w:color w:val="4C4C4C"/>
              </w:rPr>
              <w:t>FOR each of the</w:t>
            </w:r>
          </w:p>
        </w:tc>
        <w:tc>
          <w:tcPr>
            <w:tcW w:w="760" w:type="dxa"/>
            <w:vAlign w:val="bottom"/>
            <w:gridSpan w:val="3"/>
          </w:tcPr>
          <w:p>
            <w:pPr>
              <w:jc w:val="center"/>
              <w:ind w:left="230"/>
              <w:spacing w:after="0"/>
              <w:rPr>
                <w:sz w:val="20"/>
                <w:szCs w:val="20"/>
                <w:color w:val="auto"/>
              </w:rPr>
            </w:pPr>
            <w:r>
              <w:rPr>
                <w:rFonts w:ascii="Arial" w:cs="Arial" w:eastAsia="Arial" w:hAnsi="Arial"/>
                <w:sz w:val="18"/>
                <w:szCs w:val="18"/>
                <w:color w:val="4C4C4C"/>
                <w:w w:val="99"/>
              </w:rPr>
              <w:t>14</w:t>
            </w:r>
          </w:p>
        </w:tc>
      </w:tr>
      <w:tr>
        <w:trPr>
          <w:trHeight w:val="217"/>
        </w:trPr>
        <w:tc>
          <w:tcPr>
            <w:tcW w:w="24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4C4C4C"/>
              </w:rPr>
              <w:t>of Stockholders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4C4C4C"/>
              </w:rPr>
              <w:t>Board’s nominees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4C4C4C"/>
            </w:tcBorders>
          </w:tcPr>
          <w:p>
            <w:pPr>
              <w:spacing w:after="0"/>
              <w:rPr>
                <w:sz w:val="18"/>
                <w:szCs w:val="18"/>
                <w:color w:val="auto"/>
              </w:rPr>
            </w:pPr>
          </w:p>
        </w:tc>
      </w:tr>
      <w:tr>
        <w:trPr>
          <w:trHeight w:val="263"/>
        </w:trPr>
        <w:tc>
          <w:tcPr>
            <w:tcW w:w="240" w:type="dxa"/>
            <w:vAlign w:val="bottom"/>
          </w:tcPr>
          <w:p>
            <w:pPr>
              <w:spacing w:after="0"/>
              <w:rPr>
                <w:sz w:val="20"/>
                <w:szCs w:val="20"/>
                <w:color w:val="auto"/>
              </w:rPr>
            </w:pPr>
            <w:r>
              <w:rPr>
                <w:rFonts w:ascii="Arial" w:cs="Arial" w:eastAsia="Arial" w:hAnsi="Arial"/>
                <w:sz w:val="18"/>
                <w:szCs w:val="18"/>
                <w:color w:val="4C4C4C"/>
              </w:rPr>
              <w:t>2.</w:t>
            </w:r>
          </w:p>
        </w:tc>
        <w:tc>
          <w:tcPr>
            <w:tcW w:w="7380" w:type="dxa"/>
            <w:vAlign w:val="bottom"/>
          </w:tcPr>
          <w:p>
            <w:pPr>
              <w:ind w:left="100"/>
              <w:spacing w:after="0"/>
              <w:rPr>
                <w:sz w:val="20"/>
                <w:szCs w:val="20"/>
                <w:color w:val="auto"/>
              </w:rPr>
            </w:pPr>
            <w:r>
              <w:rPr>
                <w:rFonts w:ascii="Arial" w:cs="Arial" w:eastAsia="Arial" w:hAnsi="Arial"/>
                <w:sz w:val="18"/>
                <w:szCs w:val="18"/>
                <w:color w:val="4C4C4C"/>
              </w:rPr>
              <w:t>Ratification of the appointment of Deloitte &amp; Touche LLP as Brighthouse’s independent</w:t>
            </w:r>
          </w:p>
        </w:tc>
        <w:tc>
          <w:tcPr>
            <w:tcW w:w="220" w:type="dxa"/>
            <w:vAlign w:val="bottom"/>
          </w:tcPr>
          <w:p>
            <w:pPr>
              <w:spacing w:after="0"/>
              <w:rPr>
                <w:sz w:val="22"/>
                <w:szCs w:val="22"/>
                <w:color w:val="auto"/>
              </w:rPr>
            </w:pPr>
          </w:p>
        </w:tc>
        <w:tc>
          <w:tcPr>
            <w:tcW w:w="2420" w:type="dxa"/>
            <w:vAlign w:val="bottom"/>
            <w:gridSpan w:val="2"/>
          </w:tcPr>
          <w:p>
            <w:pPr>
              <w:ind w:left="100"/>
              <w:spacing w:after="0"/>
              <w:rPr>
                <w:sz w:val="20"/>
                <w:szCs w:val="20"/>
                <w:color w:val="auto"/>
              </w:rPr>
            </w:pPr>
            <w:r>
              <w:rPr>
                <w:rFonts w:ascii="Arial" w:cs="Arial" w:eastAsia="Arial" w:hAnsi="Arial"/>
                <w:sz w:val="18"/>
                <w:szCs w:val="18"/>
                <w:color w:val="4C4C4C"/>
              </w:rPr>
              <w:t>FOR</w:t>
            </w:r>
          </w:p>
        </w:tc>
        <w:tc>
          <w:tcPr>
            <w:tcW w:w="760" w:type="dxa"/>
            <w:vAlign w:val="bottom"/>
            <w:gridSpan w:val="3"/>
          </w:tcPr>
          <w:p>
            <w:pPr>
              <w:jc w:val="center"/>
              <w:ind w:left="230"/>
              <w:spacing w:after="0"/>
              <w:rPr>
                <w:sz w:val="20"/>
                <w:szCs w:val="20"/>
                <w:color w:val="auto"/>
              </w:rPr>
            </w:pPr>
            <w:r>
              <w:rPr>
                <w:rFonts w:ascii="Arial" w:cs="Arial" w:eastAsia="Arial" w:hAnsi="Arial"/>
                <w:sz w:val="18"/>
                <w:szCs w:val="18"/>
                <w:color w:val="4C4C4C"/>
                <w:w w:val="99"/>
              </w:rPr>
              <w:t>37</w:t>
            </w:r>
          </w:p>
        </w:tc>
      </w:tr>
      <w:tr>
        <w:trPr>
          <w:trHeight w:val="203"/>
        </w:trPr>
        <w:tc>
          <w:tcPr>
            <w:tcW w:w="24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4C4C4C"/>
              </w:rPr>
              <w:t>registered public accounting firm for fiscal year 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4C4C4C"/>
            </w:tcBorders>
          </w:tcPr>
          <w:p>
            <w:pPr>
              <w:spacing w:after="0"/>
              <w:rPr>
                <w:sz w:val="17"/>
                <w:szCs w:val="17"/>
                <w:color w:val="auto"/>
              </w:rPr>
            </w:pPr>
          </w:p>
        </w:tc>
      </w:tr>
      <w:tr>
        <w:trPr>
          <w:trHeight w:val="241"/>
        </w:trPr>
        <w:tc>
          <w:tcPr>
            <w:tcW w:w="240" w:type="dxa"/>
            <w:vAlign w:val="bottom"/>
          </w:tcPr>
          <w:p>
            <w:pPr>
              <w:spacing w:after="0"/>
              <w:rPr>
                <w:sz w:val="20"/>
                <w:szCs w:val="20"/>
                <w:color w:val="auto"/>
              </w:rPr>
            </w:pPr>
            <w:r>
              <w:rPr>
                <w:rFonts w:ascii="Arial" w:cs="Arial" w:eastAsia="Arial" w:hAnsi="Arial"/>
                <w:sz w:val="18"/>
                <w:szCs w:val="18"/>
                <w:color w:val="4C4C4C"/>
              </w:rPr>
              <w:t>3.</w:t>
            </w:r>
          </w:p>
        </w:tc>
        <w:tc>
          <w:tcPr>
            <w:tcW w:w="7380" w:type="dxa"/>
            <w:vAlign w:val="bottom"/>
          </w:tcPr>
          <w:p>
            <w:pPr>
              <w:ind w:left="80"/>
              <w:spacing w:after="0"/>
              <w:rPr>
                <w:sz w:val="20"/>
                <w:szCs w:val="20"/>
                <w:color w:val="auto"/>
              </w:rPr>
            </w:pPr>
            <w:r>
              <w:rPr>
                <w:rFonts w:ascii="Arial" w:cs="Arial" w:eastAsia="Arial" w:hAnsi="Arial"/>
                <w:sz w:val="18"/>
                <w:szCs w:val="18"/>
                <w:color w:val="4C4C4C"/>
              </w:rPr>
              <w:t>Advisory vote to approve the compensation paid to Brighthouse’s Named Executive</w:t>
            </w:r>
          </w:p>
        </w:tc>
        <w:tc>
          <w:tcPr>
            <w:tcW w:w="220" w:type="dxa"/>
            <w:vAlign w:val="bottom"/>
          </w:tcPr>
          <w:p>
            <w:pPr>
              <w:spacing w:after="0"/>
              <w:rPr>
                <w:sz w:val="20"/>
                <w:szCs w:val="20"/>
                <w:color w:val="auto"/>
              </w:rPr>
            </w:pPr>
          </w:p>
        </w:tc>
        <w:tc>
          <w:tcPr>
            <w:tcW w:w="2420" w:type="dxa"/>
            <w:vAlign w:val="bottom"/>
            <w:gridSpan w:val="2"/>
          </w:tcPr>
          <w:p>
            <w:pPr>
              <w:ind w:left="100"/>
              <w:spacing w:after="0"/>
              <w:rPr>
                <w:sz w:val="20"/>
                <w:szCs w:val="20"/>
                <w:color w:val="auto"/>
              </w:rPr>
            </w:pPr>
            <w:r>
              <w:rPr>
                <w:rFonts w:ascii="Arial" w:cs="Arial" w:eastAsia="Arial" w:hAnsi="Arial"/>
                <w:sz w:val="18"/>
                <w:szCs w:val="18"/>
                <w:color w:val="4C4C4C"/>
              </w:rPr>
              <w:t>FOR</w:t>
            </w:r>
          </w:p>
        </w:tc>
        <w:tc>
          <w:tcPr>
            <w:tcW w:w="760" w:type="dxa"/>
            <w:vAlign w:val="bottom"/>
            <w:gridSpan w:val="3"/>
          </w:tcPr>
          <w:p>
            <w:pPr>
              <w:jc w:val="center"/>
              <w:ind w:left="230"/>
              <w:spacing w:after="0"/>
              <w:rPr>
                <w:sz w:val="20"/>
                <w:szCs w:val="20"/>
                <w:color w:val="auto"/>
              </w:rPr>
            </w:pPr>
            <w:r>
              <w:rPr>
                <w:rFonts w:ascii="Arial" w:cs="Arial" w:eastAsia="Arial" w:hAnsi="Arial"/>
                <w:sz w:val="18"/>
                <w:szCs w:val="18"/>
                <w:color w:val="4C4C4C"/>
                <w:w w:val="99"/>
              </w:rPr>
              <w:t>41</w:t>
            </w:r>
          </w:p>
        </w:tc>
      </w:tr>
      <w:tr>
        <w:trPr>
          <w:trHeight w:val="239"/>
        </w:trPr>
        <w:tc>
          <w:tcPr>
            <w:tcW w:w="240" w:type="dxa"/>
            <w:vAlign w:val="bottom"/>
          </w:tcPr>
          <w:p>
            <w:pPr>
              <w:spacing w:after="0"/>
              <w:rPr>
                <w:sz w:val="20"/>
                <w:szCs w:val="20"/>
                <w:color w:val="auto"/>
              </w:rPr>
            </w:pPr>
          </w:p>
        </w:tc>
        <w:tc>
          <w:tcPr>
            <w:tcW w:w="7380" w:type="dxa"/>
            <w:vAlign w:val="bottom"/>
          </w:tcPr>
          <w:p>
            <w:pPr>
              <w:ind w:left="120"/>
              <w:spacing w:after="0"/>
              <w:rPr>
                <w:sz w:val="20"/>
                <w:szCs w:val="20"/>
                <w:color w:val="auto"/>
              </w:rPr>
            </w:pPr>
            <w:r>
              <w:rPr>
                <w:rFonts w:ascii="Arial" w:cs="Arial" w:eastAsia="Arial" w:hAnsi="Arial"/>
                <w:sz w:val="18"/>
                <w:szCs w:val="18"/>
                <w:color w:val="4C4C4C"/>
              </w:rPr>
              <w:t>Officers (the “</w:t>
            </w:r>
            <w:r>
              <w:rPr>
                <w:rFonts w:ascii="Arial" w:cs="Arial" w:eastAsia="Arial" w:hAnsi="Arial"/>
                <w:sz w:val="18"/>
                <w:szCs w:val="18"/>
                <w:b w:val="1"/>
                <w:bCs w:val="1"/>
                <w:color w:val="00ADBB"/>
              </w:rPr>
              <w:t>Say-on-Pay</w:t>
            </w:r>
            <w:r>
              <w:rPr>
                <w:rFonts w:ascii="Arial" w:cs="Arial" w:eastAsia="Arial" w:hAnsi="Arial"/>
                <w:sz w:val="18"/>
                <w:szCs w:val="18"/>
                <w:color w:val="4C4C4C"/>
              </w:rPr>
              <w:t>” vote)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ADBB"/>
        </w:rPr>
        <w:t>The Brighthouse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13373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C4C4C"/>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611505</wp:posOffset>
            </wp:positionV>
            <wp:extent cx="13373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31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88900</wp:posOffset>
            </wp:positionV>
            <wp:extent cx="454025" cy="462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40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C4C4C"/>
        </w:rPr>
        <w:t>Our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88900</wp:posOffset>
            </wp:positionV>
            <wp:extent cx="471170"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17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4C4C4C"/>
        </w:rPr>
        <w:t>Brighthouse is an established U.S. retail franchise and one of the largest providers of annuities and life insurance in the United States.</w:t>
      </w:r>
      <w:r>
        <w:rPr>
          <w:rFonts w:ascii="Arial" w:cs="Arial" w:eastAsia="Arial" w:hAnsi="Arial"/>
          <w:sz w:val="15"/>
          <w:szCs w:val="15"/>
          <w:color w:val="4C4C4C"/>
        </w:rPr>
        <w:t>(1)</w:t>
      </w:r>
      <w:r>
        <w:rPr>
          <w:rFonts w:ascii="Arial" w:cs="Arial" w:eastAsia="Arial" w:hAnsi="Arial"/>
          <w:sz w:val="18"/>
          <w:szCs w:val="18"/>
          <w:color w:val="4C4C4C"/>
        </w:rPr>
        <w:t xml:space="preserve"> Brighthouse became an independent, publicly traded company in August 2017, following our separation (the “</w:t>
      </w:r>
      <w:r>
        <w:rPr>
          <w:rFonts w:ascii="Arial" w:cs="Arial" w:eastAsia="Arial" w:hAnsi="Arial"/>
          <w:sz w:val="18"/>
          <w:szCs w:val="18"/>
          <w:b w:val="1"/>
          <w:bCs w:val="1"/>
          <w:color w:val="00ADBB"/>
        </w:rPr>
        <w:t>Separation</w:t>
      </w:r>
      <w:r>
        <w:rPr>
          <w:rFonts w:ascii="Arial" w:cs="Arial" w:eastAsia="Arial" w:hAnsi="Arial"/>
          <w:sz w:val="18"/>
          <w:szCs w:val="18"/>
          <w:color w:val="4C4C4C"/>
        </w:rPr>
        <w:t>”) from MetLife, Inc. (“</w:t>
      </w:r>
      <w:r>
        <w:rPr>
          <w:rFonts w:ascii="Arial" w:cs="Arial" w:eastAsia="Arial" w:hAnsi="Arial"/>
          <w:sz w:val="18"/>
          <w:szCs w:val="18"/>
          <w:b w:val="1"/>
          <w:bCs w:val="1"/>
          <w:color w:val="00ADBB"/>
        </w:rPr>
        <w:t>MetLife</w:t>
      </w:r>
      <w:r>
        <w:rPr>
          <w:rFonts w:ascii="Arial" w:cs="Arial" w:eastAsia="Arial" w:hAnsi="Arial"/>
          <w:sz w:val="18"/>
          <w:szCs w:val="18"/>
          <w:color w:val="4C4C4C"/>
        </w:rPr>
        <w:t>”), and the listing of our common stock on The Nasdaq Stock Market LLC (“</w:t>
      </w:r>
      <w:r>
        <w:rPr>
          <w:rFonts w:ascii="Arial" w:cs="Arial" w:eastAsia="Arial" w:hAnsi="Arial"/>
          <w:sz w:val="18"/>
          <w:szCs w:val="18"/>
          <w:b w:val="1"/>
          <w:bCs w:val="1"/>
          <w:color w:val="00ADBB"/>
        </w:rPr>
        <w:t>Nasdaq</w:t>
      </w:r>
      <w:r>
        <w:rPr>
          <w:rFonts w:ascii="Arial" w:cs="Arial" w:eastAsia="Arial" w:hAnsi="Arial"/>
          <w:sz w:val="18"/>
          <w:szCs w:val="18"/>
          <w:color w:val="4C4C4C"/>
        </w:rPr>
        <w:t>”). In 2019, we became a member of the Fortune 500</w:t>
      </w:r>
      <w:r>
        <w:rPr>
          <w:rFonts w:ascii="Arial" w:cs="Arial" w:eastAsia="Arial" w:hAnsi="Arial"/>
          <w:sz w:val="15"/>
          <w:szCs w:val="15"/>
          <w:color w:val="4C4C4C"/>
        </w:rPr>
        <w:t>TM</w:t>
      </w:r>
      <w:r>
        <w:rPr>
          <w:rFonts w:ascii="Arial" w:cs="Arial" w:eastAsia="Arial" w:hAnsi="Arial"/>
          <w:sz w:val="18"/>
          <w:szCs w:val="18"/>
          <w:color w:val="4C4C4C"/>
        </w:rPr>
        <w:t>, which lists the top 500 U.S. companies by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77470</wp:posOffset>
            </wp:positionV>
            <wp:extent cx="55206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0690" cy="1714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-667385</wp:posOffset>
            </wp:positionV>
            <wp:extent cx="55206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pacing w:after="0" w:line="12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4C4C4C"/>
        </w:rPr>
        <w:t>We are on a mission to help people achieve financial security. We specialize in products that are designed to help people protect what they’ve earned and ensure it lasts. We are built on a foundation of experience and knowledge, which allows us to keep our promises and provide value to our distribution partners and the clients they serve.</w:t>
      </w:r>
    </w:p>
    <w:p>
      <w:pPr>
        <w:spacing w:after="0" w:line="200" w:lineRule="exact"/>
        <w:rPr>
          <w:sz w:val="20"/>
          <w:szCs w:val="20"/>
          <w:color w:val="auto"/>
        </w:rPr>
      </w:pPr>
    </w:p>
    <w:p>
      <w:pPr>
        <w:sectPr>
          <w:pgSz w:w="11900" w:h="16838" w:orient="portrait"/>
          <w:cols w:equalWidth="0" w:num="2">
            <w:col w:w="2220" w:space="320"/>
            <w:col w:w="8600"/>
          </w:cols>
          <w:pgMar w:left="320" w:top="459" w:right="439" w:bottom="1440" w:gutter="0" w:footer="0" w:header="0"/>
          <w:type w:val="continuous"/>
        </w:sect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10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4C4C4C"/>
              </w:rPr>
              <w:t>Our Strategy</w:t>
            </w:r>
          </w:p>
        </w:tc>
        <w:tc>
          <w:tcPr>
            <w:tcW w:w="220" w:type="dxa"/>
            <w:vAlign w:val="bottom"/>
          </w:tcPr>
          <w:p>
            <w:pPr>
              <w:spacing w:after="0"/>
              <w:rPr>
                <w:sz w:val="19"/>
                <w:szCs w:val="19"/>
                <w:color w:val="auto"/>
              </w:rPr>
            </w:pPr>
          </w:p>
        </w:tc>
        <w:tc>
          <w:tcPr>
            <w:tcW w:w="8700" w:type="dxa"/>
            <w:vAlign w:val="bottom"/>
            <w:tcBorders>
              <w:top w:val="single" w:sz="8" w:color="4C4C4C"/>
            </w:tcBorders>
          </w:tcPr>
          <w:p>
            <w:pPr>
              <w:ind w:left="100"/>
              <w:spacing w:after="0"/>
              <w:rPr>
                <w:sz w:val="20"/>
                <w:szCs w:val="20"/>
                <w:color w:val="auto"/>
              </w:rPr>
            </w:pPr>
            <w:r>
              <w:rPr>
                <w:rFonts w:ascii="Arial" w:cs="Arial" w:eastAsia="Arial" w:hAnsi="Arial"/>
                <w:sz w:val="18"/>
                <w:szCs w:val="18"/>
                <w:color w:val="4C4C4C"/>
              </w:rPr>
              <w:t>We believe our focused strategy will generate long-term stockholder value. Our strategy consists of the</w:t>
            </w:r>
          </w:p>
        </w:tc>
      </w:tr>
      <w:tr>
        <w:trPr>
          <w:trHeight w:val="203"/>
        </w:trPr>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Pr>
          <w:p>
            <w:pPr>
              <w:ind w:left="100"/>
              <w:spacing w:after="0" w:line="202" w:lineRule="exact"/>
              <w:rPr>
                <w:sz w:val="20"/>
                <w:szCs w:val="20"/>
                <w:color w:val="auto"/>
              </w:rPr>
            </w:pPr>
            <w:r>
              <w:rPr>
                <w:rFonts w:ascii="Arial" w:cs="Arial" w:eastAsia="Arial" w:hAnsi="Arial"/>
                <w:sz w:val="18"/>
                <w:szCs w:val="18"/>
                <w:color w:val="4C4C4C"/>
              </w:rPr>
              <w:t>following core elements, which are fully aligned with our risk appetite and our approach to managing our</w:t>
            </w:r>
          </w:p>
        </w:tc>
      </w:tr>
      <w:tr>
        <w:trPr>
          <w:trHeight w:val="203"/>
        </w:trPr>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Pr>
          <w:p>
            <w:pPr>
              <w:ind w:left="100"/>
              <w:spacing w:after="0" w:line="202" w:lineRule="exact"/>
              <w:rPr>
                <w:sz w:val="20"/>
                <w:szCs w:val="20"/>
                <w:color w:val="auto"/>
              </w:rPr>
            </w:pPr>
            <w:r>
              <w:rPr>
                <w:rFonts w:ascii="Arial" w:cs="Arial" w:eastAsia="Arial" w:hAnsi="Arial"/>
                <w:sz w:val="18"/>
                <w:szCs w:val="18"/>
                <w:color w:val="4C4C4C"/>
              </w:rPr>
              <w:t>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-179070</wp:posOffset>
            </wp:positionV>
            <wp:extent cx="454025" cy="651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4025" cy="651510"/>
                    </a:xfrm>
                    <a:prstGeom prst="rect">
                      <a:avLst/>
                    </a:prstGeom>
                    <a:noFill/>
                  </pic:spPr>
                </pic:pic>
              </a:graphicData>
            </a:graphic>
          </wp:anchor>
        </w:drawing>
      </w:r>
    </w:p>
    <w:p>
      <w:pPr>
        <w:ind w:left="2720" w:right="220" w:hanging="174"/>
        <w:spacing w:after="0" w:line="234" w:lineRule="auto"/>
        <w:tabs>
          <w:tab w:leader="none" w:pos="2704" w:val="left"/>
        </w:tabs>
        <w:numPr>
          <w:ilvl w:val="1"/>
          <w:numId w:val="62"/>
        </w:numPr>
        <w:rPr>
          <w:rFonts w:ascii="Arial" w:cs="Arial" w:eastAsia="Arial" w:hAnsi="Arial"/>
          <w:sz w:val="18"/>
          <w:szCs w:val="18"/>
          <w:color w:val="4C4C4C"/>
        </w:rPr>
      </w:pPr>
      <w:r>
        <w:rPr>
          <w:rFonts w:ascii="Arial" w:cs="Arial" w:eastAsia="Arial" w:hAnsi="Arial"/>
          <w:sz w:val="18"/>
          <w:szCs w:val="18"/>
          <w:color w:val="4C4C4C"/>
        </w:rPr>
        <w:t>Offering a tailored set of annuity and life insurance solutions that are simpler, more transparent, and provide value to our distribution partners and the clients they serve. We aim to continue to shift our business mix profile over time, with the addition of more cash flow-generating and less capital-intensive new business, along with the runoff of less profitable business.</w:t>
      </w:r>
    </w:p>
    <w:p>
      <w:pPr>
        <w:spacing w:after="0" w:line="2" w:lineRule="exact"/>
        <w:rPr>
          <w:rFonts w:ascii="Arial" w:cs="Arial" w:eastAsia="Arial" w:hAnsi="Arial"/>
          <w:sz w:val="18"/>
          <w:szCs w:val="18"/>
          <w:color w:val="4C4C4C"/>
        </w:rPr>
      </w:pPr>
    </w:p>
    <w:p>
      <w:pPr>
        <w:ind w:left="2720" w:right="80" w:hanging="174"/>
        <w:spacing w:after="0" w:line="234" w:lineRule="auto"/>
        <w:tabs>
          <w:tab w:leader="none" w:pos="2704" w:val="left"/>
        </w:tabs>
        <w:numPr>
          <w:ilvl w:val="1"/>
          <w:numId w:val="62"/>
        </w:numPr>
        <w:rPr>
          <w:rFonts w:ascii="Arial" w:cs="Arial" w:eastAsia="Arial" w:hAnsi="Arial"/>
          <w:sz w:val="18"/>
          <w:szCs w:val="18"/>
          <w:color w:val="4C4C4C"/>
        </w:rPr>
      </w:pPr>
      <w:r>
        <w:rPr>
          <w:rFonts w:ascii="Arial" w:cs="Arial" w:eastAsia="Arial" w:hAnsi="Arial"/>
          <w:sz w:val="18"/>
          <w:szCs w:val="18"/>
          <w:color w:val="4C4C4C"/>
        </w:rPr>
        <w:t>Selling our products through a diverse, well-established network of distribution partners and continuing to build strategic relationships and entering new channels as we expand our distribution footprint in the United States.</w:t>
      </w:r>
    </w:p>
    <w:p>
      <w:pPr>
        <w:spacing w:after="0" w:line="2" w:lineRule="exact"/>
        <w:rPr>
          <w:rFonts w:ascii="Arial" w:cs="Arial" w:eastAsia="Arial" w:hAnsi="Arial"/>
          <w:sz w:val="18"/>
          <w:szCs w:val="18"/>
          <w:color w:val="4C4C4C"/>
        </w:rPr>
      </w:pPr>
    </w:p>
    <w:p>
      <w:pPr>
        <w:ind w:left="2720" w:right="400" w:hanging="174"/>
        <w:spacing w:after="0" w:line="246" w:lineRule="auto"/>
        <w:tabs>
          <w:tab w:leader="none" w:pos="2704" w:val="left"/>
        </w:tabs>
        <w:numPr>
          <w:ilvl w:val="1"/>
          <w:numId w:val="62"/>
        </w:numPr>
        <w:rPr>
          <w:rFonts w:ascii="Arial" w:cs="Arial" w:eastAsia="Arial" w:hAnsi="Arial"/>
          <w:sz w:val="18"/>
          <w:szCs w:val="18"/>
          <w:color w:val="4C4C4C"/>
        </w:rPr>
      </w:pPr>
      <w:r>
        <w:rPr>
          <w:rFonts w:ascii="Arial" w:cs="Arial" w:eastAsia="Arial" w:hAnsi="Arial"/>
          <w:sz w:val="18"/>
          <w:szCs w:val="18"/>
          <w:color w:val="4C4C4C"/>
        </w:rPr>
        <w:t>Effectively managing our expenses by adopting and maintaining an operating model that reduces our run-rate expenses.</w:t>
      </w:r>
    </w:p>
    <w:p>
      <w:pPr>
        <w:spacing w:after="0" w:line="113" w:lineRule="exact"/>
        <w:rPr>
          <w:rFonts w:ascii="Arial" w:cs="Arial" w:eastAsia="Arial" w:hAnsi="Arial"/>
          <w:sz w:val="18"/>
          <w:szCs w:val="18"/>
          <w:color w:val="4C4C4C"/>
        </w:rPr>
      </w:pPr>
    </w:p>
    <w:p>
      <w:pPr>
        <w:ind w:left="540" w:hanging="424"/>
        <w:spacing w:after="0"/>
        <w:tabs>
          <w:tab w:leader="none" w:pos="540" w:val="left"/>
        </w:tabs>
        <w:numPr>
          <w:ilvl w:val="0"/>
          <w:numId w:val="62"/>
        </w:numPr>
        <w:rPr>
          <w:rFonts w:ascii="Arial" w:cs="Arial" w:eastAsia="Arial" w:hAnsi="Arial"/>
          <w:sz w:val="18"/>
          <w:szCs w:val="18"/>
          <w:color w:val="4C4C4C"/>
        </w:rPr>
      </w:pPr>
      <w:r>
        <w:rPr>
          <w:rFonts w:ascii="Arial" w:cs="Arial" w:eastAsia="Arial" w:hAnsi="Arial"/>
          <w:sz w:val="18"/>
          <w:szCs w:val="18"/>
          <w:color w:val="4C4C4C"/>
        </w:rPr>
        <w:t>Ranked by 2019 admitted assets. Best’s Review</w:t>
      </w:r>
      <w:r>
        <w:rPr>
          <w:rFonts w:ascii="Arial" w:cs="Arial" w:eastAsia="Arial" w:hAnsi="Arial"/>
          <w:sz w:val="15"/>
          <w:szCs w:val="15"/>
          <w:color w:val="4C4C4C"/>
        </w:rPr>
        <w:t>®</w:t>
      </w:r>
      <w:r>
        <w:rPr>
          <w:rFonts w:ascii="Arial" w:cs="Arial" w:eastAsia="Arial" w:hAnsi="Arial"/>
          <w:sz w:val="18"/>
          <w:szCs w:val="18"/>
          <w:color w:val="4C4C4C"/>
        </w:rPr>
        <w:t>: Top 200 U.S. Life/Health Insurers. A.M. Best, 2020.</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3</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Proxy Summary</w:t>
      </w:r>
      <w:r>
        <w:rPr>
          <w:sz w:val="20"/>
          <w:szCs w:val="20"/>
          <w:color w:val="auto"/>
        </w:rPr>
        <w:tab/>
      </w:r>
      <w:r>
        <w:rPr>
          <w:rFonts w:ascii="Arial" w:cs="Arial" w:eastAsia="Arial" w:hAnsi="Arial"/>
          <w:sz w:val="12"/>
          <w:szCs w:val="12"/>
          <w:b w:val="1"/>
          <w:bCs w:val="1"/>
          <w:color w:val="00ADBB"/>
        </w:rPr>
        <w:t>Brighthouse Financial, Inc.</w:t>
      </w:r>
    </w:p>
    <w:p>
      <w:pPr>
        <w:spacing w:after="0" w:line="137" w:lineRule="exact"/>
        <w:rPr>
          <w:sz w:val="20"/>
          <w:szCs w:val="20"/>
          <w:color w:val="auto"/>
        </w:rPr>
      </w:pPr>
    </w:p>
    <w:p>
      <w:pPr>
        <w:ind w:left="120" w:right="100"/>
        <w:spacing w:after="0"/>
        <w:rPr>
          <w:sz w:val="20"/>
          <w:szCs w:val="20"/>
          <w:color w:val="auto"/>
        </w:rPr>
      </w:pPr>
      <w:r>
        <w:rPr>
          <w:rFonts w:ascii="Arial" w:cs="Arial" w:eastAsia="Arial" w:hAnsi="Arial"/>
          <w:sz w:val="18"/>
          <w:szCs w:val="18"/>
          <w:i w:val="1"/>
          <w:iCs w:val="1"/>
          <w:color w:val="4CC5CF"/>
        </w:rPr>
        <w:t xml:space="preserve">Board Oversight of Our Strategy. </w:t>
      </w:r>
      <w:r>
        <w:rPr>
          <w:rFonts w:ascii="Arial" w:cs="Arial" w:eastAsia="Arial" w:hAnsi="Arial"/>
          <w:sz w:val="18"/>
          <w:szCs w:val="18"/>
          <w:color w:val="4C4C4C"/>
        </w:rPr>
        <w:t>One of the Board’s most important duties is to oversee our strategy to grow the Company and deliver</w:t>
      </w:r>
      <w:r>
        <w:rPr>
          <w:rFonts w:ascii="Arial" w:cs="Arial" w:eastAsia="Arial" w:hAnsi="Arial"/>
          <w:sz w:val="18"/>
          <w:szCs w:val="18"/>
          <w:i w:val="1"/>
          <w:iCs w:val="1"/>
          <w:color w:val="4CC5CF"/>
        </w:rPr>
        <w:t xml:space="preserve"> </w:t>
      </w:r>
      <w:r>
        <w:rPr>
          <w:rFonts w:ascii="Arial" w:cs="Arial" w:eastAsia="Arial" w:hAnsi="Arial"/>
          <w:sz w:val="18"/>
          <w:szCs w:val="18"/>
          <w:color w:val="4C4C4C"/>
        </w:rPr>
        <w:t>long-term value for our stockholders. The Board discusses key strategy topics with management throughout the year and devotes at least one entire meeting annually to a review of the Company’s strategy. In 2020, the Board and senior management engaged in constructive dialogue regarding our multiyear strategic and financial plan, including the following key topics:</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product, sales, and marketing strategy and plans, and the competitive landscape in which we operate;</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the impact of the COVID-19 pandemic on our business;</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human capital management strategy, including talent development and succession planning;</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sustainability program, including integration of Environmental, Social, and Governance (“</w:t>
      </w:r>
      <w:r>
        <w:rPr>
          <w:rFonts w:ascii="Arial" w:cs="Arial" w:eastAsia="Arial" w:hAnsi="Arial"/>
          <w:sz w:val="18"/>
          <w:szCs w:val="18"/>
          <w:b w:val="1"/>
          <w:bCs w:val="1"/>
          <w:color w:val="00ADBB"/>
        </w:rPr>
        <w:t>ESG</w:t>
      </w:r>
      <w:r>
        <w:rPr>
          <w:rFonts w:ascii="Arial" w:cs="Arial" w:eastAsia="Arial" w:hAnsi="Arial"/>
          <w:sz w:val="18"/>
          <w:szCs w:val="18"/>
          <w:color w:val="4C4C4C"/>
        </w:rPr>
        <w:t>”) factors into our strategy;</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strengthening our culture, including programs to promote Diversity, Equity, and Inclusion (“</w:t>
      </w:r>
      <w:r>
        <w:rPr>
          <w:rFonts w:ascii="Arial" w:cs="Arial" w:eastAsia="Arial" w:hAnsi="Arial"/>
          <w:sz w:val="18"/>
          <w:szCs w:val="18"/>
          <w:b w:val="1"/>
          <w:bCs w:val="1"/>
          <w:color w:val="00ADBB"/>
        </w:rPr>
        <w:t>DE&amp;I</w:t>
      </w:r>
      <w:r>
        <w:rPr>
          <w:rFonts w:ascii="Arial" w:cs="Arial" w:eastAsia="Arial" w:hAnsi="Arial"/>
          <w:sz w:val="18"/>
          <w:szCs w:val="18"/>
          <w:color w:val="4C4C4C"/>
        </w:rPr>
        <w:t>”);</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future state technology platform;</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investment strategy;</w:t>
      </w:r>
    </w:p>
    <w:p>
      <w:pPr>
        <w:ind w:left="340" w:hanging="224"/>
        <w:spacing w:after="0" w:line="234" w:lineRule="auto"/>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financial and risk profile in various market scenarios; and</w:t>
      </w:r>
    </w:p>
    <w:p>
      <w:pPr>
        <w:ind w:left="340" w:hanging="224"/>
        <w:spacing w:after="0"/>
        <w:tabs>
          <w:tab w:leader="none" w:pos="340" w:val="left"/>
        </w:tabs>
        <w:numPr>
          <w:ilvl w:val="0"/>
          <w:numId w:val="63"/>
        </w:numPr>
        <w:rPr>
          <w:rFonts w:ascii="Arial" w:cs="Arial" w:eastAsia="Arial" w:hAnsi="Arial"/>
          <w:sz w:val="18"/>
          <w:szCs w:val="18"/>
          <w:color w:val="4C4C4C"/>
        </w:rPr>
      </w:pPr>
      <w:r>
        <w:rPr>
          <w:rFonts w:ascii="Arial" w:cs="Arial" w:eastAsia="Arial" w:hAnsi="Arial"/>
          <w:sz w:val="18"/>
          <w:szCs w:val="18"/>
          <w:color w:val="4C4C4C"/>
        </w:rPr>
        <w:t>our financial plan, including capital return and other financial drivers and goals.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2020 Highlights – Executing Our Strategy in a Challenging Year</w:t>
      </w:r>
    </w:p>
    <w:p>
      <w:pPr>
        <w:spacing w:after="0" w:line="13" w:lineRule="exact"/>
        <w:rPr>
          <w:sz w:val="20"/>
          <w:szCs w:val="20"/>
          <w:color w:val="auto"/>
        </w:rPr>
      </w:pPr>
    </w:p>
    <w:p>
      <w:pPr>
        <w:ind w:left="120" w:right="220"/>
        <w:spacing w:after="0"/>
        <w:rPr>
          <w:sz w:val="20"/>
          <w:szCs w:val="20"/>
          <w:color w:val="auto"/>
        </w:rPr>
      </w:pPr>
      <w:r>
        <w:rPr>
          <w:rFonts w:ascii="Arial" w:cs="Arial" w:eastAsia="Arial" w:hAnsi="Arial"/>
          <w:sz w:val="18"/>
          <w:szCs w:val="18"/>
          <w:color w:val="4C4C4C"/>
        </w:rPr>
        <w:t>Brighthouse had a strong 2020, as we continued to execute our strategy and delivered solid results while navigating the challenging environment brought on by the COVID-19 pandemic. We remain confident in our strategy, which we continue to believe will enable us to generate long-term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93"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4C4C4C"/>
        </w:rPr>
        <w:t>Financial and Capital</w:t>
      </w:r>
      <w:r>
        <w:rPr>
          <w:sz w:val="20"/>
          <w:szCs w:val="20"/>
          <w:color w:val="auto"/>
        </w:rPr>
        <w:tab/>
      </w:r>
      <w:r>
        <w:rPr>
          <w:rFonts w:ascii="Arial" w:cs="Arial" w:eastAsia="Arial" w:hAnsi="Arial"/>
          <w:sz w:val="18"/>
          <w:szCs w:val="18"/>
          <w:color w:val="4C4C4C"/>
        </w:rPr>
        <w:t xml:space="preserve">• </w:t>
      </w:r>
      <w:r>
        <w:rPr>
          <w:rFonts w:ascii="Arial" w:cs="Arial" w:eastAsia="Arial" w:hAnsi="Arial"/>
          <w:sz w:val="18"/>
          <w:szCs w:val="18"/>
          <w:b w:val="1"/>
          <w:bCs w:val="1"/>
          <w:color w:val="3F3F3F"/>
        </w:rPr>
        <w:t>Prudent Financial Management</w:t>
      </w:r>
      <w:r>
        <w:rPr>
          <w:rFonts w:ascii="Arial" w:cs="Arial" w:eastAsia="Arial" w:hAnsi="Arial"/>
          <w:sz w:val="18"/>
          <w:szCs w:val="18"/>
          <w:color w:val="4C4C4C"/>
        </w:rPr>
        <w:t xml:space="preserve"> – we continued to emphasize prudence and flexibility in our financial</w:t>
      </w:r>
    </w:p>
    <w:p>
      <w:pPr>
        <w:spacing w:after="0" w:line="18" w:lineRule="exact"/>
        <w:rPr>
          <w:sz w:val="20"/>
          <w:szCs w:val="20"/>
          <w:color w:val="auto"/>
        </w:rPr>
      </w:pPr>
    </w:p>
    <w:p>
      <w:pPr>
        <w:ind w:left="2720" w:right="600" w:hanging="2599"/>
        <w:spacing w:after="0" w:line="234" w:lineRule="auto"/>
        <w:tabs>
          <w:tab w:leader="none" w:pos="2700" w:val="left"/>
        </w:tabs>
        <w:rPr>
          <w:sz w:val="20"/>
          <w:szCs w:val="20"/>
          <w:color w:val="auto"/>
        </w:rPr>
      </w:pPr>
      <w:r>
        <w:rPr>
          <w:rFonts w:ascii="Arial" w:cs="Arial" w:eastAsia="Arial" w:hAnsi="Arial"/>
          <w:sz w:val="18"/>
          <w:szCs w:val="18"/>
          <w:b w:val="1"/>
          <w:bCs w:val="1"/>
          <w:color w:val="4C4C4C"/>
        </w:rPr>
        <w:t>Strength</w:t>
      </w:r>
      <w:r>
        <w:rPr>
          <w:sz w:val="20"/>
          <w:szCs w:val="20"/>
          <w:color w:val="auto"/>
        </w:rPr>
        <w:tab/>
      </w:r>
      <w:r>
        <w:rPr>
          <w:rFonts w:ascii="Arial" w:cs="Arial" w:eastAsia="Arial" w:hAnsi="Arial"/>
          <w:sz w:val="18"/>
          <w:szCs w:val="18"/>
          <w:color w:val="4C4C4C"/>
        </w:rPr>
        <w:t>management strategy. We completed the revision of our variable annuity (“</w:t>
      </w:r>
      <w:r>
        <w:rPr>
          <w:rFonts w:ascii="Arial" w:cs="Arial" w:eastAsia="Arial" w:hAnsi="Arial"/>
          <w:sz w:val="18"/>
          <w:szCs w:val="18"/>
          <w:b w:val="1"/>
          <w:bCs w:val="1"/>
          <w:color w:val="00ADBB"/>
        </w:rPr>
        <w:t>VA</w:t>
      </w:r>
      <w:r>
        <w:rPr>
          <w:rFonts w:ascii="Arial" w:cs="Arial" w:eastAsia="Arial" w:hAnsi="Arial"/>
          <w:sz w:val="18"/>
          <w:szCs w:val="18"/>
          <w:color w:val="4C4C4C"/>
        </w:rPr>
        <w:t>”) hedging strategy, significantly reducing Brighthouse’s risk profile. During 2020, we opportunistically extended debt maturities and added permanent equity capital to our balance sheet. We have no outstanding debt maturities until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-305435</wp:posOffset>
            </wp:positionV>
            <wp:extent cx="47117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1170" cy="300355"/>
                    </a:xfrm>
                    <a:prstGeom prst="rect">
                      <a:avLst/>
                    </a:prstGeom>
                    <a:noFill/>
                  </pic:spPr>
                </pic:pic>
              </a:graphicData>
            </a:graphic>
          </wp:anchor>
        </w:drawing>
      </w:r>
    </w:p>
    <w:p>
      <w:pPr>
        <w:ind w:left="2720" w:right="40" w:hanging="174"/>
        <w:spacing w:after="0" w:line="234" w:lineRule="auto"/>
        <w:tabs>
          <w:tab w:leader="none" w:pos="2704" w:val="left"/>
        </w:tabs>
        <w:numPr>
          <w:ilvl w:val="0"/>
          <w:numId w:val="64"/>
        </w:numPr>
        <w:rPr>
          <w:rFonts w:ascii="Arial" w:cs="Arial" w:eastAsia="Arial" w:hAnsi="Arial"/>
          <w:sz w:val="18"/>
          <w:szCs w:val="18"/>
          <w:color w:val="4C4C4C"/>
        </w:rPr>
      </w:pPr>
      <w:r>
        <w:rPr>
          <w:rFonts w:ascii="Arial" w:cs="Arial" w:eastAsia="Arial" w:hAnsi="Arial"/>
          <w:sz w:val="18"/>
          <w:szCs w:val="18"/>
          <w:b w:val="1"/>
          <w:bCs w:val="1"/>
          <w:color w:val="3F3F3F"/>
        </w:rPr>
        <w:t xml:space="preserve">Normalized Statutory Earnings </w:t>
      </w:r>
      <w:r>
        <w:rPr>
          <w:rFonts w:ascii="Arial" w:cs="Arial" w:eastAsia="Arial" w:hAnsi="Arial"/>
          <w:sz w:val="18"/>
          <w:szCs w:val="18"/>
          <w:color w:val="4C4C4C"/>
        </w:rPr>
        <w:t>– generating normalized statutory earnings remains a focus of our</w:t>
      </w:r>
      <w:r>
        <w:rPr>
          <w:rFonts w:ascii="Arial" w:cs="Arial" w:eastAsia="Arial" w:hAnsi="Arial"/>
          <w:sz w:val="18"/>
          <w:szCs w:val="18"/>
          <w:b w:val="1"/>
          <w:bCs w:val="1"/>
          <w:color w:val="3F3F3F"/>
        </w:rPr>
        <w:t xml:space="preserve"> </w:t>
      </w:r>
      <w:r>
        <w:rPr>
          <w:rFonts w:ascii="Arial" w:cs="Arial" w:eastAsia="Arial" w:hAnsi="Arial"/>
          <w:sz w:val="18"/>
          <w:szCs w:val="18"/>
          <w:color w:val="4C4C4C"/>
        </w:rPr>
        <w:t>financial management strategy. Normalized statutory earnings is used by management to measure our insurance companies’ generation of statutory distributable cash flows (sometimes referred to as distributable earnings) and is reflective of whether our hedging program functions as intended. For the full year, we had a normalized statutory loss</w:t>
      </w:r>
      <w:r>
        <w:rPr>
          <w:rFonts w:ascii="Arial" w:cs="Arial" w:eastAsia="Arial" w:hAnsi="Arial"/>
          <w:sz w:val="15"/>
          <w:szCs w:val="15"/>
          <w:color w:val="4C4C4C"/>
        </w:rPr>
        <w:t>(1)</w:t>
      </w:r>
      <w:r>
        <w:rPr>
          <w:rFonts w:ascii="Arial" w:cs="Arial" w:eastAsia="Arial" w:hAnsi="Arial"/>
          <w:sz w:val="18"/>
          <w:szCs w:val="18"/>
          <w:color w:val="4C4C4C"/>
        </w:rPr>
        <w:t xml:space="preserve"> of $389 million, largely driven by weak normalized statutory earnings results in the first quarter, which was largely attributable to a tax adjustment associated with our adoption of VA capital reform. Our hedging program now contemplates the tax volatility that accompanies VA capital reform. Normalized statutory earnings for the final three quarters of 2020 were positive in the aggregate.</w:t>
      </w:r>
    </w:p>
    <w:p>
      <w:pPr>
        <w:spacing w:after="0" w:line="6" w:lineRule="exact"/>
        <w:rPr>
          <w:rFonts w:ascii="Arial" w:cs="Arial" w:eastAsia="Arial" w:hAnsi="Arial"/>
          <w:sz w:val="18"/>
          <w:szCs w:val="18"/>
          <w:color w:val="4C4C4C"/>
        </w:rPr>
      </w:pPr>
    </w:p>
    <w:p>
      <w:pPr>
        <w:ind w:left="2720" w:right="20" w:hanging="174"/>
        <w:spacing w:after="0" w:line="234" w:lineRule="auto"/>
        <w:tabs>
          <w:tab w:leader="none" w:pos="2704" w:val="left"/>
        </w:tabs>
        <w:numPr>
          <w:ilvl w:val="0"/>
          <w:numId w:val="64"/>
        </w:numPr>
        <w:rPr>
          <w:rFonts w:ascii="Arial" w:cs="Arial" w:eastAsia="Arial" w:hAnsi="Arial"/>
          <w:sz w:val="18"/>
          <w:szCs w:val="18"/>
          <w:color w:val="4C4C4C"/>
        </w:rPr>
      </w:pPr>
      <w:r>
        <w:rPr>
          <w:rFonts w:ascii="Arial" w:cs="Arial" w:eastAsia="Arial" w:hAnsi="Arial"/>
          <w:sz w:val="18"/>
          <w:szCs w:val="18"/>
          <w:b w:val="1"/>
          <w:bCs w:val="1"/>
          <w:color w:val="3F3F3F"/>
        </w:rPr>
        <w:t xml:space="preserve">Capital Return </w:t>
      </w:r>
      <w:r>
        <w:rPr>
          <w:rFonts w:ascii="Arial" w:cs="Arial" w:eastAsia="Arial" w:hAnsi="Arial"/>
          <w:sz w:val="18"/>
          <w:szCs w:val="18"/>
          <w:color w:val="4C4C4C"/>
        </w:rPr>
        <w:t>– we repurchased approximately $473 million of our common stock in 2020, representing</w:t>
      </w:r>
      <w:r>
        <w:rPr>
          <w:rFonts w:ascii="Arial" w:cs="Arial" w:eastAsia="Arial" w:hAnsi="Arial"/>
          <w:sz w:val="18"/>
          <w:szCs w:val="18"/>
          <w:b w:val="1"/>
          <w:bCs w:val="1"/>
          <w:color w:val="3F3F3F"/>
        </w:rPr>
        <w:t xml:space="preserve"> </w:t>
      </w:r>
      <w:r>
        <w:rPr>
          <w:rFonts w:ascii="Arial" w:cs="Arial" w:eastAsia="Arial" w:hAnsi="Arial"/>
          <w:sz w:val="18"/>
          <w:szCs w:val="18"/>
          <w:color w:val="4C4C4C"/>
        </w:rPr>
        <w:t>approximately 17% of shares outstanding relative to year-end 2019. Since the announcement of our first stock repurchase authorization in August 2018, we have repurchased $1,048 million of our common stock through February 9, 2021. We hope to achieve our target to return $1.5 billion of capital to stockholders by the end of 2021, but we will continue to emphasize prudence and flexibility regarding future share repurchases.</w:t>
      </w:r>
    </w:p>
    <w:p>
      <w:pPr>
        <w:spacing w:after="0" w:line="4" w:lineRule="exact"/>
        <w:rPr>
          <w:rFonts w:ascii="Arial" w:cs="Arial" w:eastAsia="Arial" w:hAnsi="Arial"/>
          <w:sz w:val="18"/>
          <w:szCs w:val="18"/>
          <w:color w:val="4C4C4C"/>
        </w:rPr>
      </w:pPr>
    </w:p>
    <w:p>
      <w:pPr>
        <w:ind w:left="2720" w:right="40" w:hanging="174"/>
        <w:spacing w:after="0" w:line="234" w:lineRule="auto"/>
        <w:tabs>
          <w:tab w:leader="none" w:pos="2704" w:val="left"/>
        </w:tabs>
        <w:numPr>
          <w:ilvl w:val="0"/>
          <w:numId w:val="64"/>
        </w:numPr>
        <w:rPr>
          <w:rFonts w:ascii="Arial" w:cs="Arial" w:eastAsia="Arial" w:hAnsi="Arial"/>
          <w:sz w:val="18"/>
          <w:szCs w:val="18"/>
          <w:color w:val="4C4C4C"/>
        </w:rPr>
      </w:pPr>
      <w:r>
        <w:rPr>
          <w:rFonts w:ascii="Arial" w:cs="Arial" w:eastAsia="Arial" w:hAnsi="Arial"/>
          <w:sz w:val="18"/>
          <w:szCs w:val="18"/>
          <w:b w:val="1"/>
          <w:bCs w:val="1"/>
          <w:color w:val="3F3F3F"/>
        </w:rPr>
        <w:t xml:space="preserve">Total Adjusted Capital </w:t>
      </w:r>
      <w:r>
        <w:rPr>
          <w:rFonts w:ascii="Arial" w:cs="Arial" w:eastAsia="Arial" w:hAnsi="Arial"/>
          <w:sz w:val="18"/>
          <w:szCs w:val="18"/>
          <w:color w:val="4C4C4C"/>
        </w:rPr>
        <w:t>– we ended 2020 with approximately $8.6 billion of combined statutory total</w:t>
      </w:r>
      <w:r>
        <w:rPr>
          <w:rFonts w:ascii="Arial" w:cs="Arial" w:eastAsia="Arial" w:hAnsi="Arial"/>
          <w:sz w:val="18"/>
          <w:szCs w:val="18"/>
          <w:b w:val="1"/>
          <w:bCs w:val="1"/>
          <w:color w:val="3F3F3F"/>
        </w:rPr>
        <w:t xml:space="preserve"> </w:t>
      </w:r>
      <w:r>
        <w:rPr>
          <w:rFonts w:ascii="Arial" w:cs="Arial" w:eastAsia="Arial" w:hAnsi="Arial"/>
          <w:sz w:val="18"/>
          <w:szCs w:val="18"/>
          <w:color w:val="4C4C4C"/>
        </w:rPr>
        <w:t>adjusted capital and with a combined Risk-Based Capital (“</w:t>
      </w:r>
      <w:r>
        <w:rPr>
          <w:rFonts w:ascii="Arial" w:cs="Arial" w:eastAsia="Arial" w:hAnsi="Arial"/>
          <w:sz w:val="18"/>
          <w:szCs w:val="18"/>
          <w:b w:val="1"/>
          <w:bCs w:val="1"/>
          <w:color w:val="00ADBB"/>
        </w:rPr>
        <w:t>RBC</w:t>
      </w:r>
      <w:r>
        <w:rPr>
          <w:rFonts w:ascii="Arial" w:cs="Arial" w:eastAsia="Arial" w:hAnsi="Arial"/>
          <w:sz w:val="18"/>
          <w:szCs w:val="18"/>
          <w:color w:val="4C4C4C"/>
        </w:rPr>
        <w:t>”) ratio of approximately 485% (our target in normal markets is 400-450%). RBC is a method of measuring an insurance company’s capital, taking into consideration its relative size and risk profile, in order to ensure compliance with minimum regulatory capital requirements.</w:t>
      </w:r>
    </w:p>
    <w:p>
      <w:pPr>
        <w:spacing w:after="0" w:line="3" w:lineRule="exact"/>
        <w:rPr>
          <w:rFonts w:ascii="Arial" w:cs="Arial" w:eastAsia="Arial" w:hAnsi="Arial"/>
          <w:sz w:val="18"/>
          <w:szCs w:val="18"/>
          <w:color w:val="4C4C4C"/>
        </w:rPr>
      </w:pPr>
    </w:p>
    <w:p>
      <w:pPr>
        <w:ind w:left="2720" w:hanging="174"/>
        <w:spacing w:after="0"/>
        <w:tabs>
          <w:tab w:leader="none" w:pos="2720" w:val="left"/>
        </w:tabs>
        <w:numPr>
          <w:ilvl w:val="0"/>
          <w:numId w:val="64"/>
        </w:numPr>
        <w:rPr>
          <w:rFonts w:ascii="Arial" w:cs="Arial" w:eastAsia="Arial" w:hAnsi="Arial"/>
          <w:sz w:val="18"/>
          <w:szCs w:val="18"/>
          <w:color w:val="4C4C4C"/>
        </w:rPr>
      </w:pPr>
      <w:r>
        <w:rPr>
          <w:rFonts w:ascii="Arial" w:cs="Arial" w:eastAsia="Arial" w:hAnsi="Arial"/>
          <w:sz w:val="18"/>
          <w:szCs w:val="18"/>
          <w:b w:val="1"/>
          <w:bCs w:val="1"/>
          <w:color w:val="3F3F3F"/>
        </w:rPr>
        <w:t xml:space="preserve">Ratings </w:t>
      </w:r>
      <w:r>
        <w:rPr>
          <w:rFonts w:ascii="Arial" w:cs="Arial" w:eastAsia="Arial" w:hAnsi="Arial"/>
          <w:sz w:val="18"/>
          <w:szCs w:val="18"/>
          <w:color w:val="4C4C4C"/>
        </w:rPr>
        <w:t>– we maintained our operating companies’ strong financial strength ratings.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 | 2021 Proxy Statement</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13373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C4C4C"/>
        </w:rPr>
        <w:t>Products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1107440</wp:posOffset>
            </wp:positionV>
            <wp:extent cx="13373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731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95885</wp:posOffset>
            </wp:positionV>
            <wp:extent cx="471170"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1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C4C4C"/>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645795</wp:posOffset>
            </wp:positionV>
            <wp:extent cx="13373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7310"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88900</wp:posOffset>
            </wp:positionV>
            <wp:extent cx="471170" cy="4718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11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C4C4C"/>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88900</wp:posOffset>
            </wp:positionV>
            <wp:extent cx="497205" cy="436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20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99060</wp:posOffset>
            </wp:positionV>
            <wp:extent cx="55206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pacing w:after="0" w:line="140" w:lineRule="exact"/>
        <w:rPr>
          <w:sz w:val="20"/>
          <w:szCs w:val="20"/>
          <w:color w:val="auto"/>
        </w:rPr>
      </w:pPr>
    </w:p>
    <w:p>
      <w:pPr>
        <w:ind w:left="180" w:right="60" w:hanging="174"/>
        <w:spacing w:after="0" w:line="247"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Annuity Sales </w:t>
      </w:r>
      <w:r>
        <w:rPr>
          <w:rFonts w:ascii="Arial" w:cs="Arial" w:eastAsia="Arial" w:hAnsi="Arial"/>
          <w:sz w:val="18"/>
          <w:szCs w:val="18"/>
          <w:color w:val="4C4C4C"/>
        </w:rPr>
        <w:t>– we achieved annuity sales of approximately $9.1 billion, exceeding our 2020 target, and</w:t>
      </w:r>
      <w:r>
        <w:rPr>
          <w:rFonts w:ascii="Arial" w:cs="Arial" w:eastAsia="Arial" w:hAnsi="Arial"/>
          <w:sz w:val="18"/>
          <w:szCs w:val="18"/>
          <w:b w:val="1"/>
          <w:bCs w:val="1"/>
          <w:color w:val="3F3F3F"/>
        </w:rPr>
        <w:t xml:space="preserve"> </w:t>
      </w:r>
      <w:r>
        <w:rPr>
          <w:rFonts w:ascii="Arial" w:cs="Arial" w:eastAsia="Arial" w:hAnsi="Arial"/>
          <w:sz w:val="18"/>
          <w:szCs w:val="18"/>
          <w:color w:val="4C4C4C"/>
        </w:rPr>
        <w:t>a 25% increase over 2019.</w:t>
      </w:r>
    </w:p>
    <w:p>
      <w:pPr>
        <w:ind w:left="180" w:right="240" w:hanging="174"/>
        <w:spacing w:after="0" w:line="234"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Life Insurance Sales </w:t>
      </w:r>
      <w:r>
        <w:rPr>
          <w:rFonts w:ascii="Arial" w:cs="Arial" w:eastAsia="Arial" w:hAnsi="Arial"/>
          <w:sz w:val="18"/>
          <w:szCs w:val="18"/>
          <w:color w:val="4C4C4C"/>
        </w:rPr>
        <w:t>– our life insurance sales were approximately $56 million, below our 2020 target,</w:t>
      </w:r>
      <w:r>
        <w:rPr>
          <w:rFonts w:ascii="Arial" w:cs="Arial" w:eastAsia="Arial" w:hAnsi="Arial"/>
          <w:sz w:val="18"/>
          <w:szCs w:val="18"/>
          <w:b w:val="1"/>
          <w:bCs w:val="1"/>
          <w:color w:val="3F3F3F"/>
        </w:rPr>
        <w:t xml:space="preserve"> </w:t>
      </w:r>
      <w:r>
        <w:rPr>
          <w:rFonts w:ascii="Arial" w:cs="Arial" w:eastAsia="Arial" w:hAnsi="Arial"/>
          <w:sz w:val="18"/>
          <w:szCs w:val="18"/>
          <w:color w:val="4C4C4C"/>
        </w:rPr>
        <w:t>but a 124% increase over 2019.</w:t>
      </w:r>
    </w:p>
    <w:p>
      <w:pPr>
        <w:spacing w:after="0" w:line="1" w:lineRule="exact"/>
        <w:rPr>
          <w:rFonts w:ascii="Arial" w:cs="Arial" w:eastAsia="Arial" w:hAnsi="Arial"/>
          <w:sz w:val="18"/>
          <w:szCs w:val="18"/>
          <w:color w:val="4C4C4C"/>
        </w:rPr>
      </w:pPr>
    </w:p>
    <w:p>
      <w:pPr>
        <w:ind w:left="180" w:right="180" w:hanging="174"/>
        <w:spacing w:after="0" w:line="234"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Expanded Distribution </w:t>
      </w:r>
      <w:r>
        <w:rPr>
          <w:rFonts w:ascii="Arial" w:cs="Arial" w:eastAsia="Arial" w:hAnsi="Arial"/>
          <w:sz w:val="18"/>
          <w:szCs w:val="18"/>
          <w:color w:val="4C4C4C"/>
        </w:rPr>
        <w:t>– we expanded our distribution network, including adding new distribution</w:t>
      </w:r>
      <w:r>
        <w:rPr>
          <w:rFonts w:ascii="Arial" w:cs="Arial" w:eastAsia="Arial" w:hAnsi="Arial"/>
          <w:sz w:val="18"/>
          <w:szCs w:val="18"/>
          <w:b w:val="1"/>
          <w:bCs w:val="1"/>
          <w:color w:val="3F3F3F"/>
        </w:rPr>
        <w:t xml:space="preserve"> </w:t>
      </w:r>
      <w:r>
        <w:rPr>
          <w:rFonts w:ascii="Arial" w:cs="Arial" w:eastAsia="Arial" w:hAnsi="Arial"/>
          <w:sz w:val="18"/>
          <w:szCs w:val="18"/>
          <w:color w:val="4C4C4C"/>
        </w:rPr>
        <w:t>partners to our existing channels and entering into the independent marketing organization channel and new digital channels.</w:t>
      </w:r>
    </w:p>
    <w:p>
      <w:pPr>
        <w:spacing w:after="0" w:line="2" w:lineRule="exact"/>
        <w:rPr>
          <w:rFonts w:ascii="Arial" w:cs="Arial" w:eastAsia="Arial" w:hAnsi="Arial"/>
          <w:sz w:val="18"/>
          <w:szCs w:val="18"/>
          <w:color w:val="4C4C4C"/>
        </w:rPr>
      </w:pPr>
    </w:p>
    <w:p>
      <w:pPr>
        <w:ind w:left="180" w:right="860" w:hanging="174"/>
        <w:spacing w:after="0" w:line="246"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New Products </w:t>
      </w:r>
      <w:r>
        <w:rPr>
          <w:rFonts w:ascii="Arial" w:cs="Arial" w:eastAsia="Arial" w:hAnsi="Arial"/>
          <w:sz w:val="18"/>
          <w:szCs w:val="18"/>
          <w:color w:val="4C4C4C"/>
        </w:rPr>
        <w:t>– we launched Brighthouse SecureAdvantage</w:t>
      </w:r>
      <w:r>
        <w:rPr>
          <w:rFonts w:ascii="Arial" w:cs="Arial" w:eastAsia="Arial" w:hAnsi="Arial"/>
          <w:sz w:val="15"/>
          <w:szCs w:val="15"/>
          <w:color w:val="4C4C4C"/>
        </w:rPr>
        <w:t>®</w:t>
      </w:r>
      <w:r>
        <w:rPr>
          <w:rFonts w:ascii="Arial" w:cs="Arial" w:eastAsia="Arial" w:hAnsi="Arial"/>
          <w:sz w:val="18"/>
          <w:szCs w:val="18"/>
          <w:b w:val="1"/>
          <w:bCs w:val="1"/>
          <w:color w:val="3F3F3F"/>
        </w:rPr>
        <w:t xml:space="preserve"> </w:t>
      </w:r>
      <w:r>
        <w:rPr>
          <w:rFonts w:ascii="Arial" w:cs="Arial" w:eastAsia="Arial" w:hAnsi="Arial"/>
          <w:sz w:val="18"/>
          <w:szCs w:val="18"/>
          <w:color w:val="4C4C4C"/>
        </w:rPr>
        <w:t>6-Year Fixed Index Annuity and</w:t>
      </w:r>
      <w:r>
        <w:rPr>
          <w:rFonts w:ascii="Arial" w:cs="Arial" w:eastAsia="Arial" w:hAnsi="Arial"/>
          <w:sz w:val="18"/>
          <w:szCs w:val="18"/>
          <w:b w:val="1"/>
          <w:bCs w:val="1"/>
          <w:color w:val="3F3F3F"/>
        </w:rPr>
        <w:t xml:space="preserve"> </w:t>
      </w:r>
      <w:r>
        <w:rPr>
          <w:rFonts w:ascii="Arial" w:cs="Arial" w:eastAsia="Arial" w:hAnsi="Arial"/>
          <w:sz w:val="18"/>
          <w:szCs w:val="18"/>
          <w:color w:val="4C4C4C"/>
        </w:rPr>
        <w:t>Brighthouse SimplySelect</w:t>
      </w:r>
      <w:r>
        <w:rPr>
          <w:rFonts w:ascii="Arial" w:cs="Arial" w:eastAsia="Arial" w:hAnsi="Arial"/>
          <w:sz w:val="15"/>
          <w:szCs w:val="15"/>
          <w:color w:val="4C4C4C"/>
        </w:rPr>
        <w:t>®</w:t>
      </w:r>
      <w:r>
        <w:rPr>
          <w:rFonts w:ascii="Arial" w:cs="Arial" w:eastAsia="Arial" w:hAnsi="Arial"/>
          <w:sz w:val="18"/>
          <w:szCs w:val="18"/>
          <w:color w:val="4C4C4C"/>
        </w:rPr>
        <w:t>, a new term life insurance product.</w:t>
      </w:r>
    </w:p>
    <w:p>
      <w:pPr>
        <w:spacing w:after="0" w:line="80" w:lineRule="exact"/>
        <w:rPr>
          <w:rFonts w:ascii="Arial" w:cs="Arial" w:eastAsia="Arial" w:hAnsi="Arial"/>
          <w:sz w:val="18"/>
          <w:szCs w:val="18"/>
          <w:color w:val="4C4C4C"/>
        </w:rPr>
      </w:pPr>
    </w:p>
    <w:p>
      <w:pPr>
        <w:ind w:left="180" w:right="60" w:hanging="174"/>
        <w:spacing w:after="0" w:line="253"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Corporate Expenses </w:t>
      </w:r>
      <w:r>
        <w:rPr>
          <w:rFonts w:ascii="Arial" w:cs="Arial" w:eastAsia="Arial" w:hAnsi="Arial"/>
          <w:sz w:val="18"/>
          <w:szCs w:val="18"/>
          <w:color w:val="4C4C4C"/>
        </w:rPr>
        <w:t>– our run-rate corporate expenses were $864 million. We achieved run-rate</w:t>
      </w:r>
      <w:r>
        <w:rPr>
          <w:rFonts w:ascii="Arial" w:cs="Arial" w:eastAsia="Arial" w:hAnsi="Arial"/>
          <w:sz w:val="18"/>
          <w:szCs w:val="18"/>
          <w:b w:val="1"/>
          <w:bCs w:val="1"/>
          <w:color w:val="3F3F3F"/>
        </w:rPr>
        <w:t xml:space="preserve"> </w:t>
      </w:r>
      <w:r>
        <w:rPr>
          <w:rFonts w:ascii="Arial" w:cs="Arial" w:eastAsia="Arial" w:hAnsi="Arial"/>
          <w:sz w:val="18"/>
          <w:szCs w:val="18"/>
          <w:color w:val="4C4C4C"/>
        </w:rPr>
        <w:t>corporate expense reductions of $166 million relative to our first year following the Separation, exceeding our target of $150 million.</w:t>
      </w:r>
    </w:p>
    <w:p>
      <w:pPr>
        <w:spacing w:after="0" w:line="200" w:lineRule="exact"/>
        <w:rPr>
          <w:rFonts w:ascii="Arial" w:cs="Arial" w:eastAsia="Arial" w:hAnsi="Arial"/>
          <w:sz w:val="18"/>
          <w:szCs w:val="18"/>
          <w:color w:val="4C4C4C"/>
        </w:rPr>
      </w:pPr>
    </w:p>
    <w:p>
      <w:pPr>
        <w:spacing w:after="0" w:line="373" w:lineRule="exact"/>
        <w:rPr>
          <w:rFonts w:ascii="Arial" w:cs="Arial" w:eastAsia="Arial" w:hAnsi="Arial"/>
          <w:sz w:val="18"/>
          <w:szCs w:val="18"/>
          <w:color w:val="4C4C4C"/>
        </w:rPr>
      </w:pPr>
    </w:p>
    <w:p>
      <w:pPr>
        <w:jc w:val="both"/>
        <w:ind w:left="180" w:right="440" w:hanging="174"/>
        <w:spacing w:after="0" w:line="253" w:lineRule="auto"/>
        <w:tabs>
          <w:tab w:leader="none" w:pos="164" w:val="left"/>
        </w:tabs>
        <w:numPr>
          <w:ilvl w:val="0"/>
          <w:numId w:val="65"/>
        </w:numPr>
        <w:rPr>
          <w:rFonts w:ascii="Arial" w:cs="Arial" w:eastAsia="Arial" w:hAnsi="Arial"/>
          <w:sz w:val="18"/>
          <w:szCs w:val="18"/>
          <w:color w:val="4C4C4C"/>
        </w:rPr>
      </w:pPr>
      <w:r>
        <w:rPr>
          <w:rFonts w:ascii="Arial" w:cs="Arial" w:eastAsia="Arial" w:hAnsi="Arial"/>
          <w:sz w:val="18"/>
          <w:szCs w:val="18"/>
          <w:b w:val="1"/>
          <w:bCs w:val="1"/>
          <w:color w:val="3F3F3F"/>
        </w:rPr>
        <w:t xml:space="preserve">Future State Platform </w:t>
      </w:r>
      <w:r>
        <w:rPr>
          <w:rFonts w:ascii="Arial" w:cs="Arial" w:eastAsia="Arial" w:hAnsi="Arial"/>
          <w:sz w:val="18"/>
          <w:szCs w:val="18"/>
          <w:color w:val="4C4C4C"/>
        </w:rPr>
        <w:t>– we made significant progress in our multiyear effort to implement our future</w:t>
      </w:r>
      <w:r>
        <w:rPr>
          <w:rFonts w:ascii="Arial" w:cs="Arial" w:eastAsia="Arial" w:hAnsi="Arial"/>
          <w:sz w:val="18"/>
          <w:szCs w:val="18"/>
          <w:b w:val="1"/>
          <w:bCs w:val="1"/>
          <w:color w:val="3F3F3F"/>
        </w:rPr>
        <w:t xml:space="preserve"> </w:t>
      </w:r>
      <w:r>
        <w:rPr>
          <w:rFonts w:ascii="Arial" w:cs="Arial" w:eastAsia="Arial" w:hAnsi="Arial"/>
          <w:sz w:val="18"/>
          <w:szCs w:val="18"/>
          <w:color w:val="4C4C4C"/>
        </w:rPr>
        <w:t>state operations and technology platform, which is foundational to our ability to grow our sales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-417830</wp:posOffset>
            </wp:positionV>
            <wp:extent cx="55206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0690" cy="1714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-1197610</wp:posOffset>
            </wp:positionV>
            <wp:extent cx="5520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00"/>
          </w:cols>
          <w:pgMar w:left="320" w:top="459" w:right="439" w:bottom="1440" w:gutter="0" w:footer="0" w:header="0"/>
          <w:type w:val="continuous"/>
        </w:sectPr>
      </w:pPr>
    </w:p>
    <w:p>
      <w:pPr>
        <w:spacing w:after="0" w:line="315"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4C4C4C"/>
        </w:rPr>
      </w:pPr>
      <w:r>
        <w:rPr>
          <w:rFonts w:ascii="Arial" w:cs="Arial" w:eastAsia="Arial" w:hAnsi="Arial"/>
          <w:sz w:val="18"/>
          <w:szCs w:val="18"/>
          <w:color w:val="4C4C4C"/>
        </w:rPr>
        <w:t>We use the term “normalized statutory loss” throughout this Proxy Statement to refer to negative normalized statutory earnings.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Our Response to the COVID-19 Pandemic</w:t>
      </w:r>
    </w:p>
    <w:p>
      <w:pPr>
        <w:spacing w:after="0" w:line="12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4C4C4C"/>
        </w:rPr>
        <w:t>The ongoing COVID-19 pandemic impacted how Brighthouse operates in many ways. Despite the significant challenges presented by the pandemic, we are proud of how we were able to quickly and seamlessly shift our operations to a remote-work environment with a high level of continuity and of the strong results we delivered in 2020. The following provides an overview of key elements of our response to the pandemic.</w:t>
      </w:r>
    </w:p>
    <w:p>
      <w:pPr>
        <w:spacing w:after="0" w:line="7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4CC5CF"/>
        </w:rPr>
        <w:t>Board Oversight</w:t>
      </w:r>
      <w:r>
        <w:rPr>
          <w:rFonts w:ascii="Arial" w:cs="Arial" w:eastAsia="Arial" w:hAnsi="Arial"/>
          <w:sz w:val="18"/>
          <w:szCs w:val="18"/>
          <w:color w:val="4CC5CF"/>
        </w:rPr>
        <w:t>.</w:t>
      </w:r>
      <w:r>
        <w:rPr>
          <w:rFonts w:ascii="Arial" w:cs="Arial" w:eastAsia="Arial" w:hAnsi="Arial"/>
          <w:sz w:val="18"/>
          <w:szCs w:val="18"/>
          <w:i w:val="1"/>
          <w:iCs w:val="1"/>
          <w:color w:val="4CC5CF"/>
        </w:rPr>
        <w:t xml:space="preserve"> </w:t>
      </w:r>
      <w:r>
        <w:rPr>
          <w:rFonts w:ascii="Arial" w:cs="Arial" w:eastAsia="Arial" w:hAnsi="Arial"/>
          <w:sz w:val="18"/>
          <w:szCs w:val="18"/>
          <w:color w:val="4C4C4C"/>
        </w:rPr>
        <w:t>Our Board and Committees oversee the Company’s response to the pandemic. Before the pandemic, the Board had</w:t>
      </w:r>
      <w:r>
        <w:rPr>
          <w:rFonts w:ascii="Arial" w:cs="Arial" w:eastAsia="Arial" w:hAnsi="Arial"/>
          <w:sz w:val="18"/>
          <w:szCs w:val="18"/>
          <w:i w:val="1"/>
          <w:iCs w:val="1"/>
          <w:color w:val="4CC5CF"/>
        </w:rPr>
        <w:t xml:space="preserve"> </w:t>
      </w:r>
      <w:r>
        <w:rPr>
          <w:rFonts w:ascii="Arial" w:cs="Arial" w:eastAsia="Arial" w:hAnsi="Arial"/>
          <w:sz w:val="18"/>
          <w:szCs w:val="18"/>
          <w:color w:val="4C4C4C"/>
        </w:rPr>
        <w:t>overseen management’s development of business continuity plans which were deployed in the pandemic and helped us adapt to the new environment and continue effective operations. During the pandemic, we increased the cadence of formal and informal communications between management and the Board. Our CEO regularly shares updates about operations, business impacts, and our initiatives to help support our employees, customers, and communities. Operationally, the Board also pivoted, and we have held all of our Board and Committee meetings since March of 2020 as virtual meetings. During our Board meetings, management continued to update the Board on how we are managing through the pandemic. As we hope to emerge from the pandemic, management and the Board have been discussing the long-term impacts on our Company, the future of our workplace, and how we are applying what we learned to our post-pandemic operations.</w:t>
      </w:r>
    </w:p>
    <w:p>
      <w:pPr>
        <w:spacing w:after="0" w:line="83" w:lineRule="exact"/>
        <w:rPr>
          <w:sz w:val="20"/>
          <w:szCs w:val="20"/>
          <w:color w:val="auto"/>
        </w:rPr>
      </w:pPr>
    </w:p>
    <w:p>
      <w:pPr>
        <w:ind w:left="120" w:right="600"/>
        <w:spacing w:after="0" w:line="245" w:lineRule="auto"/>
        <w:rPr>
          <w:sz w:val="20"/>
          <w:szCs w:val="20"/>
          <w:color w:val="auto"/>
        </w:rPr>
      </w:pPr>
      <w:r>
        <w:rPr>
          <w:rFonts w:ascii="Arial" w:cs="Arial" w:eastAsia="Arial" w:hAnsi="Arial"/>
          <w:sz w:val="18"/>
          <w:szCs w:val="18"/>
          <w:i w:val="1"/>
          <w:iCs w:val="1"/>
          <w:color w:val="4CC5CF"/>
        </w:rPr>
        <w:t xml:space="preserve">Supporting Our Employees. </w:t>
      </w:r>
      <w:r>
        <w:rPr>
          <w:rFonts w:ascii="Arial" w:cs="Arial" w:eastAsia="Arial" w:hAnsi="Arial"/>
          <w:sz w:val="18"/>
          <w:szCs w:val="18"/>
          <w:color w:val="4C4C4C"/>
        </w:rPr>
        <w:t>The health and safety of our employees and their families is our top priority. Support for our employees</w:t>
      </w:r>
      <w:r>
        <w:rPr>
          <w:rFonts w:ascii="Arial" w:cs="Arial" w:eastAsia="Arial" w:hAnsi="Arial"/>
          <w:sz w:val="18"/>
          <w:szCs w:val="18"/>
          <w:i w:val="1"/>
          <w:iCs w:val="1"/>
          <w:color w:val="4CC5CF"/>
        </w:rPr>
        <w:t xml:space="preserve"> </w:t>
      </w:r>
      <w:r>
        <w:rPr>
          <w:rFonts w:ascii="Arial" w:cs="Arial" w:eastAsia="Arial" w:hAnsi="Arial"/>
          <w:sz w:val="18"/>
          <w:szCs w:val="18"/>
          <w:color w:val="4C4C4C"/>
        </w:rPr>
        <w:t>includes:</w:t>
      </w:r>
    </w:p>
    <w:p>
      <w:pPr>
        <w:ind w:left="340" w:right="680" w:hanging="224"/>
        <w:spacing w:after="0" w:line="234" w:lineRule="auto"/>
        <w:tabs>
          <w:tab w:leader="none" w:pos="340" w:val="left"/>
        </w:tabs>
        <w:numPr>
          <w:ilvl w:val="0"/>
          <w:numId w:val="67"/>
        </w:numPr>
        <w:rPr>
          <w:rFonts w:ascii="Arial" w:cs="Arial" w:eastAsia="Arial" w:hAnsi="Arial"/>
          <w:sz w:val="18"/>
          <w:szCs w:val="18"/>
          <w:color w:val="4C4C4C"/>
        </w:rPr>
      </w:pPr>
      <w:r>
        <w:rPr>
          <w:rFonts w:ascii="Arial" w:cs="Arial" w:eastAsia="Arial" w:hAnsi="Arial"/>
          <w:sz w:val="18"/>
          <w:szCs w:val="18"/>
          <w:color w:val="4C4C4C"/>
        </w:rPr>
        <w:t>Transitioning our employees to a remote-work environment in March of 2020 to ensure their health and safety, and providing an allowance to non-officers for the purchase of home office supplies and equipment.</w:t>
      </w:r>
    </w:p>
    <w:p>
      <w:pPr>
        <w:spacing w:after="0" w:line="1" w:lineRule="exact"/>
        <w:rPr>
          <w:rFonts w:ascii="Arial" w:cs="Arial" w:eastAsia="Arial" w:hAnsi="Arial"/>
          <w:sz w:val="18"/>
          <w:szCs w:val="18"/>
          <w:color w:val="4C4C4C"/>
        </w:rPr>
      </w:pPr>
    </w:p>
    <w:p>
      <w:pPr>
        <w:ind w:left="340" w:right="260" w:hanging="224"/>
        <w:spacing w:after="0" w:line="234" w:lineRule="auto"/>
        <w:tabs>
          <w:tab w:leader="none" w:pos="340" w:val="left"/>
        </w:tabs>
        <w:numPr>
          <w:ilvl w:val="0"/>
          <w:numId w:val="67"/>
        </w:numPr>
        <w:rPr>
          <w:rFonts w:ascii="Arial" w:cs="Arial" w:eastAsia="Arial" w:hAnsi="Arial"/>
          <w:sz w:val="18"/>
          <w:szCs w:val="18"/>
          <w:color w:val="4C4C4C"/>
        </w:rPr>
      </w:pPr>
      <w:r>
        <w:rPr>
          <w:rFonts w:ascii="Arial" w:cs="Arial" w:eastAsia="Arial" w:hAnsi="Arial"/>
          <w:sz w:val="18"/>
          <w:szCs w:val="18"/>
          <w:color w:val="4C4C4C"/>
        </w:rPr>
        <w:t>Allowing for flexible work schedules to help employees manage personal responsibilities and, for 2020, providing extra vacation days and increasing the maximum number of vacation days that could be carried over to 2021.</w:t>
      </w:r>
    </w:p>
    <w:p>
      <w:pPr>
        <w:spacing w:after="0" w:line="1" w:lineRule="exact"/>
        <w:rPr>
          <w:rFonts w:ascii="Arial" w:cs="Arial" w:eastAsia="Arial" w:hAnsi="Arial"/>
          <w:sz w:val="18"/>
          <w:szCs w:val="18"/>
          <w:color w:val="4C4C4C"/>
        </w:rPr>
      </w:pPr>
    </w:p>
    <w:p>
      <w:pPr>
        <w:ind w:left="340" w:right="80" w:hanging="224"/>
        <w:spacing w:after="0" w:line="246" w:lineRule="auto"/>
        <w:tabs>
          <w:tab w:leader="none" w:pos="340" w:val="left"/>
        </w:tabs>
        <w:numPr>
          <w:ilvl w:val="0"/>
          <w:numId w:val="67"/>
        </w:numPr>
        <w:rPr>
          <w:rFonts w:ascii="Arial" w:cs="Arial" w:eastAsia="Arial" w:hAnsi="Arial"/>
          <w:sz w:val="18"/>
          <w:szCs w:val="18"/>
          <w:color w:val="4C4C4C"/>
        </w:rPr>
      </w:pPr>
      <w:r>
        <w:rPr>
          <w:rFonts w:ascii="Arial" w:cs="Arial" w:eastAsia="Arial" w:hAnsi="Arial"/>
          <w:sz w:val="18"/>
          <w:szCs w:val="18"/>
          <w:color w:val="4C4C4C"/>
        </w:rPr>
        <w:t>Enhancing our communications with employees through regular podcasts from our CEO, biweekly companywide calls with members of leadership, and ongoing communications on the company’s response to the COVID-19 pandemic.</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5</w:t>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Proxy Summary</w:t>
      </w:r>
      <w:r>
        <w:rPr>
          <w:sz w:val="20"/>
          <w:szCs w:val="20"/>
          <w:color w:val="auto"/>
        </w:rPr>
        <w:tab/>
      </w:r>
      <w:r>
        <w:rPr>
          <w:rFonts w:ascii="Arial" w:cs="Arial" w:eastAsia="Arial" w:hAnsi="Arial"/>
          <w:sz w:val="12"/>
          <w:szCs w:val="12"/>
          <w:b w:val="1"/>
          <w:bCs w:val="1"/>
          <w:color w:val="00ADBB"/>
        </w:rPr>
        <w:t>Brighthouse Financial, Inc.</w:t>
      </w:r>
    </w:p>
    <w:p>
      <w:pPr>
        <w:spacing w:after="0" w:line="155" w:lineRule="exact"/>
        <w:rPr>
          <w:sz w:val="20"/>
          <w:szCs w:val="20"/>
          <w:color w:val="auto"/>
        </w:rPr>
      </w:pPr>
    </w:p>
    <w:p>
      <w:pPr>
        <w:ind w:left="340" w:right="520" w:hanging="224"/>
        <w:spacing w:after="0" w:line="234" w:lineRule="auto"/>
        <w:tabs>
          <w:tab w:leader="none" w:pos="340" w:val="left"/>
        </w:tabs>
        <w:numPr>
          <w:ilvl w:val="0"/>
          <w:numId w:val="68"/>
        </w:numPr>
        <w:rPr>
          <w:rFonts w:ascii="Arial" w:cs="Arial" w:eastAsia="Arial" w:hAnsi="Arial"/>
          <w:sz w:val="18"/>
          <w:szCs w:val="18"/>
          <w:color w:val="4C4C4C"/>
        </w:rPr>
      </w:pPr>
      <w:r>
        <w:rPr>
          <w:rFonts w:ascii="Arial" w:cs="Arial" w:eastAsia="Arial" w:hAnsi="Arial"/>
          <w:sz w:val="18"/>
          <w:szCs w:val="18"/>
          <w:color w:val="4C4C4C"/>
        </w:rPr>
        <w:t>Not reducing our workforce or our employees’ salaries as a result of the pandemic and continuing our regular match for employee 401(k) contributions.</w:t>
      </w:r>
    </w:p>
    <w:p>
      <w:pPr>
        <w:spacing w:after="0" w:line="1" w:lineRule="exact"/>
        <w:rPr>
          <w:rFonts w:ascii="Arial" w:cs="Arial" w:eastAsia="Arial" w:hAnsi="Arial"/>
          <w:sz w:val="18"/>
          <w:szCs w:val="18"/>
          <w:color w:val="4C4C4C"/>
        </w:rPr>
      </w:pPr>
    </w:p>
    <w:p>
      <w:pPr>
        <w:ind w:left="340" w:right="340" w:hanging="224"/>
        <w:spacing w:after="0" w:line="246" w:lineRule="auto"/>
        <w:tabs>
          <w:tab w:leader="none" w:pos="340" w:val="left"/>
        </w:tabs>
        <w:numPr>
          <w:ilvl w:val="0"/>
          <w:numId w:val="68"/>
        </w:numPr>
        <w:rPr>
          <w:rFonts w:ascii="Arial" w:cs="Arial" w:eastAsia="Arial" w:hAnsi="Arial"/>
          <w:sz w:val="18"/>
          <w:szCs w:val="18"/>
          <w:color w:val="4C4C4C"/>
        </w:rPr>
      </w:pPr>
      <w:r>
        <w:rPr>
          <w:rFonts w:ascii="Arial" w:cs="Arial" w:eastAsia="Arial" w:hAnsi="Arial"/>
          <w:sz w:val="18"/>
          <w:szCs w:val="18"/>
          <w:color w:val="4C4C4C"/>
        </w:rPr>
        <w:t>Providing employees with mental health support, including company-sponsored wellness programs, and other resources to manage through the pandemic.</w:t>
      </w:r>
    </w:p>
    <w:p>
      <w:pPr>
        <w:spacing w:after="0" w:line="67"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4C4C4C"/>
        </w:rPr>
        <w:t>For information about the impact of the COVID-19 pandemic on our executive compensation program, see “</w:t>
      </w:r>
      <w:r>
        <w:rPr>
          <w:rFonts w:ascii="Arial" w:cs="Arial" w:eastAsia="Arial" w:hAnsi="Arial"/>
          <w:sz w:val="18"/>
          <w:szCs w:val="18"/>
          <w:b w:val="1"/>
          <w:bCs w:val="1"/>
          <w:color w:val="00ADBB"/>
        </w:rPr>
        <w:t>Compensation Discussion</w:t>
      </w:r>
      <w:r>
        <w:rPr>
          <w:rFonts w:ascii="Arial" w:cs="Arial" w:eastAsia="Arial" w:hAnsi="Arial"/>
          <w:sz w:val="18"/>
          <w:szCs w:val="18"/>
          <w:color w:val="4C4C4C"/>
        </w:rPr>
        <w:t xml:space="preserve"> </w:t>
      </w:r>
      <w:r>
        <w:rPr>
          <w:rFonts w:ascii="Arial" w:cs="Arial" w:eastAsia="Arial" w:hAnsi="Arial"/>
          <w:sz w:val="18"/>
          <w:szCs w:val="18"/>
          <w:b w:val="1"/>
          <w:bCs w:val="1"/>
          <w:color w:val="00ADBB"/>
        </w:rPr>
        <w:t>and Analysis – Section 1 – Executive Summary – Responding to the COVID-19 Pandemic</w:t>
      </w:r>
      <w:r>
        <w:rPr>
          <w:rFonts w:ascii="Arial" w:cs="Arial" w:eastAsia="Arial" w:hAnsi="Arial"/>
          <w:sz w:val="18"/>
          <w:szCs w:val="18"/>
          <w:color w:val="4C4C4C"/>
        </w:rPr>
        <w:t>.”</w:t>
      </w:r>
    </w:p>
    <w:p>
      <w:pPr>
        <w:spacing w:after="0" w:line="50"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i w:val="1"/>
          <w:iCs w:val="1"/>
          <w:color w:val="4CC5CF"/>
        </w:rPr>
        <w:t xml:space="preserve">Supporting Our Customers. </w:t>
      </w:r>
      <w:r>
        <w:rPr>
          <w:rFonts w:ascii="Arial" w:cs="Arial" w:eastAsia="Arial" w:hAnsi="Arial"/>
          <w:sz w:val="18"/>
          <w:szCs w:val="18"/>
          <w:color w:val="4C4C4C"/>
        </w:rPr>
        <w:t>We remain focused on serving our customers, some of whom have experienced significant difficulties and</w:t>
      </w:r>
      <w:r>
        <w:rPr>
          <w:rFonts w:ascii="Arial" w:cs="Arial" w:eastAsia="Arial" w:hAnsi="Arial"/>
          <w:sz w:val="18"/>
          <w:szCs w:val="18"/>
          <w:i w:val="1"/>
          <w:iCs w:val="1"/>
          <w:color w:val="4CC5CF"/>
        </w:rPr>
        <w:t xml:space="preserve"> </w:t>
      </w:r>
      <w:r>
        <w:rPr>
          <w:rFonts w:ascii="Arial" w:cs="Arial" w:eastAsia="Arial" w:hAnsi="Arial"/>
          <w:sz w:val="18"/>
          <w:szCs w:val="18"/>
          <w:color w:val="4C4C4C"/>
        </w:rPr>
        <w:t>challenges. We have worked with these customers to provide financial accommodations to help them through this time. We also enhanced communications with financial professionals and customers about how we were managing through the pandemic.</w:t>
      </w:r>
    </w:p>
    <w:p>
      <w:pPr>
        <w:spacing w:after="0" w:line="69" w:lineRule="exact"/>
        <w:rPr>
          <w:sz w:val="20"/>
          <w:szCs w:val="20"/>
          <w:color w:val="auto"/>
        </w:rPr>
      </w:pPr>
    </w:p>
    <w:p>
      <w:pPr>
        <w:ind w:left="120" w:right="240"/>
        <w:spacing w:after="0" w:line="245" w:lineRule="auto"/>
        <w:rPr>
          <w:sz w:val="20"/>
          <w:szCs w:val="20"/>
          <w:color w:val="auto"/>
        </w:rPr>
      </w:pPr>
      <w:r>
        <w:rPr>
          <w:rFonts w:ascii="Arial" w:cs="Arial" w:eastAsia="Arial" w:hAnsi="Arial"/>
          <w:sz w:val="18"/>
          <w:szCs w:val="18"/>
          <w:i w:val="1"/>
          <w:iCs w:val="1"/>
          <w:color w:val="4CC5CF"/>
        </w:rPr>
        <w:t xml:space="preserve">Supporting Our Communities. </w:t>
      </w:r>
      <w:r>
        <w:rPr>
          <w:rFonts w:ascii="Arial" w:cs="Arial" w:eastAsia="Arial" w:hAnsi="Arial"/>
          <w:sz w:val="18"/>
          <w:szCs w:val="18"/>
          <w:color w:val="4C4C4C"/>
        </w:rPr>
        <w:t>As part of our continued support of our communities, we are providing relief to help address urgent needs</w:t>
      </w:r>
      <w:r>
        <w:rPr>
          <w:rFonts w:ascii="Arial" w:cs="Arial" w:eastAsia="Arial" w:hAnsi="Arial"/>
          <w:sz w:val="18"/>
          <w:szCs w:val="18"/>
          <w:i w:val="1"/>
          <w:iCs w:val="1"/>
          <w:color w:val="4CC5CF"/>
        </w:rPr>
        <w:t xml:space="preserve"> </w:t>
      </w:r>
      <w:r>
        <w:rPr>
          <w:rFonts w:ascii="Arial" w:cs="Arial" w:eastAsia="Arial" w:hAnsi="Arial"/>
          <w:sz w:val="18"/>
          <w:szCs w:val="18"/>
          <w:color w:val="4C4C4C"/>
        </w:rPr>
        <w:t>during the pandemic. This included corporate and Brighthouse Foundation contributions in 2020 of more than $700,000 to local food banks and other organizations to help those in need. We also provided our employees with virtual volunteering opportunities to assist impacted communities.</w:t>
      </w:r>
    </w:p>
    <w:p>
      <w:pPr>
        <w:spacing w:after="0" w:line="73"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i w:val="1"/>
          <w:iCs w:val="1"/>
          <w:color w:val="4CC5CF"/>
        </w:rPr>
        <w:t xml:space="preserve">Impact on Our Executive Compensation Program. </w:t>
      </w:r>
      <w:r>
        <w:rPr>
          <w:rFonts w:ascii="Arial" w:cs="Arial" w:eastAsia="Arial" w:hAnsi="Arial"/>
          <w:sz w:val="18"/>
          <w:szCs w:val="18"/>
          <w:color w:val="4C4C4C"/>
        </w:rPr>
        <w:t>Despite the significant challenges presented by the COVID-19 pandemic, we shifted our</w:t>
      </w:r>
      <w:r>
        <w:rPr>
          <w:rFonts w:ascii="Arial" w:cs="Arial" w:eastAsia="Arial" w:hAnsi="Arial"/>
          <w:sz w:val="18"/>
          <w:szCs w:val="18"/>
          <w:i w:val="1"/>
          <w:iCs w:val="1"/>
          <w:color w:val="4CC5CF"/>
        </w:rPr>
        <w:t xml:space="preserve"> </w:t>
      </w:r>
      <w:r>
        <w:rPr>
          <w:rFonts w:ascii="Arial" w:cs="Arial" w:eastAsia="Arial" w:hAnsi="Arial"/>
          <w:sz w:val="18"/>
          <w:szCs w:val="18"/>
          <w:color w:val="4C4C4C"/>
        </w:rPr>
        <w:t>operations to a remote-work environment with a high level of continuity and delivered strong results. As a result, the Compensation and Human Capital Committee did not make any changes to our executive compensation program in direct response to the pandemic.</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Our Board of Directors: Composition, Qualifications, and Diversity</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4C4C4C"/>
        </w:rPr>
        <w:t>The fundamental duty of our Board is to oversee the management of Brighthouse for the benefit of our stockholders. It is essential that the Board be composed of directors (“</w:t>
      </w:r>
      <w:r>
        <w:rPr>
          <w:rFonts w:ascii="Arial" w:cs="Arial" w:eastAsia="Arial" w:hAnsi="Arial"/>
          <w:sz w:val="18"/>
          <w:szCs w:val="18"/>
          <w:b w:val="1"/>
          <w:bCs w:val="1"/>
          <w:color w:val="00ADBB"/>
        </w:rPr>
        <w:t>Directors</w:t>
      </w:r>
      <w:r>
        <w:rPr>
          <w:rFonts w:ascii="Arial" w:cs="Arial" w:eastAsia="Arial" w:hAnsi="Arial"/>
          <w:sz w:val="18"/>
          <w:szCs w:val="18"/>
          <w:color w:val="4C4C4C"/>
        </w:rPr>
        <w:t>”) who are qualified to oversee the development and execution of our business strategy by management. The Board seeks Directors who possess a broad range of skills, experience, and perspectives and who contribute to the gender and racial or ethnic diversity of our Board. The composition of our Board, as reflected in the table and chart below, demonstrates our commitment to these principles.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Board Composition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163195</wp:posOffset>
            </wp:positionV>
            <wp:extent cx="8890" cy="522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163195</wp:posOffset>
            </wp:positionV>
            <wp:extent cx="8890" cy="52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163195</wp:posOffset>
            </wp:positionV>
            <wp:extent cx="8255" cy="522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5226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163195</wp:posOffset>
            </wp:positionV>
            <wp:extent cx="8890" cy="522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163195</wp:posOffset>
            </wp:positionV>
            <wp:extent cx="8255" cy="522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52260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163195</wp:posOffset>
            </wp:positionV>
            <wp:extent cx="8255" cy="522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52260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473"/>
        </w:trPr>
        <w:tc>
          <w:tcPr>
            <w:tcW w:w="2140" w:type="dxa"/>
            <w:vAlign w:val="bottom"/>
            <w:tcBorders>
              <w:right w:val="single" w:sz="8" w:color="00ADBB"/>
            </w:tcBorders>
            <w:shd w:val="clear" w:color="auto" w:fill="00ADBB"/>
          </w:tcPr>
          <w:p>
            <w:pPr>
              <w:spacing w:after="0"/>
              <w:rPr>
                <w:sz w:val="24"/>
                <w:szCs w:val="24"/>
                <w:color w:val="auto"/>
              </w:rPr>
            </w:pPr>
          </w:p>
        </w:tc>
        <w:tc>
          <w:tcPr>
            <w:tcW w:w="380" w:type="dxa"/>
            <w:vAlign w:val="bottom"/>
            <w:tcBorders>
              <w:right w:val="single" w:sz="8" w:color="00ADBB"/>
            </w:tcBorders>
            <w:shd w:val="clear" w:color="auto" w:fill="00ADBB"/>
          </w:tcPr>
          <w:p>
            <w:pPr>
              <w:spacing w:after="0"/>
              <w:rPr>
                <w:sz w:val="24"/>
                <w:szCs w:val="24"/>
                <w:color w:val="auto"/>
              </w:rPr>
            </w:pPr>
          </w:p>
        </w:tc>
        <w:tc>
          <w:tcPr>
            <w:tcW w:w="1040" w:type="dxa"/>
            <w:vAlign w:val="bottom"/>
            <w:tcBorders>
              <w:right w:val="single" w:sz="8" w:color="00ADBB"/>
            </w:tcBorders>
            <w:shd w:val="clear" w:color="auto" w:fill="00ADBB"/>
          </w:tcPr>
          <w:p>
            <w:pPr>
              <w:ind w:left="100"/>
              <w:spacing w:after="0"/>
              <w:rPr>
                <w:sz w:val="20"/>
                <w:szCs w:val="20"/>
                <w:color w:val="auto"/>
              </w:rPr>
            </w:pPr>
            <w:r>
              <w:rPr>
                <w:rFonts w:ascii="Arial" w:cs="Arial" w:eastAsia="Arial" w:hAnsi="Arial"/>
                <w:sz w:val="14"/>
                <w:szCs w:val="14"/>
                <w:b w:val="1"/>
                <w:bCs w:val="1"/>
                <w:color w:val="FFFFFF"/>
              </w:rPr>
              <w:t>Demographic</w:t>
            </w:r>
          </w:p>
        </w:tc>
        <w:tc>
          <w:tcPr>
            <w:tcW w:w="2280" w:type="dxa"/>
            <w:vAlign w:val="bottom"/>
            <w:tcBorders>
              <w:right w:val="single" w:sz="8" w:color="00ADBB"/>
            </w:tcBorders>
            <w:gridSpan w:val="2"/>
            <w:shd w:val="clear" w:color="auto" w:fill="00ADBB"/>
          </w:tcPr>
          <w:p>
            <w:pPr>
              <w:ind w:left="100"/>
              <w:spacing w:after="0"/>
              <w:rPr>
                <w:sz w:val="20"/>
                <w:szCs w:val="20"/>
                <w:color w:val="auto"/>
              </w:rPr>
            </w:pPr>
            <w:r>
              <w:rPr>
                <w:rFonts w:ascii="Arial" w:cs="Arial" w:eastAsia="Arial" w:hAnsi="Arial"/>
                <w:sz w:val="14"/>
                <w:szCs w:val="14"/>
                <w:b w:val="1"/>
                <w:bCs w:val="1"/>
                <w:color w:val="FFFFFF"/>
              </w:rPr>
              <w:t>Selected Skills and</w:t>
            </w:r>
          </w:p>
        </w:tc>
        <w:tc>
          <w:tcPr>
            <w:tcW w:w="226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rPr>
              <w:t>Principal Professional</w:t>
            </w:r>
          </w:p>
        </w:tc>
        <w:tc>
          <w:tcPr>
            <w:tcW w:w="1080" w:type="dxa"/>
            <w:vAlign w:val="bottom"/>
            <w:tcBorders>
              <w:right w:val="single" w:sz="8" w:color="00ADBB"/>
            </w:tcBorders>
            <w:shd w:val="clear" w:color="auto" w:fill="00ADBB"/>
          </w:tcPr>
          <w:p>
            <w:pPr>
              <w:spacing w:after="0"/>
              <w:rPr>
                <w:sz w:val="24"/>
                <w:szCs w:val="24"/>
                <w:color w:val="auto"/>
              </w:rPr>
            </w:pPr>
          </w:p>
        </w:tc>
        <w:tc>
          <w:tcPr>
            <w:tcW w:w="180" w:type="dxa"/>
            <w:vAlign w:val="bottom"/>
            <w:shd w:val="clear" w:color="auto" w:fill="00ADBB"/>
          </w:tcPr>
          <w:p>
            <w:pPr>
              <w:spacing w:after="0"/>
              <w:rPr>
                <w:sz w:val="24"/>
                <w:szCs w:val="24"/>
                <w:color w:val="auto"/>
              </w:rPr>
            </w:pPr>
          </w:p>
        </w:tc>
        <w:tc>
          <w:tcPr>
            <w:tcW w:w="1660" w:type="dxa"/>
            <w:vAlign w:val="bottom"/>
            <w:shd w:val="clear" w:color="auto" w:fill="00ADBB"/>
          </w:tcPr>
          <w:p>
            <w:pPr>
              <w:ind w:left="400"/>
              <w:spacing w:after="0"/>
              <w:rPr>
                <w:sz w:val="20"/>
                <w:szCs w:val="20"/>
                <w:color w:val="auto"/>
              </w:rPr>
            </w:pPr>
            <w:r>
              <w:rPr>
                <w:rFonts w:ascii="Arial" w:cs="Arial" w:eastAsia="Arial" w:hAnsi="Arial"/>
                <w:sz w:val="14"/>
                <w:szCs w:val="14"/>
                <w:b w:val="1"/>
                <w:bCs w:val="1"/>
                <w:color w:val="FFFFFF"/>
              </w:rPr>
              <w:t>Committee</w:t>
            </w:r>
          </w:p>
        </w:tc>
      </w:tr>
      <w:tr>
        <w:trPr>
          <w:trHeight w:val="190"/>
        </w:trPr>
        <w:tc>
          <w:tcPr>
            <w:tcW w:w="2140" w:type="dxa"/>
            <w:vAlign w:val="bottom"/>
            <w:tcBorders>
              <w:right w:val="single" w:sz="8" w:color="00ADBB"/>
            </w:tcBorders>
            <w:shd w:val="clear" w:color="auto" w:fill="00ADBB"/>
          </w:tcPr>
          <w:p>
            <w:pPr>
              <w:ind w:left="100"/>
              <w:spacing w:after="0"/>
              <w:rPr>
                <w:sz w:val="20"/>
                <w:szCs w:val="20"/>
                <w:color w:val="auto"/>
              </w:rPr>
            </w:pPr>
            <w:r>
              <w:rPr>
                <w:rFonts w:ascii="Arial" w:cs="Arial" w:eastAsia="Arial" w:hAnsi="Arial"/>
                <w:sz w:val="14"/>
                <w:szCs w:val="14"/>
                <w:b w:val="1"/>
                <w:bCs w:val="1"/>
                <w:color w:val="FFFFFF"/>
              </w:rPr>
              <w:t>Name</w:t>
            </w:r>
          </w:p>
        </w:tc>
        <w:tc>
          <w:tcPr>
            <w:tcW w:w="38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w w:val="98"/>
              </w:rPr>
              <w:t>Age</w:t>
            </w:r>
          </w:p>
        </w:tc>
        <w:tc>
          <w:tcPr>
            <w:tcW w:w="1040" w:type="dxa"/>
            <w:vAlign w:val="bottom"/>
            <w:tcBorders>
              <w:right w:val="single" w:sz="8" w:color="00ADBB"/>
            </w:tcBorders>
            <w:shd w:val="clear" w:color="auto" w:fill="00ADBB"/>
          </w:tcPr>
          <w:p>
            <w:pPr>
              <w:ind w:left="160"/>
              <w:spacing w:after="0"/>
              <w:rPr>
                <w:sz w:val="20"/>
                <w:szCs w:val="20"/>
                <w:color w:val="auto"/>
              </w:rPr>
            </w:pPr>
            <w:r>
              <w:rPr>
                <w:rFonts w:ascii="Arial" w:cs="Arial" w:eastAsia="Arial" w:hAnsi="Arial"/>
                <w:sz w:val="14"/>
                <w:szCs w:val="14"/>
                <w:b w:val="1"/>
                <w:bCs w:val="1"/>
                <w:color w:val="FFFFFF"/>
              </w:rPr>
              <w:t>Information</w:t>
            </w:r>
          </w:p>
        </w:tc>
        <w:tc>
          <w:tcPr>
            <w:tcW w:w="2280" w:type="dxa"/>
            <w:vAlign w:val="bottom"/>
            <w:tcBorders>
              <w:right w:val="single" w:sz="8" w:color="00ADBB"/>
            </w:tcBorders>
            <w:gridSpan w:val="2"/>
            <w:shd w:val="clear" w:color="auto" w:fill="00ADBB"/>
          </w:tcPr>
          <w:p>
            <w:pPr>
              <w:ind w:left="100"/>
              <w:spacing w:after="0"/>
              <w:rPr>
                <w:sz w:val="20"/>
                <w:szCs w:val="20"/>
                <w:color w:val="auto"/>
              </w:rPr>
            </w:pPr>
            <w:r>
              <w:rPr>
                <w:rFonts w:ascii="Arial" w:cs="Arial" w:eastAsia="Arial" w:hAnsi="Arial"/>
                <w:sz w:val="14"/>
                <w:szCs w:val="14"/>
                <w:b w:val="1"/>
                <w:bCs w:val="1"/>
                <w:color w:val="FFFFFF"/>
              </w:rPr>
              <w:t>Qualifications</w:t>
            </w:r>
          </w:p>
        </w:tc>
        <w:tc>
          <w:tcPr>
            <w:tcW w:w="226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rPr>
              <w:t>Experience</w:t>
            </w:r>
          </w:p>
        </w:tc>
        <w:tc>
          <w:tcPr>
            <w:tcW w:w="1080" w:type="dxa"/>
            <w:vAlign w:val="bottom"/>
            <w:tcBorders>
              <w:right w:val="single" w:sz="8" w:color="00ADBB"/>
            </w:tcBorders>
            <w:shd w:val="clear" w:color="auto" w:fill="00ADBB"/>
          </w:tcPr>
          <w:p>
            <w:pPr>
              <w:jc w:val="right"/>
              <w:ind w:right="48"/>
              <w:spacing w:after="0"/>
              <w:rPr>
                <w:sz w:val="20"/>
                <w:szCs w:val="20"/>
                <w:color w:val="auto"/>
              </w:rPr>
            </w:pPr>
            <w:r>
              <w:rPr>
                <w:rFonts w:ascii="Arial" w:cs="Arial" w:eastAsia="Arial" w:hAnsi="Arial"/>
                <w:sz w:val="14"/>
                <w:szCs w:val="14"/>
                <w:b w:val="1"/>
                <w:bCs w:val="1"/>
                <w:color w:val="FFFFFF"/>
              </w:rPr>
              <w:t>Independent</w:t>
            </w:r>
          </w:p>
        </w:tc>
        <w:tc>
          <w:tcPr>
            <w:tcW w:w="180" w:type="dxa"/>
            <w:vAlign w:val="bottom"/>
            <w:shd w:val="clear" w:color="auto" w:fill="00ADBB"/>
          </w:tcPr>
          <w:p>
            <w:pPr>
              <w:spacing w:after="0"/>
              <w:rPr>
                <w:sz w:val="16"/>
                <w:szCs w:val="16"/>
                <w:color w:val="auto"/>
              </w:rPr>
            </w:pPr>
          </w:p>
        </w:tc>
        <w:tc>
          <w:tcPr>
            <w:tcW w:w="1660" w:type="dxa"/>
            <w:vAlign w:val="bottom"/>
            <w:shd w:val="clear" w:color="auto" w:fill="00ADBB"/>
          </w:tcPr>
          <w:p>
            <w:pPr>
              <w:ind w:left="320"/>
              <w:spacing w:after="0"/>
              <w:rPr>
                <w:sz w:val="20"/>
                <w:szCs w:val="20"/>
                <w:color w:val="auto"/>
              </w:rPr>
            </w:pPr>
            <w:r>
              <w:rPr>
                <w:rFonts w:ascii="Arial" w:cs="Arial" w:eastAsia="Arial" w:hAnsi="Arial"/>
                <w:sz w:val="14"/>
                <w:szCs w:val="14"/>
                <w:b w:val="1"/>
                <w:bCs w:val="1"/>
                <w:color w:val="FFFFFF"/>
              </w:rPr>
              <w:t>Memberships</w:t>
            </w:r>
          </w:p>
        </w:tc>
      </w:tr>
      <w:tr>
        <w:trPr>
          <w:trHeight w:val="160"/>
        </w:trPr>
        <w:tc>
          <w:tcPr>
            <w:tcW w:w="2140" w:type="dxa"/>
            <w:vAlign w:val="bottom"/>
            <w:tcBorders>
              <w:right w:val="single" w:sz="8" w:color="00ADBB"/>
            </w:tcBorders>
            <w:shd w:val="clear" w:color="auto" w:fill="00ADBB"/>
          </w:tcPr>
          <w:p>
            <w:pPr>
              <w:spacing w:after="0"/>
              <w:rPr>
                <w:sz w:val="13"/>
                <w:szCs w:val="13"/>
                <w:color w:val="auto"/>
              </w:rPr>
            </w:pPr>
          </w:p>
        </w:tc>
        <w:tc>
          <w:tcPr>
            <w:tcW w:w="380" w:type="dxa"/>
            <w:vAlign w:val="bottom"/>
            <w:tcBorders>
              <w:right w:val="single" w:sz="8" w:color="00ADBB"/>
            </w:tcBorders>
            <w:shd w:val="clear" w:color="auto" w:fill="00ADBB"/>
          </w:tcPr>
          <w:p>
            <w:pPr>
              <w:spacing w:after="0"/>
              <w:rPr>
                <w:sz w:val="13"/>
                <w:szCs w:val="13"/>
                <w:color w:val="auto"/>
              </w:rPr>
            </w:pPr>
          </w:p>
        </w:tc>
        <w:tc>
          <w:tcPr>
            <w:tcW w:w="1040" w:type="dxa"/>
            <w:vAlign w:val="bottom"/>
            <w:tcBorders>
              <w:right w:val="single" w:sz="8" w:color="00ADBB"/>
            </w:tcBorders>
            <w:shd w:val="clear" w:color="auto" w:fill="00ADBB"/>
          </w:tcPr>
          <w:p>
            <w:pPr>
              <w:spacing w:after="0"/>
              <w:rPr>
                <w:sz w:val="13"/>
                <w:szCs w:val="13"/>
                <w:color w:val="auto"/>
              </w:rPr>
            </w:pPr>
          </w:p>
        </w:tc>
        <w:tc>
          <w:tcPr>
            <w:tcW w:w="180" w:type="dxa"/>
            <w:vAlign w:val="bottom"/>
            <w:shd w:val="clear" w:color="auto" w:fill="00ADBB"/>
          </w:tcPr>
          <w:p>
            <w:pPr>
              <w:spacing w:after="0"/>
              <w:rPr>
                <w:sz w:val="13"/>
                <w:szCs w:val="13"/>
                <w:color w:val="auto"/>
              </w:rPr>
            </w:pPr>
          </w:p>
        </w:tc>
        <w:tc>
          <w:tcPr>
            <w:tcW w:w="2100" w:type="dxa"/>
            <w:vAlign w:val="bottom"/>
            <w:tcBorders>
              <w:right w:val="single" w:sz="8" w:color="00ADBB"/>
            </w:tcBorders>
            <w:shd w:val="clear" w:color="auto" w:fill="00ADBB"/>
          </w:tcPr>
          <w:p>
            <w:pPr>
              <w:spacing w:after="0"/>
              <w:rPr>
                <w:sz w:val="13"/>
                <w:szCs w:val="13"/>
                <w:color w:val="auto"/>
              </w:rPr>
            </w:pPr>
          </w:p>
        </w:tc>
        <w:tc>
          <w:tcPr>
            <w:tcW w:w="2260" w:type="dxa"/>
            <w:vAlign w:val="bottom"/>
            <w:tcBorders>
              <w:right w:val="single" w:sz="8" w:color="00ADBB"/>
            </w:tcBorders>
            <w:shd w:val="clear" w:color="auto" w:fill="00ADBB"/>
          </w:tcPr>
          <w:p>
            <w:pPr>
              <w:spacing w:after="0"/>
              <w:rPr>
                <w:sz w:val="13"/>
                <w:szCs w:val="13"/>
                <w:color w:val="auto"/>
              </w:rPr>
            </w:pPr>
          </w:p>
        </w:tc>
        <w:tc>
          <w:tcPr>
            <w:tcW w:w="1080" w:type="dxa"/>
            <w:vAlign w:val="bottom"/>
            <w:tcBorders>
              <w:right w:val="single" w:sz="8" w:color="00ADBB"/>
            </w:tcBorders>
            <w:shd w:val="clear" w:color="auto" w:fill="00ADBB"/>
          </w:tcPr>
          <w:p>
            <w:pPr>
              <w:spacing w:after="0"/>
              <w:rPr>
                <w:sz w:val="13"/>
                <w:szCs w:val="13"/>
                <w:color w:val="auto"/>
              </w:rPr>
            </w:pPr>
          </w:p>
        </w:tc>
        <w:tc>
          <w:tcPr>
            <w:tcW w:w="180" w:type="dxa"/>
            <w:vAlign w:val="bottom"/>
            <w:shd w:val="clear" w:color="auto" w:fill="00ADBB"/>
          </w:tcPr>
          <w:p>
            <w:pPr>
              <w:spacing w:after="0"/>
              <w:rPr>
                <w:sz w:val="13"/>
                <w:szCs w:val="13"/>
                <w:color w:val="auto"/>
              </w:rPr>
            </w:pPr>
          </w:p>
        </w:tc>
        <w:tc>
          <w:tcPr>
            <w:tcW w:w="1660" w:type="dxa"/>
            <w:vAlign w:val="bottom"/>
            <w:shd w:val="clear" w:color="auto" w:fill="00ADBB"/>
          </w:tcPr>
          <w:p>
            <w:pPr>
              <w:spacing w:after="0"/>
              <w:rPr>
                <w:sz w:val="13"/>
                <w:szCs w:val="13"/>
                <w:color w:val="auto"/>
              </w:rPr>
            </w:pPr>
          </w:p>
        </w:tc>
      </w:tr>
      <w:tr>
        <w:trPr>
          <w:trHeight w:val="207"/>
        </w:trPr>
        <w:tc>
          <w:tcPr>
            <w:tcW w:w="2140" w:type="dxa"/>
            <w:vAlign w:val="bottom"/>
            <w:tcBorders>
              <w:right w:val="single" w:sz="8" w:color="4C4C4C"/>
            </w:tcBorders>
          </w:tcPr>
          <w:p>
            <w:pPr>
              <w:ind w:left="100"/>
              <w:spacing w:after="0"/>
              <w:rPr>
                <w:sz w:val="20"/>
                <w:szCs w:val="20"/>
                <w:color w:val="auto"/>
              </w:rPr>
            </w:pPr>
            <w:r>
              <w:rPr>
                <w:rFonts w:ascii="Arial" w:cs="Arial" w:eastAsia="Arial" w:hAnsi="Arial"/>
                <w:sz w:val="14"/>
                <w:szCs w:val="14"/>
                <w:b w:val="1"/>
                <w:bCs w:val="1"/>
                <w:color w:val="4C4C4C"/>
              </w:rPr>
              <w:t>Irene Chang Britt</w:t>
            </w:r>
          </w:p>
        </w:tc>
        <w:tc>
          <w:tcPr>
            <w:tcW w:w="38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58</w:t>
            </w:r>
          </w:p>
        </w:tc>
        <w:tc>
          <w:tcPr>
            <w:tcW w:w="10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Female</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Brand and Marketing</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Senior Vice President, Campbell</w:t>
            </w:r>
          </w:p>
        </w:tc>
        <w:tc>
          <w:tcPr>
            <w:tcW w:w="1080" w:type="dxa"/>
            <w:vAlign w:val="bottom"/>
            <w:tcBorders>
              <w:right w:val="single" w:sz="8" w:color="4C4C4C"/>
            </w:tcBorders>
          </w:tcPr>
          <w:p>
            <w:pPr>
              <w:jc w:val="right"/>
              <w:ind w:right="48"/>
              <w:spacing w:after="0"/>
              <w:rPr>
                <w:sz w:val="20"/>
                <w:szCs w:val="20"/>
                <w:color w:val="auto"/>
              </w:rPr>
            </w:pPr>
            <w:r>
              <w:rPr>
                <w:rFonts w:ascii="Arial" w:cs="Arial" w:eastAsia="Arial" w:hAnsi="Arial"/>
                <w:sz w:val="14"/>
                <w:szCs w:val="14"/>
                <w:color w:val="4C4C4C"/>
              </w:rPr>
              <w:t>Yes</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1660" w:type="dxa"/>
            <w:vAlign w:val="bottom"/>
          </w:tcPr>
          <w:p>
            <w:pPr>
              <w:ind w:left="40"/>
              <w:spacing w:after="0"/>
              <w:rPr>
                <w:sz w:val="20"/>
                <w:szCs w:val="20"/>
                <w:color w:val="auto"/>
              </w:rPr>
            </w:pPr>
            <w:r>
              <w:rPr>
                <w:rFonts w:ascii="Arial" w:cs="Arial" w:eastAsia="Arial" w:hAnsi="Arial"/>
                <w:sz w:val="14"/>
                <w:szCs w:val="14"/>
                <w:color w:val="4C4C4C"/>
              </w:rPr>
              <w:t>Compensation and</w:t>
            </w:r>
          </w:p>
        </w:tc>
      </w:tr>
      <w:tr>
        <w:trPr>
          <w:trHeight w:val="162"/>
        </w:trPr>
        <w:tc>
          <w:tcPr>
            <w:tcW w:w="21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Director since 2017</w:t>
            </w: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Asian</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Corporate Governance</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Soup Company, and President,</w:t>
            </w:r>
          </w:p>
        </w:tc>
        <w:tc>
          <w:tcPr>
            <w:tcW w:w="108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4C4C4C"/>
              </w:rPr>
              <w:t>Human Capital</w:t>
            </w: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Public Company Board</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Pepperidge Farm Inc. (Retired)</w:t>
            </w:r>
          </w:p>
        </w:tc>
        <w:tc>
          <w:tcPr>
            <w:tcW w:w="108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1660" w:type="dxa"/>
            <w:vAlign w:val="bottom"/>
          </w:tcPr>
          <w:p>
            <w:pPr>
              <w:ind w:left="40"/>
              <w:spacing w:after="0"/>
              <w:rPr>
                <w:sz w:val="20"/>
                <w:szCs w:val="20"/>
                <w:color w:val="auto"/>
              </w:rPr>
            </w:pPr>
            <w:r>
              <w:rPr>
                <w:rFonts w:ascii="Arial" w:cs="Arial" w:eastAsia="Arial" w:hAnsi="Arial"/>
                <w:sz w:val="14"/>
                <w:szCs w:val="14"/>
                <w:color w:val="4C4C4C"/>
              </w:rPr>
              <w:t>Investment</w:t>
            </w: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Experience</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1660" w:type="dxa"/>
            <w:vAlign w:val="bottom"/>
          </w:tcPr>
          <w:p>
            <w:pPr>
              <w:ind w:left="40"/>
              <w:spacing w:after="0"/>
              <w:rPr>
                <w:sz w:val="20"/>
                <w:szCs w:val="20"/>
                <w:color w:val="auto"/>
              </w:rPr>
            </w:pPr>
            <w:r>
              <w:rPr>
                <w:rFonts w:ascii="Arial" w:cs="Arial" w:eastAsia="Arial" w:hAnsi="Arial"/>
                <w:sz w:val="14"/>
                <w:szCs w:val="14"/>
                <w:color w:val="4C4C4C"/>
              </w:rPr>
              <w:t>Nominating and</w:t>
            </w: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2280" w:type="dxa"/>
            <w:vAlign w:val="bottom"/>
            <w:tcBorders>
              <w:right w:val="single" w:sz="8" w:color="4C4C4C"/>
            </w:tcBorders>
            <w:gridSpan w:val="2"/>
          </w:tcPr>
          <w:p>
            <w:pPr>
              <w:ind w:left="100"/>
              <w:spacing w:after="0"/>
              <w:rPr>
                <w:sz w:val="20"/>
                <w:szCs w:val="20"/>
                <w:color w:val="auto"/>
              </w:rPr>
            </w:pPr>
            <w:r>
              <w:rPr>
                <w:rFonts w:ascii="Arial" w:cs="Arial" w:eastAsia="Arial" w:hAnsi="Arial"/>
                <w:sz w:val="14"/>
                <w:szCs w:val="14"/>
                <w:color w:val="4C4C4C"/>
              </w:rPr>
              <w:t>• Compensation and Human</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4C4C4C"/>
              </w:rPr>
              <w:t>Corporate Governance</w:t>
            </w:r>
          </w:p>
        </w:tc>
      </w:tr>
      <w:tr>
        <w:trPr>
          <w:trHeight w:val="171"/>
        </w:trPr>
        <w:tc>
          <w:tcPr>
            <w:tcW w:w="2140" w:type="dxa"/>
            <w:vAlign w:val="bottom"/>
            <w:tcBorders>
              <w:bottom w:val="single" w:sz="8" w:color="4C4C4C"/>
              <w:right w:val="single" w:sz="8" w:color="4C4C4C"/>
            </w:tcBorders>
          </w:tcPr>
          <w:p>
            <w:pPr>
              <w:spacing w:after="0"/>
              <w:rPr>
                <w:sz w:val="14"/>
                <w:szCs w:val="14"/>
                <w:color w:val="auto"/>
              </w:rPr>
            </w:pPr>
          </w:p>
        </w:tc>
        <w:tc>
          <w:tcPr>
            <w:tcW w:w="380" w:type="dxa"/>
            <w:vAlign w:val="bottom"/>
            <w:tcBorders>
              <w:bottom w:val="single" w:sz="8" w:color="4C4C4C"/>
              <w:right w:val="single" w:sz="8" w:color="4C4C4C"/>
            </w:tcBorders>
          </w:tcPr>
          <w:p>
            <w:pPr>
              <w:spacing w:after="0"/>
              <w:rPr>
                <w:sz w:val="14"/>
                <w:szCs w:val="14"/>
                <w:color w:val="auto"/>
              </w:rPr>
            </w:pPr>
          </w:p>
        </w:tc>
        <w:tc>
          <w:tcPr>
            <w:tcW w:w="104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spacing w:after="0"/>
              <w:rPr>
                <w:sz w:val="14"/>
                <w:szCs w:val="14"/>
                <w:color w:val="auto"/>
              </w:rPr>
            </w:pPr>
          </w:p>
        </w:tc>
        <w:tc>
          <w:tcPr>
            <w:tcW w:w="2100" w:type="dxa"/>
            <w:vAlign w:val="bottom"/>
            <w:tcBorders>
              <w:bottom w:val="single" w:sz="8" w:color="4C4C4C"/>
              <w:right w:val="single" w:sz="8" w:color="4C4C4C"/>
            </w:tcBorders>
          </w:tcPr>
          <w:p>
            <w:pPr>
              <w:ind w:left="60"/>
              <w:spacing w:after="0"/>
              <w:rPr>
                <w:sz w:val="20"/>
                <w:szCs w:val="20"/>
                <w:color w:val="auto"/>
              </w:rPr>
            </w:pPr>
            <w:r>
              <w:rPr>
                <w:rFonts w:ascii="Arial" w:cs="Arial" w:eastAsia="Arial" w:hAnsi="Arial"/>
                <w:sz w:val="14"/>
                <w:szCs w:val="14"/>
                <w:color w:val="4C4C4C"/>
              </w:rPr>
              <w:t>Capital</w:t>
            </w:r>
          </w:p>
        </w:tc>
        <w:tc>
          <w:tcPr>
            <w:tcW w:w="2260" w:type="dxa"/>
            <w:vAlign w:val="bottom"/>
            <w:tcBorders>
              <w:bottom w:val="single" w:sz="8" w:color="4C4C4C"/>
              <w:right w:val="single" w:sz="8" w:color="4C4C4C"/>
            </w:tcBorders>
          </w:tcPr>
          <w:p>
            <w:pPr>
              <w:spacing w:after="0"/>
              <w:rPr>
                <w:sz w:val="14"/>
                <w:szCs w:val="14"/>
                <w:color w:val="auto"/>
              </w:rPr>
            </w:pPr>
          </w:p>
        </w:tc>
        <w:tc>
          <w:tcPr>
            <w:tcW w:w="108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spacing w:after="0"/>
              <w:rPr>
                <w:sz w:val="14"/>
                <w:szCs w:val="14"/>
                <w:color w:val="auto"/>
              </w:rPr>
            </w:pPr>
          </w:p>
        </w:tc>
        <w:tc>
          <w:tcPr>
            <w:tcW w:w="166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4C4C4C"/>
              </w:rPr>
              <w:t>(Chair)</w:t>
            </w:r>
          </w:p>
        </w:tc>
      </w:tr>
      <w:tr>
        <w:trPr>
          <w:trHeight w:val="201"/>
        </w:trPr>
        <w:tc>
          <w:tcPr>
            <w:tcW w:w="21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b w:val="1"/>
                <w:bCs w:val="1"/>
                <w:color w:val="4C4C4C"/>
              </w:rPr>
              <w:t>Chuck Chaplin</w:t>
            </w:r>
          </w:p>
        </w:tc>
        <w:tc>
          <w:tcPr>
            <w:tcW w:w="38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64</w:t>
            </w:r>
          </w:p>
        </w:tc>
        <w:tc>
          <w:tcPr>
            <w:tcW w:w="10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Male</w:t>
            </w:r>
          </w:p>
        </w:tc>
        <w:tc>
          <w:tcPr>
            <w:tcW w:w="18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Leadership</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President, Chief Financial Officer</w:t>
            </w:r>
          </w:p>
        </w:tc>
        <w:tc>
          <w:tcPr>
            <w:tcW w:w="1080" w:type="dxa"/>
            <w:vAlign w:val="bottom"/>
            <w:tcBorders>
              <w:right w:val="single" w:sz="8" w:color="4C4C4C"/>
            </w:tcBorders>
            <w:shd w:val="clear" w:color="auto" w:fill="E5F6F8"/>
          </w:tcPr>
          <w:p>
            <w:pPr>
              <w:jc w:val="right"/>
              <w:ind w:right="48"/>
              <w:spacing w:after="0"/>
              <w:rPr>
                <w:sz w:val="20"/>
                <w:szCs w:val="20"/>
                <w:color w:val="auto"/>
              </w:rPr>
            </w:pPr>
            <w:r>
              <w:rPr>
                <w:rFonts w:ascii="Arial" w:cs="Arial" w:eastAsia="Arial" w:hAnsi="Arial"/>
                <w:sz w:val="14"/>
                <w:szCs w:val="14"/>
                <w:color w:val="4C4C4C"/>
              </w:rPr>
              <w:t>Yes</w:t>
            </w:r>
          </w:p>
        </w:tc>
        <w:tc>
          <w:tcPr>
            <w:tcW w:w="1840" w:type="dxa"/>
            <w:vAlign w:val="bottom"/>
            <w:gridSpan w:val="2"/>
            <w:shd w:val="clear" w:color="auto" w:fill="E5F6F8"/>
          </w:tcPr>
          <w:p>
            <w:pPr>
              <w:ind w:left="100"/>
              <w:spacing w:after="0"/>
              <w:rPr>
                <w:sz w:val="20"/>
                <w:szCs w:val="20"/>
                <w:color w:val="auto"/>
              </w:rPr>
            </w:pPr>
            <w:r>
              <w:rPr>
                <w:rFonts w:ascii="Arial" w:cs="Arial" w:eastAsia="Arial" w:hAnsi="Arial"/>
                <w:sz w:val="14"/>
                <w:szCs w:val="14"/>
                <w:color w:val="4C4C4C"/>
              </w:rPr>
              <w:t>• Audit</w:t>
            </w:r>
          </w:p>
        </w:tc>
      </w:tr>
      <w:tr>
        <w:trPr>
          <w:trHeight w:val="162"/>
        </w:trPr>
        <w:tc>
          <w:tcPr>
            <w:tcW w:w="21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Chairman of the Board Director</w:t>
            </w:r>
          </w:p>
        </w:tc>
        <w:tc>
          <w:tcPr>
            <w:tcW w:w="38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Black/</w:t>
            </w:r>
          </w:p>
        </w:tc>
        <w:tc>
          <w:tcPr>
            <w:tcW w:w="18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Financial Expertise</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and Chief Administrative Officer,</w:t>
            </w:r>
          </w:p>
        </w:tc>
        <w:tc>
          <w:tcPr>
            <w:tcW w:w="108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6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Executive</w:t>
            </w:r>
          </w:p>
        </w:tc>
      </w:tr>
      <w:tr>
        <w:trPr>
          <w:trHeight w:val="162"/>
        </w:trPr>
        <w:tc>
          <w:tcPr>
            <w:tcW w:w="21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since 2017</w:t>
            </w:r>
          </w:p>
        </w:tc>
        <w:tc>
          <w:tcPr>
            <w:tcW w:w="38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African</w:t>
            </w:r>
          </w:p>
        </w:tc>
        <w:tc>
          <w:tcPr>
            <w:tcW w:w="18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Insurance Industry</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MBIA Inc. (Retired)</w:t>
            </w:r>
          </w:p>
        </w:tc>
        <w:tc>
          <w:tcPr>
            <w:tcW w:w="108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6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Finance and Risk (Chair)</w:t>
            </w:r>
          </w:p>
        </w:tc>
      </w:tr>
      <w:tr>
        <w:trPr>
          <w:trHeight w:val="171"/>
        </w:trPr>
        <w:tc>
          <w:tcPr>
            <w:tcW w:w="2140" w:type="dxa"/>
            <w:vAlign w:val="bottom"/>
            <w:tcBorders>
              <w:bottom w:val="single" w:sz="8" w:color="4C4C4C"/>
              <w:right w:val="single" w:sz="8" w:color="4C4C4C"/>
            </w:tcBorders>
            <w:shd w:val="clear" w:color="auto" w:fill="E5F6F8"/>
          </w:tcPr>
          <w:p>
            <w:pPr>
              <w:spacing w:after="0"/>
              <w:rPr>
                <w:sz w:val="14"/>
                <w:szCs w:val="14"/>
                <w:color w:val="auto"/>
              </w:rPr>
            </w:pPr>
          </w:p>
        </w:tc>
        <w:tc>
          <w:tcPr>
            <w:tcW w:w="380" w:type="dxa"/>
            <w:vAlign w:val="bottom"/>
            <w:tcBorders>
              <w:bottom w:val="single" w:sz="8" w:color="4C4C4C"/>
              <w:right w:val="single" w:sz="8" w:color="4C4C4C"/>
            </w:tcBorders>
            <w:shd w:val="clear" w:color="auto" w:fill="E5F6F8"/>
          </w:tcPr>
          <w:p>
            <w:pPr>
              <w:spacing w:after="0"/>
              <w:rPr>
                <w:sz w:val="14"/>
                <w:szCs w:val="14"/>
                <w:color w:val="auto"/>
              </w:rPr>
            </w:pPr>
          </w:p>
        </w:tc>
        <w:tc>
          <w:tcPr>
            <w:tcW w:w="1040" w:type="dxa"/>
            <w:vAlign w:val="bottom"/>
            <w:tcBorders>
              <w:bottom w:val="single" w:sz="8" w:color="4C4C4C"/>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American</w:t>
            </w:r>
          </w:p>
        </w:tc>
        <w:tc>
          <w:tcPr>
            <w:tcW w:w="2280" w:type="dxa"/>
            <w:vAlign w:val="bottom"/>
            <w:tcBorders>
              <w:bottom w:val="single" w:sz="8" w:color="4C4C4C"/>
              <w:right w:val="single" w:sz="8" w:color="4C4C4C"/>
            </w:tcBorders>
            <w:gridSpan w:val="2"/>
            <w:shd w:val="clear" w:color="auto" w:fill="E5F6F8"/>
          </w:tcPr>
          <w:p>
            <w:pPr>
              <w:ind w:left="100"/>
              <w:spacing w:after="0"/>
              <w:rPr>
                <w:sz w:val="20"/>
                <w:szCs w:val="20"/>
                <w:color w:val="auto"/>
              </w:rPr>
            </w:pPr>
            <w:r>
              <w:rPr>
                <w:rFonts w:ascii="Arial" w:cs="Arial" w:eastAsia="Arial" w:hAnsi="Arial"/>
                <w:sz w:val="14"/>
                <w:szCs w:val="14"/>
                <w:color w:val="4C4C4C"/>
              </w:rPr>
              <w:t>• Risk Management</w:t>
            </w:r>
          </w:p>
        </w:tc>
        <w:tc>
          <w:tcPr>
            <w:tcW w:w="2260" w:type="dxa"/>
            <w:vAlign w:val="bottom"/>
            <w:tcBorders>
              <w:bottom w:val="single" w:sz="8" w:color="4C4C4C"/>
              <w:right w:val="single" w:sz="8" w:color="4C4C4C"/>
            </w:tcBorders>
            <w:shd w:val="clear" w:color="auto" w:fill="E5F6F8"/>
          </w:tcPr>
          <w:p>
            <w:pPr>
              <w:spacing w:after="0"/>
              <w:rPr>
                <w:sz w:val="14"/>
                <w:szCs w:val="14"/>
                <w:color w:val="auto"/>
              </w:rPr>
            </w:pPr>
          </w:p>
        </w:tc>
        <w:tc>
          <w:tcPr>
            <w:tcW w:w="1080" w:type="dxa"/>
            <w:vAlign w:val="bottom"/>
            <w:tcBorders>
              <w:bottom w:val="single" w:sz="8" w:color="4C4C4C"/>
              <w:right w:val="single" w:sz="8" w:color="4C4C4C"/>
            </w:tcBorders>
            <w:shd w:val="clear" w:color="auto" w:fill="E5F6F8"/>
          </w:tcPr>
          <w:p>
            <w:pPr>
              <w:spacing w:after="0"/>
              <w:rPr>
                <w:sz w:val="14"/>
                <w:szCs w:val="14"/>
                <w:color w:val="auto"/>
              </w:rPr>
            </w:pPr>
          </w:p>
        </w:tc>
        <w:tc>
          <w:tcPr>
            <w:tcW w:w="180" w:type="dxa"/>
            <w:vAlign w:val="bottom"/>
            <w:tcBorders>
              <w:bottom w:val="single" w:sz="8" w:color="4C4C4C"/>
            </w:tcBorders>
            <w:shd w:val="clear" w:color="auto" w:fill="E5F6F8"/>
          </w:tcPr>
          <w:p>
            <w:pPr>
              <w:spacing w:after="0"/>
              <w:rPr>
                <w:sz w:val="14"/>
                <w:szCs w:val="14"/>
                <w:color w:val="auto"/>
              </w:rPr>
            </w:pPr>
          </w:p>
        </w:tc>
        <w:tc>
          <w:tcPr>
            <w:tcW w:w="1660" w:type="dxa"/>
            <w:vAlign w:val="bottom"/>
            <w:tcBorders>
              <w:bottom w:val="single" w:sz="8" w:color="4C4C4C"/>
            </w:tcBorders>
            <w:shd w:val="clear" w:color="auto" w:fill="E5F6F8"/>
          </w:tcPr>
          <w:p>
            <w:pPr>
              <w:spacing w:after="0"/>
              <w:rPr>
                <w:sz w:val="14"/>
                <w:szCs w:val="14"/>
                <w:color w:val="auto"/>
              </w:rPr>
            </w:pPr>
          </w:p>
        </w:tc>
      </w:tr>
      <w:tr>
        <w:trPr>
          <w:trHeight w:val="201"/>
        </w:trPr>
        <w:tc>
          <w:tcPr>
            <w:tcW w:w="2140" w:type="dxa"/>
            <w:vAlign w:val="bottom"/>
            <w:tcBorders>
              <w:right w:val="single" w:sz="8" w:color="4C4C4C"/>
            </w:tcBorders>
          </w:tcPr>
          <w:p>
            <w:pPr>
              <w:ind w:left="100"/>
              <w:spacing w:after="0"/>
              <w:rPr>
                <w:sz w:val="20"/>
                <w:szCs w:val="20"/>
                <w:color w:val="auto"/>
              </w:rPr>
            </w:pPr>
            <w:r>
              <w:rPr>
                <w:rFonts w:ascii="Arial" w:cs="Arial" w:eastAsia="Arial" w:hAnsi="Arial"/>
                <w:sz w:val="14"/>
                <w:szCs w:val="14"/>
                <w:b w:val="1"/>
                <w:bCs w:val="1"/>
                <w:color w:val="4C4C4C"/>
              </w:rPr>
              <w:t>Steve Hooley</w:t>
            </w:r>
          </w:p>
        </w:tc>
        <w:tc>
          <w:tcPr>
            <w:tcW w:w="38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58</w:t>
            </w:r>
          </w:p>
        </w:tc>
        <w:tc>
          <w:tcPr>
            <w:tcW w:w="10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Male</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Executive Leadership</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Chairman, Chief Executive</w:t>
            </w:r>
          </w:p>
        </w:tc>
        <w:tc>
          <w:tcPr>
            <w:tcW w:w="1080" w:type="dxa"/>
            <w:vAlign w:val="bottom"/>
            <w:tcBorders>
              <w:right w:val="single" w:sz="8" w:color="4C4C4C"/>
            </w:tcBorders>
          </w:tcPr>
          <w:p>
            <w:pPr>
              <w:jc w:val="right"/>
              <w:ind w:right="48"/>
              <w:spacing w:after="0"/>
              <w:rPr>
                <w:sz w:val="20"/>
                <w:szCs w:val="20"/>
                <w:color w:val="auto"/>
              </w:rPr>
            </w:pPr>
            <w:r>
              <w:rPr>
                <w:rFonts w:ascii="Arial" w:cs="Arial" w:eastAsia="Arial" w:hAnsi="Arial"/>
                <w:sz w:val="14"/>
                <w:szCs w:val="14"/>
                <w:color w:val="4C4C4C"/>
              </w:rPr>
              <w:t>Yes</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1660" w:type="dxa"/>
            <w:vAlign w:val="bottom"/>
          </w:tcPr>
          <w:p>
            <w:pPr>
              <w:ind w:left="60"/>
              <w:spacing w:after="0"/>
              <w:rPr>
                <w:sz w:val="20"/>
                <w:szCs w:val="20"/>
                <w:color w:val="auto"/>
              </w:rPr>
            </w:pPr>
            <w:r>
              <w:rPr>
                <w:rFonts w:ascii="Arial" w:cs="Arial" w:eastAsia="Arial" w:hAnsi="Arial"/>
                <w:sz w:val="14"/>
                <w:szCs w:val="14"/>
                <w:color w:val="4C4C4C"/>
              </w:rPr>
              <w:t>Audit</w:t>
            </w:r>
          </w:p>
        </w:tc>
      </w:tr>
      <w:tr>
        <w:trPr>
          <w:trHeight w:val="162"/>
        </w:trPr>
        <w:tc>
          <w:tcPr>
            <w:tcW w:w="21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Director since 2020</w:t>
            </w: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White/</w:t>
            </w: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Information Technology and</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Officer and President of DST</w:t>
            </w:r>
          </w:p>
        </w:tc>
        <w:tc>
          <w:tcPr>
            <w:tcW w:w="108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1660" w:type="dxa"/>
            <w:vAlign w:val="bottom"/>
          </w:tcPr>
          <w:p>
            <w:pPr>
              <w:ind w:left="60"/>
              <w:spacing w:after="0"/>
              <w:rPr>
                <w:sz w:val="20"/>
                <w:szCs w:val="20"/>
                <w:color w:val="auto"/>
              </w:rPr>
            </w:pPr>
            <w:r>
              <w:rPr>
                <w:rFonts w:ascii="Arial" w:cs="Arial" w:eastAsia="Arial" w:hAnsi="Arial"/>
                <w:sz w:val="14"/>
                <w:szCs w:val="14"/>
                <w:color w:val="4C4C4C"/>
              </w:rPr>
              <w:t>Investment</w:t>
            </w: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Caucasian</w:t>
            </w:r>
          </w:p>
        </w:tc>
        <w:tc>
          <w:tcPr>
            <w:tcW w:w="180" w:type="dxa"/>
            <w:vAlign w:val="bottom"/>
          </w:tcPr>
          <w:p>
            <w:pPr>
              <w:spacing w:after="0"/>
              <w:rPr>
                <w:sz w:val="14"/>
                <w:szCs w:val="14"/>
                <w:color w:val="auto"/>
              </w:rPr>
            </w:pP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Cybersecurity</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Systems (Retired)</w:t>
            </w:r>
          </w:p>
        </w:tc>
        <w:tc>
          <w:tcPr>
            <w:tcW w:w="108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Financial Services Industry</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2140" w:type="dxa"/>
            <w:vAlign w:val="bottom"/>
            <w:tcBorders>
              <w:right w:val="single" w:sz="8" w:color="4C4C4C"/>
            </w:tcBorders>
          </w:tcPr>
          <w:p>
            <w:pPr>
              <w:spacing w:after="0"/>
              <w:rPr>
                <w:sz w:val="14"/>
                <w:szCs w:val="14"/>
                <w:color w:val="auto"/>
              </w:rPr>
            </w:pPr>
          </w:p>
        </w:tc>
        <w:tc>
          <w:tcPr>
            <w:tcW w:w="38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4C4C4C"/>
              </w:rPr>
              <w:t>•</w:t>
            </w:r>
          </w:p>
        </w:tc>
        <w:tc>
          <w:tcPr>
            <w:tcW w:w="210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Public Company Board</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2140" w:type="dxa"/>
            <w:vAlign w:val="bottom"/>
            <w:tcBorders>
              <w:bottom w:val="single" w:sz="8" w:color="4C4C4C"/>
              <w:right w:val="single" w:sz="8" w:color="4C4C4C"/>
            </w:tcBorders>
          </w:tcPr>
          <w:p>
            <w:pPr>
              <w:spacing w:after="0"/>
              <w:rPr>
                <w:sz w:val="14"/>
                <w:szCs w:val="14"/>
                <w:color w:val="auto"/>
              </w:rPr>
            </w:pPr>
          </w:p>
        </w:tc>
        <w:tc>
          <w:tcPr>
            <w:tcW w:w="380" w:type="dxa"/>
            <w:vAlign w:val="bottom"/>
            <w:tcBorders>
              <w:bottom w:val="single" w:sz="8" w:color="4C4C4C"/>
              <w:right w:val="single" w:sz="8" w:color="4C4C4C"/>
            </w:tcBorders>
          </w:tcPr>
          <w:p>
            <w:pPr>
              <w:spacing w:after="0"/>
              <w:rPr>
                <w:sz w:val="14"/>
                <w:szCs w:val="14"/>
                <w:color w:val="auto"/>
              </w:rPr>
            </w:pPr>
          </w:p>
        </w:tc>
        <w:tc>
          <w:tcPr>
            <w:tcW w:w="104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spacing w:after="0"/>
              <w:rPr>
                <w:sz w:val="14"/>
                <w:szCs w:val="14"/>
                <w:color w:val="auto"/>
              </w:rPr>
            </w:pPr>
          </w:p>
        </w:tc>
        <w:tc>
          <w:tcPr>
            <w:tcW w:w="2100" w:type="dxa"/>
            <w:vAlign w:val="bottom"/>
            <w:tcBorders>
              <w:bottom w:val="single" w:sz="8" w:color="4C4C4C"/>
              <w:right w:val="single" w:sz="8" w:color="4C4C4C"/>
            </w:tcBorders>
          </w:tcPr>
          <w:p>
            <w:pPr>
              <w:ind w:left="60"/>
              <w:spacing w:after="0"/>
              <w:rPr>
                <w:sz w:val="20"/>
                <w:szCs w:val="20"/>
                <w:color w:val="auto"/>
              </w:rPr>
            </w:pPr>
            <w:r>
              <w:rPr>
                <w:rFonts w:ascii="Arial" w:cs="Arial" w:eastAsia="Arial" w:hAnsi="Arial"/>
                <w:sz w:val="14"/>
                <w:szCs w:val="14"/>
                <w:color w:val="4C4C4C"/>
              </w:rPr>
              <w:t>Experience</w:t>
            </w:r>
          </w:p>
        </w:tc>
        <w:tc>
          <w:tcPr>
            <w:tcW w:w="2260" w:type="dxa"/>
            <w:vAlign w:val="bottom"/>
            <w:tcBorders>
              <w:bottom w:val="single" w:sz="8" w:color="4C4C4C"/>
              <w:right w:val="single" w:sz="8" w:color="4C4C4C"/>
            </w:tcBorders>
          </w:tcPr>
          <w:p>
            <w:pPr>
              <w:spacing w:after="0"/>
              <w:rPr>
                <w:sz w:val="14"/>
                <w:szCs w:val="14"/>
                <w:color w:val="auto"/>
              </w:rPr>
            </w:pPr>
          </w:p>
        </w:tc>
        <w:tc>
          <w:tcPr>
            <w:tcW w:w="108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spacing w:after="0"/>
              <w:rPr>
                <w:sz w:val="14"/>
                <w:szCs w:val="14"/>
                <w:color w:val="auto"/>
              </w:rPr>
            </w:pPr>
          </w:p>
        </w:tc>
        <w:tc>
          <w:tcPr>
            <w:tcW w:w="1660" w:type="dxa"/>
            <w:vAlign w:val="bottom"/>
            <w:tcBorders>
              <w:bottom w:val="single" w:sz="8" w:color="4C4C4C"/>
            </w:tcBorders>
          </w:tcPr>
          <w:p>
            <w:pPr>
              <w:spacing w:after="0"/>
              <w:rPr>
                <w:sz w:val="14"/>
                <w:szCs w:val="14"/>
                <w:color w:val="auto"/>
              </w:rPr>
            </w:pPr>
          </w:p>
        </w:tc>
      </w:tr>
      <w:tr>
        <w:trPr>
          <w:trHeight w:val="288"/>
        </w:trPr>
        <w:tc>
          <w:tcPr>
            <w:tcW w:w="2140" w:type="dxa"/>
            <w:vAlign w:val="bottom"/>
          </w:tcPr>
          <w:p>
            <w:pPr>
              <w:spacing w:after="0"/>
              <w:rPr>
                <w:sz w:val="20"/>
                <w:szCs w:val="20"/>
                <w:color w:val="auto"/>
              </w:rPr>
            </w:pPr>
            <w:r>
              <w:rPr>
                <w:rFonts w:ascii="Arial" w:cs="Arial" w:eastAsia="Arial" w:hAnsi="Arial"/>
                <w:sz w:val="13"/>
                <w:szCs w:val="13"/>
                <w:b w:val="1"/>
                <w:bCs w:val="1"/>
                <w:color w:val="00ADBB"/>
              </w:rPr>
              <w:t>6 | 2021 Proxy Statement</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99060</wp:posOffset>
            </wp:positionV>
            <wp:extent cx="8255" cy="522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5226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99060</wp:posOffset>
            </wp:positionV>
            <wp:extent cx="8890" cy="522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99060</wp:posOffset>
            </wp:positionV>
            <wp:extent cx="8890" cy="522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99060</wp:posOffset>
            </wp:positionV>
            <wp:extent cx="8890" cy="522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52260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99060</wp:posOffset>
            </wp:positionV>
            <wp:extent cx="8255" cy="522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52260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99060</wp:posOffset>
            </wp:positionV>
            <wp:extent cx="8890" cy="522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522605"/>
                    </a:xfrm>
                    <a:prstGeom prst="rect">
                      <a:avLst/>
                    </a:prstGeom>
                    <a:noFill/>
                  </pic:spPr>
                </pic:pic>
              </a:graphicData>
            </a:graphic>
          </wp:anchor>
        </w:drawing>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473"/>
        </w:trPr>
        <w:tc>
          <w:tcPr>
            <w:tcW w:w="2100" w:type="dxa"/>
            <w:vAlign w:val="bottom"/>
            <w:tcBorders>
              <w:right w:val="single" w:sz="8" w:color="00ADBB"/>
            </w:tcBorders>
            <w:shd w:val="clear" w:color="auto" w:fill="00ADBB"/>
          </w:tcPr>
          <w:p>
            <w:pPr>
              <w:spacing w:after="0"/>
              <w:rPr>
                <w:sz w:val="24"/>
                <w:szCs w:val="24"/>
                <w:color w:val="auto"/>
              </w:rPr>
            </w:pPr>
          </w:p>
        </w:tc>
        <w:tc>
          <w:tcPr>
            <w:tcW w:w="500" w:type="dxa"/>
            <w:vAlign w:val="bottom"/>
            <w:tcBorders>
              <w:right w:val="single" w:sz="8" w:color="00ADBB"/>
            </w:tcBorders>
            <w:shd w:val="clear" w:color="auto" w:fill="00ADBB"/>
          </w:tcPr>
          <w:p>
            <w:pPr>
              <w:spacing w:after="0"/>
              <w:rPr>
                <w:sz w:val="24"/>
                <w:szCs w:val="24"/>
                <w:color w:val="auto"/>
              </w:rPr>
            </w:pPr>
          </w:p>
        </w:tc>
        <w:tc>
          <w:tcPr>
            <w:tcW w:w="104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rPr>
              <w:t>Demographic</w:t>
            </w:r>
          </w:p>
        </w:tc>
        <w:tc>
          <w:tcPr>
            <w:tcW w:w="2220" w:type="dxa"/>
            <w:vAlign w:val="bottom"/>
            <w:tcBorders>
              <w:right w:val="single" w:sz="8" w:color="00ADBB"/>
            </w:tcBorders>
            <w:gridSpan w:val="2"/>
            <w:shd w:val="clear" w:color="auto" w:fill="00ADBB"/>
          </w:tcPr>
          <w:p>
            <w:pPr>
              <w:ind w:left="80"/>
              <w:spacing w:after="0"/>
              <w:rPr>
                <w:sz w:val="20"/>
                <w:szCs w:val="20"/>
                <w:color w:val="auto"/>
              </w:rPr>
            </w:pPr>
            <w:r>
              <w:rPr>
                <w:rFonts w:ascii="Arial" w:cs="Arial" w:eastAsia="Arial" w:hAnsi="Arial"/>
                <w:sz w:val="14"/>
                <w:szCs w:val="14"/>
                <w:b w:val="1"/>
                <w:bCs w:val="1"/>
                <w:color w:val="FFFFFF"/>
              </w:rPr>
              <w:t>Selected Skills and</w:t>
            </w:r>
          </w:p>
        </w:tc>
        <w:tc>
          <w:tcPr>
            <w:tcW w:w="226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rPr>
              <w:t>Principal Professional</w:t>
            </w:r>
          </w:p>
        </w:tc>
        <w:tc>
          <w:tcPr>
            <w:tcW w:w="1080" w:type="dxa"/>
            <w:vAlign w:val="bottom"/>
            <w:tcBorders>
              <w:right w:val="single" w:sz="8" w:color="00ADBB"/>
            </w:tcBorders>
            <w:shd w:val="clear" w:color="auto" w:fill="00ADBB"/>
          </w:tcPr>
          <w:p>
            <w:pPr>
              <w:spacing w:after="0"/>
              <w:rPr>
                <w:sz w:val="24"/>
                <w:szCs w:val="24"/>
                <w:color w:val="auto"/>
              </w:rPr>
            </w:pPr>
          </w:p>
        </w:tc>
        <w:tc>
          <w:tcPr>
            <w:tcW w:w="200" w:type="dxa"/>
            <w:vAlign w:val="bottom"/>
            <w:shd w:val="clear" w:color="auto" w:fill="00ADBB"/>
          </w:tcPr>
          <w:p>
            <w:pPr>
              <w:spacing w:after="0"/>
              <w:rPr>
                <w:sz w:val="24"/>
                <w:szCs w:val="24"/>
                <w:color w:val="auto"/>
              </w:rPr>
            </w:pPr>
          </w:p>
        </w:tc>
        <w:tc>
          <w:tcPr>
            <w:tcW w:w="1620" w:type="dxa"/>
            <w:vAlign w:val="bottom"/>
            <w:shd w:val="clear" w:color="auto" w:fill="00ADBB"/>
          </w:tcPr>
          <w:p>
            <w:pPr>
              <w:ind w:left="380"/>
              <w:spacing w:after="0"/>
              <w:rPr>
                <w:sz w:val="20"/>
                <w:szCs w:val="20"/>
                <w:color w:val="auto"/>
              </w:rPr>
            </w:pPr>
            <w:r>
              <w:rPr>
                <w:rFonts w:ascii="Arial" w:cs="Arial" w:eastAsia="Arial" w:hAnsi="Arial"/>
                <w:sz w:val="14"/>
                <w:szCs w:val="14"/>
                <w:b w:val="1"/>
                <w:bCs w:val="1"/>
                <w:color w:val="FFFFFF"/>
              </w:rPr>
              <w:t>Committee</w:t>
            </w:r>
          </w:p>
        </w:tc>
      </w:tr>
      <w:tr>
        <w:trPr>
          <w:trHeight w:val="190"/>
        </w:trPr>
        <w:tc>
          <w:tcPr>
            <w:tcW w:w="2100" w:type="dxa"/>
            <w:vAlign w:val="bottom"/>
            <w:tcBorders>
              <w:right w:val="single" w:sz="8" w:color="00ADBB"/>
            </w:tcBorders>
            <w:shd w:val="clear" w:color="auto" w:fill="00ADBB"/>
          </w:tcPr>
          <w:p>
            <w:pPr>
              <w:ind w:left="100"/>
              <w:spacing w:after="0"/>
              <w:rPr>
                <w:sz w:val="20"/>
                <w:szCs w:val="20"/>
                <w:color w:val="auto"/>
              </w:rPr>
            </w:pPr>
            <w:r>
              <w:rPr>
                <w:rFonts w:ascii="Arial" w:cs="Arial" w:eastAsia="Arial" w:hAnsi="Arial"/>
                <w:sz w:val="14"/>
                <w:szCs w:val="14"/>
                <w:b w:val="1"/>
                <w:bCs w:val="1"/>
                <w:color w:val="FFFFFF"/>
              </w:rPr>
              <w:t>Name</w:t>
            </w:r>
          </w:p>
        </w:tc>
        <w:tc>
          <w:tcPr>
            <w:tcW w:w="500" w:type="dxa"/>
            <w:vAlign w:val="bottom"/>
            <w:tcBorders>
              <w:right w:val="single" w:sz="8" w:color="00ADBB"/>
            </w:tcBorders>
            <w:shd w:val="clear" w:color="auto" w:fill="00ADBB"/>
          </w:tcPr>
          <w:p>
            <w:pPr>
              <w:jc w:val="right"/>
              <w:ind w:right="68"/>
              <w:spacing w:after="0"/>
              <w:rPr>
                <w:sz w:val="20"/>
                <w:szCs w:val="20"/>
                <w:color w:val="auto"/>
              </w:rPr>
            </w:pPr>
            <w:r>
              <w:rPr>
                <w:rFonts w:ascii="Arial" w:cs="Arial" w:eastAsia="Arial" w:hAnsi="Arial"/>
                <w:sz w:val="14"/>
                <w:szCs w:val="14"/>
                <w:b w:val="1"/>
                <w:bCs w:val="1"/>
                <w:color w:val="FFFFFF"/>
              </w:rPr>
              <w:t>Age</w:t>
            </w:r>
          </w:p>
        </w:tc>
        <w:tc>
          <w:tcPr>
            <w:tcW w:w="1040" w:type="dxa"/>
            <w:vAlign w:val="bottom"/>
            <w:tcBorders>
              <w:right w:val="single" w:sz="8" w:color="00ADBB"/>
            </w:tcBorders>
            <w:shd w:val="clear" w:color="auto" w:fill="00ADBB"/>
          </w:tcPr>
          <w:p>
            <w:pPr>
              <w:ind w:left="160"/>
              <w:spacing w:after="0"/>
              <w:rPr>
                <w:sz w:val="20"/>
                <w:szCs w:val="20"/>
                <w:color w:val="auto"/>
              </w:rPr>
            </w:pPr>
            <w:r>
              <w:rPr>
                <w:rFonts w:ascii="Arial" w:cs="Arial" w:eastAsia="Arial" w:hAnsi="Arial"/>
                <w:sz w:val="14"/>
                <w:szCs w:val="14"/>
                <w:b w:val="1"/>
                <w:bCs w:val="1"/>
                <w:color w:val="FFFFFF"/>
              </w:rPr>
              <w:t>Information</w:t>
            </w:r>
          </w:p>
        </w:tc>
        <w:tc>
          <w:tcPr>
            <w:tcW w:w="2220" w:type="dxa"/>
            <w:vAlign w:val="bottom"/>
            <w:tcBorders>
              <w:right w:val="single" w:sz="8" w:color="00ADBB"/>
            </w:tcBorders>
            <w:gridSpan w:val="2"/>
            <w:shd w:val="clear" w:color="auto" w:fill="00ADBB"/>
          </w:tcPr>
          <w:p>
            <w:pPr>
              <w:ind w:left="80"/>
              <w:spacing w:after="0"/>
              <w:rPr>
                <w:sz w:val="20"/>
                <w:szCs w:val="20"/>
                <w:color w:val="auto"/>
              </w:rPr>
            </w:pPr>
            <w:r>
              <w:rPr>
                <w:rFonts w:ascii="Arial" w:cs="Arial" w:eastAsia="Arial" w:hAnsi="Arial"/>
                <w:sz w:val="14"/>
                <w:szCs w:val="14"/>
                <w:b w:val="1"/>
                <w:bCs w:val="1"/>
                <w:color w:val="FFFFFF"/>
              </w:rPr>
              <w:t>Qualifications</w:t>
            </w:r>
          </w:p>
        </w:tc>
        <w:tc>
          <w:tcPr>
            <w:tcW w:w="2260" w:type="dxa"/>
            <w:vAlign w:val="bottom"/>
            <w:tcBorders>
              <w:right w:val="single" w:sz="8" w:color="00ADBB"/>
            </w:tcBorders>
            <w:shd w:val="clear" w:color="auto" w:fill="00ADBB"/>
          </w:tcPr>
          <w:p>
            <w:pPr>
              <w:ind w:left="80"/>
              <w:spacing w:after="0"/>
              <w:rPr>
                <w:sz w:val="20"/>
                <w:szCs w:val="20"/>
                <w:color w:val="auto"/>
              </w:rPr>
            </w:pPr>
            <w:r>
              <w:rPr>
                <w:rFonts w:ascii="Arial" w:cs="Arial" w:eastAsia="Arial" w:hAnsi="Arial"/>
                <w:sz w:val="14"/>
                <w:szCs w:val="14"/>
                <w:b w:val="1"/>
                <w:bCs w:val="1"/>
                <w:color w:val="FFFFFF"/>
              </w:rPr>
              <w:t>Experience</w:t>
            </w:r>
          </w:p>
        </w:tc>
        <w:tc>
          <w:tcPr>
            <w:tcW w:w="1080" w:type="dxa"/>
            <w:vAlign w:val="bottom"/>
            <w:tcBorders>
              <w:right w:val="single" w:sz="8" w:color="00ADBB"/>
            </w:tcBorders>
            <w:shd w:val="clear" w:color="auto" w:fill="00ADBB"/>
          </w:tcPr>
          <w:p>
            <w:pPr>
              <w:jc w:val="right"/>
              <w:ind w:right="48"/>
              <w:spacing w:after="0"/>
              <w:rPr>
                <w:sz w:val="20"/>
                <w:szCs w:val="20"/>
                <w:color w:val="auto"/>
              </w:rPr>
            </w:pPr>
            <w:r>
              <w:rPr>
                <w:rFonts w:ascii="Arial" w:cs="Arial" w:eastAsia="Arial" w:hAnsi="Arial"/>
                <w:sz w:val="14"/>
                <w:szCs w:val="14"/>
                <w:b w:val="1"/>
                <w:bCs w:val="1"/>
                <w:color w:val="FFFFFF"/>
              </w:rPr>
              <w:t>Independent</w:t>
            </w:r>
          </w:p>
        </w:tc>
        <w:tc>
          <w:tcPr>
            <w:tcW w:w="200" w:type="dxa"/>
            <w:vAlign w:val="bottom"/>
            <w:shd w:val="clear" w:color="auto" w:fill="00ADBB"/>
          </w:tcPr>
          <w:p>
            <w:pPr>
              <w:spacing w:after="0"/>
              <w:rPr>
                <w:sz w:val="16"/>
                <w:szCs w:val="16"/>
                <w:color w:val="auto"/>
              </w:rPr>
            </w:pPr>
          </w:p>
        </w:tc>
        <w:tc>
          <w:tcPr>
            <w:tcW w:w="1620" w:type="dxa"/>
            <w:vAlign w:val="bottom"/>
            <w:shd w:val="clear" w:color="auto" w:fill="00ADBB"/>
          </w:tcPr>
          <w:p>
            <w:pPr>
              <w:ind w:left="300"/>
              <w:spacing w:after="0"/>
              <w:rPr>
                <w:sz w:val="20"/>
                <w:szCs w:val="20"/>
                <w:color w:val="auto"/>
              </w:rPr>
            </w:pPr>
            <w:r>
              <w:rPr>
                <w:rFonts w:ascii="Arial" w:cs="Arial" w:eastAsia="Arial" w:hAnsi="Arial"/>
                <w:sz w:val="14"/>
                <w:szCs w:val="14"/>
                <w:b w:val="1"/>
                <w:bCs w:val="1"/>
                <w:color w:val="FFFFFF"/>
              </w:rPr>
              <w:t>Memberships</w:t>
            </w:r>
          </w:p>
        </w:tc>
      </w:tr>
      <w:tr>
        <w:trPr>
          <w:trHeight w:val="161"/>
        </w:trPr>
        <w:tc>
          <w:tcPr>
            <w:tcW w:w="2100" w:type="dxa"/>
            <w:vAlign w:val="bottom"/>
            <w:tcBorders>
              <w:right w:val="single" w:sz="8" w:color="00ADBB"/>
            </w:tcBorders>
            <w:shd w:val="clear" w:color="auto" w:fill="00ADBB"/>
          </w:tcPr>
          <w:p>
            <w:pPr>
              <w:spacing w:after="0"/>
              <w:rPr>
                <w:sz w:val="13"/>
                <w:szCs w:val="13"/>
                <w:color w:val="auto"/>
              </w:rPr>
            </w:pPr>
          </w:p>
        </w:tc>
        <w:tc>
          <w:tcPr>
            <w:tcW w:w="500" w:type="dxa"/>
            <w:vAlign w:val="bottom"/>
            <w:tcBorders>
              <w:right w:val="single" w:sz="8" w:color="00ADBB"/>
            </w:tcBorders>
            <w:shd w:val="clear" w:color="auto" w:fill="00ADBB"/>
          </w:tcPr>
          <w:p>
            <w:pPr>
              <w:spacing w:after="0"/>
              <w:rPr>
                <w:sz w:val="13"/>
                <w:szCs w:val="13"/>
                <w:color w:val="auto"/>
              </w:rPr>
            </w:pPr>
          </w:p>
        </w:tc>
        <w:tc>
          <w:tcPr>
            <w:tcW w:w="1040" w:type="dxa"/>
            <w:vAlign w:val="bottom"/>
            <w:tcBorders>
              <w:right w:val="single" w:sz="8" w:color="00ADBB"/>
            </w:tcBorders>
            <w:shd w:val="clear" w:color="auto" w:fill="00ADBB"/>
          </w:tcPr>
          <w:p>
            <w:pPr>
              <w:spacing w:after="0"/>
              <w:rPr>
                <w:sz w:val="13"/>
                <w:szCs w:val="13"/>
                <w:color w:val="auto"/>
              </w:rPr>
            </w:pPr>
          </w:p>
        </w:tc>
        <w:tc>
          <w:tcPr>
            <w:tcW w:w="180" w:type="dxa"/>
            <w:vAlign w:val="bottom"/>
            <w:shd w:val="clear" w:color="auto" w:fill="00ADBB"/>
          </w:tcPr>
          <w:p>
            <w:pPr>
              <w:spacing w:after="0"/>
              <w:rPr>
                <w:sz w:val="13"/>
                <w:szCs w:val="13"/>
                <w:color w:val="auto"/>
              </w:rPr>
            </w:pPr>
          </w:p>
        </w:tc>
        <w:tc>
          <w:tcPr>
            <w:tcW w:w="2040" w:type="dxa"/>
            <w:vAlign w:val="bottom"/>
            <w:tcBorders>
              <w:right w:val="single" w:sz="8" w:color="00ADBB"/>
            </w:tcBorders>
            <w:shd w:val="clear" w:color="auto" w:fill="00ADBB"/>
          </w:tcPr>
          <w:p>
            <w:pPr>
              <w:spacing w:after="0"/>
              <w:rPr>
                <w:sz w:val="13"/>
                <w:szCs w:val="13"/>
                <w:color w:val="auto"/>
              </w:rPr>
            </w:pPr>
          </w:p>
        </w:tc>
        <w:tc>
          <w:tcPr>
            <w:tcW w:w="2260" w:type="dxa"/>
            <w:vAlign w:val="bottom"/>
            <w:tcBorders>
              <w:right w:val="single" w:sz="8" w:color="00ADBB"/>
            </w:tcBorders>
            <w:shd w:val="clear" w:color="auto" w:fill="00ADBB"/>
          </w:tcPr>
          <w:p>
            <w:pPr>
              <w:spacing w:after="0"/>
              <w:rPr>
                <w:sz w:val="13"/>
                <w:szCs w:val="13"/>
                <w:color w:val="auto"/>
              </w:rPr>
            </w:pPr>
          </w:p>
        </w:tc>
        <w:tc>
          <w:tcPr>
            <w:tcW w:w="1080" w:type="dxa"/>
            <w:vAlign w:val="bottom"/>
            <w:tcBorders>
              <w:right w:val="single" w:sz="8" w:color="00ADBB"/>
            </w:tcBorders>
            <w:shd w:val="clear" w:color="auto" w:fill="00ADBB"/>
          </w:tcPr>
          <w:p>
            <w:pPr>
              <w:spacing w:after="0"/>
              <w:rPr>
                <w:sz w:val="13"/>
                <w:szCs w:val="13"/>
                <w:color w:val="auto"/>
              </w:rPr>
            </w:pPr>
          </w:p>
        </w:tc>
        <w:tc>
          <w:tcPr>
            <w:tcW w:w="200" w:type="dxa"/>
            <w:vAlign w:val="bottom"/>
            <w:shd w:val="clear" w:color="auto" w:fill="00ADBB"/>
          </w:tcPr>
          <w:p>
            <w:pPr>
              <w:spacing w:after="0"/>
              <w:rPr>
                <w:sz w:val="13"/>
                <w:szCs w:val="13"/>
                <w:color w:val="auto"/>
              </w:rPr>
            </w:pPr>
          </w:p>
        </w:tc>
        <w:tc>
          <w:tcPr>
            <w:tcW w:w="1620" w:type="dxa"/>
            <w:vAlign w:val="bottom"/>
            <w:shd w:val="clear" w:color="auto" w:fill="00ADBB"/>
          </w:tcPr>
          <w:p>
            <w:pPr>
              <w:spacing w:after="0"/>
              <w:rPr>
                <w:sz w:val="13"/>
                <w:szCs w:val="13"/>
                <w:color w:val="auto"/>
              </w:rPr>
            </w:pPr>
          </w:p>
        </w:tc>
      </w:tr>
      <w:tr>
        <w:trPr>
          <w:trHeight w:val="207"/>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b w:val="1"/>
                <w:bCs w:val="1"/>
                <w:color w:val="4C4C4C"/>
              </w:rPr>
              <w:t>Eileen Mallesch</w:t>
            </w:r>
          </w:p>
        </w:tc>
        <w:tc>
          <w:tcPr>
            <w:tcW w:w="500" w:type="dxa"/>
            <w:vAlign w:val="bottom"/>
            <w:tcBorders>
              <w:right w:val="single" w:sz="8" w:color="4C4C4C"/>
            </w:tcBorders>
            <w:shd w:val="clear" w:color="auto" w:fill="E5F6F8"/>
          </w:tcPr>
          <w:p>
            <w:pPr>
              <w:jc w:val="right"/>
              <w:ind w:right="68"/>
              <w:spacing w:after="0"/>
              <w:rPr>
                <w:sz w:val="20"/>
                <w:szCs w:val="20"/>
                <w:color w:val="auto"/>
              </w:rPr>
            </w:pPr>
            <w:r>
              <w:rPr>
                <w:rFonts w:ascii="Arial" w:cs="Arial" w:eastAsia="Arial" w:hAnsi="Arial"/>
                <w:sz w:val="14"/>
                <w:szCs w:val="14"/>
                <w:color w:val="4C4C4C"/>
              </w:rPr>
              <w:t>65</w:t>
            </w: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Female</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Financial Expertise</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Senior Vice President and Chief</w:t>
            </w:r>
          </w:p>
        </w:tc>
        <w:tc>
          <w:tcPr>
            <w:tcW w:w="1080" w:type="dxa"/>
            <w:vAlign w:val="bottom"/>
            <w:tcBorders>
              <w:right w:val="single" w:sz="8" w:color="4C4C4C"/>
            </w:tcBorders>
            <w:shd w:val="clear" w:color="auto" w:fill="E5F6F8"/>
          </w:tcPr>
          <w:p>
            <w:pPr>
              <w:jc w:val="right"/>
              <w:ind w:right="48"/>
              <w:spacing w:after="0"/>
              <w:rPr>
                <w:sz w:val="20"/>
                <w:szCs w:val="20"/>
                <w:color w:val="auto"/>
              </w:rPr>
            </w:pPr>
            <w:r>
              <w:rPr>
                <w:rFonts w:ascii="Arial" w:cs="Arial" w:eastAsia="Arial" w:hAnsi="Arial"/>
                <w:sz w:val="14"/>
                <w:szCs w:val="14"/>
                <w:color w:val="4C4C4C"/>
              </w:rPr>
              <w:t>Yes</w:t>
            </w: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Compensation and</w:t>
            </w:r>
          </w:p>
        </w:tc>
      </w:tr>
      <w:tr>
        <w:trPr>
          <w:trHeight w:val="162"/>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Director since 2018</w:t>
            </w: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Insurance Industry</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Financial Officer of the property</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Human Capital</w:t>
            </w: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Public Company Board</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and casualty business of</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Investment (Chair)</w:t>
            </w: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spacing w:after="0"/>
              <w:rPr>
                <w:sz w:val="14"/>
                <w:szCs w:val="14"/>
                <w:color w:val="auto"/>
              </w:rPr>
            </w:pPr>
          </w:p>
        </w:tc>
        <w:tc>
          <w:tcPr>
            <w:tcW w:w="204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Experience</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Nationwide Mutual Insurance</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Nominating and</w:t>
            </w:r>
          </w:p>
        </w:tc>
      </w:tr>
      <w:tr>
        <w:trPr>
          <w:trHeight w:val="171"/>
        </w:trPr>
        <w:tc>
          <w:tcPr>
            <w:tcW w:w="2100" w:type="dxa"/>
            <w:vAlign w:val="bottom"/>
            <w:tcBorders>
              <w:bottom w:val="single" w:sz="8" w:color="4C4C4C"/>
              <w:right w:val="single" w:sz="8" w:color="4C4C4C"/>
            </w:tcBorders>
            <w:shd w:val="clear" w:color="auto" w:fill="E5F6F8"/>
          </w:tcPr>
          <w:p>
            <w:pPr>
              <w:spacing w:after="0"/>
              <w:rPr>
                <w:sz w:val="14"/>
                <w:szCs w:val="14"/>
                <w:color w:val="auto"/>
              </w:rPr>
            </w:pPr>
          </w:p>
        </w:tc>
        <w:tc>
          <w:tcPr>
            <w:tcW w:w="500" w:type="dxa"/>
            <w:vAlign w:val="bottom"/>
            <w:tcBorders>
              <w:bottom w:val="single" w:sz="8" w:color="4C4C4C"/>
              <w:right w:val="single" w:sz="8" w:color="4C4C4C"/>
            </w:tcBorders>
            <w:shd w:val="clear" w:color="auto" w:fill="E5F6F8"/>
          </w:tcPr>
          <w:p>
            <w:pPr>
              <w:spacing w:after="0"/>
              <w:rPr>
                <w:sz w:val="14"/>
                <w:szCs w:val="14"/>
                <w:color w:val="auto"/>
              </w:rPr>
            </w:pPr>
          </w:p>
        </w:tc>
        <w:tc>
          <w:tcPr>
            <w:tcW w:w="1040" w:type="dxa"/>
            <w:vAlign w:val="bottom"/>
            <w:tcBorders>
              <w:bottom w:val="single" w:sz="8" w:color="4C4C4C"/>
              <w:right w:val="single" w:sz="8" w:color="4C4C4C"/>
            </w:tcBorders>
            <w:shd w:val="clear" w:color="auto" w:fill="E5F6F8"/>
          </w:tcPr>
          <w:p>
            <w:pPr>
              <w:spacing w:after="0"/>
              <w:rPr>
                <w:sz w:val="14"/>
                <w:szCs w:val="14"/>
                <w:color w:val="auto"/>
              </w:rPr>
            </w:pPr>
          </w:p>
        </w:tc>
        <w:tc>
          <w:tcPr>
            <w:tcW w:w="180" w:type="dxa"/>
            <w:vAlign w:val="bottom"/>
            <w:tcBorders>
              <w:bottom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bottom w:val="single" w:sz="8" w:color="4C4C4C"/>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Investments</w:t>
            </w:r>
          </w:p>
        </w:tc>
        <w:tc>
          <w:tcPr>
            <w:tcW w:w="2260" w:type="dxa"/>
            <w:vAlign w:val="bottom"/>
            <w:tcBorders>
              <w:bottom w:val="single" w:sz="8" w:color="4C4C4C"/>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Company (Retired)</w:t>
            </w:r>
          </w:p>
        </w:tc>
        <w:tc>
          <w:tcPr>
            <w:tcW w:w="1080" w:type="dxa"/>
            <w:vAlign w:val="bottom"/>
            <w:tcBorders>
              <w:bottom w:val="single" w:sz="8" w:color="4C4C4C"/>
              <w:right w:val="single" w:sz="8" w:color="4C4C4C"/>
            </w:tcBorders>
            <w:shd w:val="clear" w:color="auto" w:fill="E5F6F8"/>
          </w:tcPr>
          <w:p>
            <w:pPr>
              <w:spacing w:after="0"/>
              <w:rPr>
                <w:sz w:val="14"/>
                <w:szCs w:val="14"/>
                <w:color w:val="auto"/>
              </w:rPr>
            </w:pPr>
          </w:p>
        </w:tc>
        <w:tc>
          <w:tcPr>
            <w:tcW w:w="200" w:type="dxa"/>
            <w:vAlign w:val="bottom"/>
            <w:tcBorders>
              <w:bottom w:val="single" w:sz="8" w:color="4C4C4C"/>
            </w:tcBorders>
            <w:shd w:val="clear" w:color="auto" w:fill="E5F6F8"/>
          </w:tcPr>
          <w:p>
            <w:pPr>
              <w:spacing w:after="0"/>
              <w:rPr>
                <w:sz w:val="14"/>
                <w:szCs w:val="14"/>
                <w:color w:val="auto"/>
              </w:rPr>
            </w:pPr>
          </w:p>
        </w:tc>
        <w:tc>
          <w:tcPr>
            <w:tcW w:w="1620" w:type="dxa"/>
            <w:vAlign w:val="bottom"/>
            <w:tcBorders>
              <w:bottom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Corporate Governance</w:t>
            </w:r>
          </w:p>
        </w:tc>
      </w:tr>
      <w:tr>
        <w:trPr>
          <w:trHeight w:val="201"/>
        </w:trPr>
        <w:tc>
          <w:tcPr>
            <w:tcW w:w="2100" w:type="dxa"/>
            <w:vAlign w:val="bottom"/>
            <w:tcBorders>
              <w:right w:val="single" w:sz="8" w:color="4C4C4C"/>
            </w:tcBorders>
          </w:tcPr>
          <w:p>
            <w:pPr>
              <w:ind w:left="100"/>
              <w:spacing w:after="0" w:line="201" w:lineRule="exact"/>
              <w:rPr>
                <w:sz w:val="20"/>
                <w:szCs w:val="20"/>
                <w:color w:val="auto"/>
              </w:rPr>
            </w:pPr>
            <w:r>
              <w:rPr>
                <w:rFonts w:ascii="Arial" w:cs="Arial" w:eastAsia="Arial" w:hAnsi="Arial"/>
                <w:sz w:val="14"/>
                <w:szCs w:val="14"/>
                <w:b w:val="1"/>
                <w:bCs w:val="1"/>
                <w:color w:val="4C4C4C"/>
              </w:rPr>
              <w:t xml:space="preserve">Meg McCarthy </w:t>
            </w:r>
            <w:r>
              <w:rPr>
                <w:rFonts w:ascii="Arial" w:cs="Arial" w:eastAsia="Arial" w:hAnsi="Arial"/>
                <w:sz w:val="23"/>
                <w:szCs w:val="23"/>
                <w:b w:val="1"/>
                <w:bCs w:val="1"/>
                <w:color w:val="4C4C4C"/>
                <w:vertAlign w:val="superscript"/>
              </w:rPr>
              <w:t>(1)</w:t>
            </w:r>
          </w:p>
        </w:tc>
        <w:tc>
          <w:tcPr>
            <w:tcW w:w="500" w:type="dxa"/>
            <w:vAlign w:val="bottom"/>
            <w:tcBorders>
              <w:right w:val="single" w:sz="8" w:color="4C4C4C"/>
            </w:tcBorders>
          </w:tcPr>
          <w:p>
            <w:pPr>
              <w:jc w:val="right"/>
              <w:ind w:right="68"/>
              <w:spacing w:after="0"/>
              <w:rPr>
                <w:sz w:val="20"/>
                <w:szCs w:val="20"/>
                <w:color w:val="auto"/>
              </w:rPr>
            </w:pPr>
            <w:r>
              <w:rPr>
                <w:rFonts w:ascii="Arial" w:cs="Arial" w:eastAsia="Arial" w:hAnsi="Arial"/>
                <w:sz w:val="14"/>
                <w:szCs w:val="14"/>
                <w:color w:val="4C4C4C"/>
              </w:rPr>
              <w:t>67</w:t>
            </w: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Female</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Information Technology and</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Executive Vice President,</w:t>
            </w:r>
          </w:p>
        </w:tc>
        <w:tc>
          <w:tcPr>
            <w:tcW w:w="1080" w:type="dxa"/>
            <w:vAlign w:val="bottom"/>
            <w:tcBorders>
              <w:right w:val="single" w:sz="8" w:color="4C4C4C"/>
            </w:tcBorders>
          </w:tcPr>
          <w:p>
            <w:pPr>
              <w:jc w:val="right"/>
              <w:ind w:right="48"/>
              <w:spacing w:after="0"/>
              <w:rPr>
                <w:sz w:val="20"/>
                <w:szCs w:val="20"/>
                <w:color w:val="auto"/>
              </w:rPr>
            </w:pPr>
            <w:r>
              <w:rPr>
                <w:rFonts w:ascii="Arial" w:cs="Arial" w:eastAsia="Arial" w:hAnsi="Arial"/>
                <w:sz w:val="14"/>
                <w:szCs w:val="14"/>
                <w:color w:val="4C4C4C"/>
              </w:rPr>
              <w:t>Yes</w:t>
            </w: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Audit</w:t>
            </w:r>
          </w:p>
        </w:tc>
      </w:tr>
      <w:tr>
        <w:trPr>
          <w:trHeight w:val="162"/>
        </w:trPr>
        <w:tc>
          <w:tcPr>
            <w:tcW w:w="210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Director since 2018</w:t>
            </w: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tcPr>
          <w:p>
            <w:pPr>
              <w:spacing w:after="0"/>
              <w:rPr>
                <w:sz w:val="14"/>
                <w:szCs w:val="14"/>
                <w:color w:val="auto"/>
              </w:rPr>
            </w:pPr>
          </w:p>
        </w:tc>
        <w:tc>
          <w:tcPr>
            <w:tcW w:w="204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Cybersecurity</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Technology Integration of</w:t>
            </w:r>
          </w:p>
        </w:tc>
        <w:tc>
          <w:tcPr>
            <w:tcW w:w="1080" w:type="dxa"/>
            <w:vAlign w:val="bottom"/>
            <w:tcBorders>
              <w:right w:val="single" w:sz="8" w:color="4C4C4C"/>
            </w:tcBorders>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Finance and Risk</w:t>
            </w: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Operations</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Operations and Technology, CVS</w:t>
            </w:r>
          </w:p>
        </w:tc>
        <w:tc>
          <w:tcPr>
            <w:tcW w:w="1080" w:type="dxa"/>
            <w:vAlign w:val="bottom"/>
            <w:tcBorders>
              <w:right w:val="single" w:sz="8" w:color="4C4C4C"/>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Veteran</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Public Company Board</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Health Corporation (Retired)</w:t>
            </w:r>
          </w:p>
        </w:tc>
        <w:tc>
          <w:tcPr>
            <w:tcW w:w="1080" w:type="dxa"/>
            <w:vAlign w:val="bottom"/>
            <w:tcBorders>
              <w:right w:val="single" w:sz="8" w:color="4C4C4C"/>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Experience</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1"/>
        </w:trPr>
        <w:tc>
          <w:tcPr>
            <w:tcW w:w="2100" w:type="dxa"/>
            <w:vAlign w:val="bottom"/>
            <w:tcBorders>
              <w:bottom w:val="single" w:sz="8" w:color="4C4C4C"/>
              <w:right w:val="single" w:sz="8" w:color="4C4C4C"/>
            </w:tcBorders>
          </w:tcPr>
          <w:p>
            <w:pPr>
              <w:spacing w:after="0"/>
              <w:rPr>
                <w:sz w:val="14"/>
                <w:szCs w:val="14"/>
                <w:color w:val="auto"/>
              </w:rPr>
            </w:pPr>
          </w:p>
        </w:tc>
        <w:tc>
          <w:tcPr>
            <w:tcW w:w="500" w:type="dxa"/>
            <w:vAlign w:val="bottom"/>
            <w:tcBorders>
              <w:bottom w:val="single" w:sz="8" w:color="4C4C4C"/>
              <w:right w:val="single" w:sz="8" w:color="4C4C4C"/>
            </w:tcBorders>
          </w:tcPr>
          <w:p>
            <w:pPr>
              <w:spacing w:after="0"/>
              <w:rPr>
                <w:sz w:val="14"/>
                <w:szCs w:val="14"/>
                <w:color w:val="auto"/>
              </w:rPr>
            </w:pPr>
          </w:p>
        </w:tc>
        <w:tc>
          <w:tcPr>
            <w:tcW w:w="104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bottom w:val="single" w:sz="8" w:color="4C4C4C"/>
              <w:right w:val="single" w:sz="8" w:color="4C4C4C"/>
            </w:tcBorders>
          </w:tcPr>
          <w:p>
            <w:pPr>
              <w:ind w:left="60"/>
              <w:spacing w:after="0"/>
              <w:rPr>
                <w:sz w:val="20"/>
                <w:szCs w:val="20"/>
                <w:color w:val="auto"/>
              </w:rPr>
            </w:pPr>
            <w:r>
              <w:rPr>
                <w:rFonts w:ascii="Arial" w:cs="Arial" w:eastAsia="Arial" w:hAnsi="Arial"/>
                <w:sz w:val="14"/>
                <w:szCs w:val="14"/>
                <w:color w:val="4C4C4C"/>
              </w:rPr>
              <w:t>Risk Management</w:t>
            </w:r>
          </w:p>
        </w:tc>
        <w:tc>
          <w:tcPr>
            <w:tcW w:w="2260" w:type="dxa"/>
            <w:vAlign w:val="bottom"/>
            <w:tcBorders>
              <w:bottom w:val="single" w:sz="8" w:color="4C4C4C"/>
              <w:right w:val="single" w:sz="8" w:color="4C4C4C"/>
            </w:tcBorders>
          </w:tcPr>
          <w:p>
            <w:pPr>
              <w:spacing w:after="0"/>
              <w:rPr>
                <w:sz w:val="14"/>
                <w:szCs w:val="14"/>
                <w:color w:val="auto"/>
              </w:rPr>
            </w:pPr>
          </w:p>
        </w:tc>
        <w:tc>
          <w:tcPr>
            <w:tcW w:w="1080" w:type="dxa"/>
            <w:vAlign w:val="bottom"/>
            <w:tcBorders>
              <w:bottom w:val="single" w:sz="8" w:color="4C4C4C"/>
              <w:right w:val="single" w:sz="8" w:color="4C4C4C"/>
            </w:tcBorders>
          </w:tcPr>
          <w:p>
            <w:pPr>
              <w:spacing w:after="0"/>
              <w:rPr>
                <w:sz w:val="14"/>
                <w:szCs w:val="14"/>
                <w:color w:val="auto"/>
              </w:rPr>
            </w:pPr>
          </w:p>
        </w:tc>
        <w:tc>
          <w:tcPr>
            <w:tcW w:w="200" w:type="dxa"/>
            <w:vAlign w:val="bottom"/>
            <w:tcBorders>
              <w:bottom w:val="single" w:sz="8" w:color="4C4C4C"/>
            </w:tcBorders>
          </w:tcPr>
          <w:p>
            <w:pPr>
              <w:spacing w:after="0"/>
              <w:rPr>
                <w:sz w:val="14"/>
                <w:szCs w:val="14"/>
                <w:color w:val="auto"/>
              </w:rPr>
            </w:pPr>
          </w:p>
        </w:tc>
        <w:tc>
          <w:tcPr>
            <w:tcW w:w="1620" w:type="dxa"/>
            <w:vAlign w:val="bottom"/>
            <w:tcBorders>
              <w:bottom w:val="single" w:sz="8" w:color="4C4C4C"/>
            </w:tcBorders>
          </w:tcPr>
          <w:p>
            <w:pPr>
              <w:spacing w:after="0"/>
              <w:rPr>
                <w:sz w:val="14"/>
                <w:szCs w:val="14"/>
                <w:color w:val="auto"/>
              </w:rPr>
            </w:pPr>
          </w:p>
        </w:tc>
      </w:tr>
      <w:tr>
        <w:trPr>
          <w:trHeight w:val="201"/>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b w:val="1"/>
                <w:bCs w:val="1"/>
                <w:color w:val="4C4C4C"/>
              </w:rPr>
              <w:t>Diane Offereins</w:t>
            </w:r>
          </w:p>
        </w:tc>
        <w:tc>
          <w:tcPr>
            <w:tcW w:w="500" w:type="dxa"/>
            <w:vAlign w:val="bottom"/>
            <w:tcBorders>
              <w:right w:val="single" w:sz="8" w:color="4C4C4C"/>
            </w:tcBorders>
            <w:shd w:val="clear" w:color="auto" w:fill="E5F6F8"/>
          </w:tcPr>
          <w:p>
            <w:pPr>
              <w:jc w:val="right"/>
              <w:ind w:right="68"/>
              <w:spacing w:after="0"/>
              <w:rPr>
                <w:sz w:val="20"/>
                <w:szCs w:val="20"/>
                <w:color w:val="auto"/>
              </w:rPr>
            </w:pPr>
            <w:r>
              <w:rPr>
                <w:rFonts w:ascii="Arial" w:cs="Arial" w:eastAsia="Arial" w:hAnsi="Arial"/>
                <w:sz w:val="14"/>
                <w:szCs w:val="14"/>
                <w:color w:val="4C4C4C"/>
              </w:rPr>
              <w:t>63</w:t>
            </w: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Female</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Information Technology and</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Executive Vice President and</w:t>
            </w:r>
          </w:p>
        </w:tc>
        <w:tc>
          <w:tcPr>
            <w:tcW w:w="1080" w:type="dxa"/>
            <w:vAlign w:val="bottom"/>
            <w:tcBorders>
              <w:right w:val="single" w:sz="8" w:color="4C4C4C"/>
            </w:tcBorders>
            <w:shd w:val="clear" w:color="auto" w:fill="E5F6F8"/>
          </w:tcPr>
          <w:p>
            <w:pPr>
              <w:jc w:val="right"/>
              <w:ind w:right="48"/>
              <w:spacing w:after="0"/>
              <w:rPr>
                <w:sz w:val="20"/>
                <w:szCs w:val="20"/>
                <w:color w:val="auto"/>
              </w:rPr>
            </w:pPr>
            <w:r>
              <w:rPr>
                <w:rFonts w:ascii="Arial" w:cs="Arial" w:eastAsia="Arial" w:hAnsi="Arial"/>
                <w:sz w:val="14"/>
                <w:szCs w:val="14"/>
                <w:color w:val="4C4C4C"/>
              </w:rPr>
              <w:t>Yes</w:t>
            </w: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Compensation and</w:t>
            </w:r>
          </w:p>
        </w:tc>
      </w:tr>
      <w:tr>
        <w:trPr>
          <w:trHeight w:val="162"/>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Director since 2017</w:t>
            </w: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shd w:val="clear" w:color="auto" w:fill="E5F6F8"/>
          </w:tcPr>
          <w:p>
            <w:pPr>
              <w:spacing w:after="0"/>
              <w:rPr>
                <w:sz w:val="14"/>
                <w:szCs w:val="14"/>
                <w:color w:val="auto"/>
              </w:rPr>
            </w:pPr>
          </w:p>
        </w:tc>
        <w:tc>
          <w:tcPr>
            <w:tcW w:w="204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Cybersecurity</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President – Payments Services,</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Human Capital (Chair)</w:t>
            </w: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Financial Services Industry</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Discover Financial Services</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Finance and Risk</w:t>
            </w: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Compensation and Human</w:t>
            </w:r>
          </w:p>
        </w:tc>
        <w:tc>
          <w:tcPr>
            <w:tcW w:w="2260" w:type="dxa"/>
            <w:vAlign w:val="bottom"/>
            <w:tcBorders>
              <w:right w:val="single" w:sz="8" w:color="4C4C4C"/>
            </w:tcBorders>
            <w:shd w:val="clear" w:color="auto" w:fill="E5F6F8"/>
          </w:tcPr>
          <w:p>
            <w:pPr>
              <w:spacing w:after="0"/>
              <w:rPr>
                <w:sz w:val="14"/>
                <w:szCs w:val="14"/>
                <w:color w:val="auto"/>
              </w:rPr>
            </w:pP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Nominating and</w:t>
            </w: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spacing w:after="0"/>
              <w:rPr>
                <w:sz w:val="14"/>
                <w:szCs w:val="14"/>
                <w:color w:val="auto"/>
              </w:rPr>
            </w:pPr>
          </w:p>
        </w:tc>
        <w:tc>
          <w:tcPr>
            <w:tcW w:w="204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Capital</w:t>
            </w:r>
          </w:p>
        </w:tc>
        <w:tc>
          <w:tcPr>
            <w:tcW w:w="2260" w:type="dxa"/>
            <w:vAlign w:val="bottom"/>
            <w:tcBorders>
              <w:right w:val="single" w:sz="8" w:color="4C4C4C"/>
            </w:tcBorders>
            <w:shd w:val="clear" w:color="auto" w:fill="E5F6F8"/>
          </w:tcPr>
          <w:p>
            <w:pPr>
              <w:spacing w:after="0"/>
              <w:rPr>
                <w:sz w:val="14"/>
                <w:szCs w:val="14"/>
                <w:color w:val="auto"/>
              </w:rPr>
            </w:pP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Corporate Governance</w:t>
            </w:r>
          </w:p>
        </w:tc>
      </w:tr>
      <w:tr>
        <w:trPr>
          <w:trHeight w:val="171"/>
        </w:trPr>
        <w:tc>
          <w:tcPr>
            <w:tcW w:w="2100" w:type="dxa"/>
            <w:vAlign w:val="bottom"/>
            <w:tcBorders>
              <w:bottom w:val="single" w:sz="8" w:color="4C4C4C"/>
              <w:right w:val="single" w:sz="8" w:color="4C4C4C"/>
            </w:tcBorders>
            <w:shd w:val="clear" w:color="auto" w:fill="E5F6F8"/>
          </w:tcPr>
          <w:p>
            <w:pPr>
              <w:spacing w:after="0"/>
              <w:rPr>
                <w:sz w:val="14"/>
                <w:szCs w:val="14"/>
                <w:color w:val="auto"/>
              </w:rPr>
            </w:pPr>
          </w:p>
        </w:tc>
        <w:tc>
          <w:tcPr>
            <w:tcW w:w="500" w:type="dxa"/>
            <w:vAlign w:val="bottom"/>
            <w:tcBorders>
              <w:bottom w:val="single" w:sz="8" w:color="4C4C4C"/>
              <w:right w:val="single" w:sz="8" w:color="4C4C4C"/>
            </w:tcBorders>
            <w:shd w:val="clear" w:color="auto" w:fill="E5F6F8"/>
          </w:tcPr>
          <w:p>
            <w:pPr>
              <w:spacing w:after="0"/>
              <w:rPr>
                <w:sz w:val="14"/>
                <w:szCs w:val="14"/>
                <w:color w:val="auto"/>
              </w:rPr>
            </w:pPr>
          </w:p>
        </w:tc>
        <w:tc>
          <w:tcPr>
            <w:tcW w:w="1040" w:type="dxa"/>
            <w:vAlign w:val="bottom"/>
            <w:tcBorders>
              <w:bottom w:val="single" w:sz="8" w:color="4C4C4C"/>
              <w:right w:val="single" w:sz="8" w:color="4C4C4C"/>
            </w:tcBorders>
            <w:shd w:val="clear" w:color="auto" w:fill="E5F6F8"/>
          </w:tcPr>
          <w:p>
            <w:pPr>
              <w:spacing w:after="0"/>
              <w:rPr>
                <w:sz w:val="14"/>
                <w:szCs w:val="14"/>
                <w:color w:val="auto"/>
              </w:rPr>
            </w:pPr>
          </w:p>
        </w:tc>
        <w:tc>
          <w:tcPr>
            <w:tcW w:w="180" w:type="dxa"/>
            <w:vAlign w:val="bottom"/>
            <w:tcBorders>
              <w:bottom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bottom w:val="single" w:sz="8" w:color="4C4C4C"/>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Legal and Regulatory</w:t>
            </w:r>
          </w:p>
        </w:tc>
        <w:tc>
          <w:tcPr>
            <w:tcW w:w="2260" w:type="dxa"/>
            <w:vAlign w:val="bottom"/>
            <w:tcBorders>
              <w:bottom w:val="single" w:sz="8" w:color="4C4C4C"/>
              <w:right w:val="single" w:sz="8" w:color="4C4C4C"/>
            </w:tcBorders>
            <w:shd w:val="clear" w:color="auto" w:fill="E5F6F8"/>
          </w:tcPr>
          <w:p>
            <w:pPr>
              <w:spacing w:after="0"/>
              <w:rPr>
                <w:sz w:val="14"/>
                <w:szCs w:val="14"/>
                <w:color w:val="auto"/>
              </w:rPr>
            </w:pPr>
          </w:p>
        </w:tc>
        <w:tc>
          <w:tcPr>
            <w:tcW w:w="1080" w:type="dxa"/>
            <w:vAlign w:val="bottom"/>
            <w:tcBorders>
              <w:bottom w:val="single" w:sz="8" w:color="4C4C4C"/>
              <w:right w:val="single" w:sz="8" w:color="4C4C4C"/>
            </w:tcBorders>
            <w:shd w:val="clear" w:color="auto" w:fill="E5F6F8"/>
          </w:tcPr>
          <w:p>
            <w:pPr>
              <w:spacing w:after="0"/>
              <w:rPr>
                <w:sz w:val="14"/>
                <w:szCs w:val="14"/>
                <w:color w:val="auto"/>
              </w:rPr>
            </w:pPr>
          </w:p>
        </w:tc>
        <w:tc>
          <w:tcPr>
            <w:tcW w:w="200" w:type="dxa"/>
            <w:vAlign w:val="bottom"/>
            <w:tcBorders>
              <w:bottom w:val="single" w:sz="8" w:color="4C4C4C"/>
            </w:tcBorders>
            <w:shd w:val="clear" w:color="auto" w:fill="E5F6F8"/>
          </w:tcPr>
          <w:p>
            <w:pPr>
              <w:spacing w:after="0"/>
              <w:rPr>
                <w:sz w:val="14"/>
                <w:szCs w:val="14"/>
                <w:color w:val="auto"/>
              </w:rPr>
            </w:pPr>
          </w:p>
        </w:tc>
        <w:tc>
          <w:tcPr>
            <w:tcW w:w="1620" w:type="dxa"/>
            <w:vAlign w:val="bottom"/>
            <w:tcBorders>
              <w:bottom w:val="single" w:sz="8" w:color="4C4C4C"/>
            </w:tcBorders>
            <w:shd w:val="clear" w:color="auto" w:fill="E5F6F8"/>
          </w:tcPr>
          <w:p>
            <w:pPr>
              <w:spacing w:after="0"/>
              <w:rPr>
                <w:sz w:val="14"/>
                <w:szCs w:val="14"/>
                <w:color w:val="auto"/>
              </w:rPr>
            </w:pPr>
          </w:p>
        </w:tc>
      </w:tr>
      <w:tr>
        <w:trPr>
          <w:trHeight w:val="201"/>
        </w:trPr>
        <w:tc>
          <w:tcPr>
            <w:tcW w:w="2100" w:type="dxa"/>
            <w:vAlign w:val="bottom"/>
            <w:tcBorders>
              <w:right w:val="single" w:sz="8" w:color="4C4C4C"/>
            </w:tcBorders>
          </w:tcPr>
          <w:p>
            <w:pPr>
              <w:ind w:left="100"/>
              <w:spacing w:after="0"/>
              <w:rPr>
                <w:sz w:val="20"/>
                <w:szCs w:val="20"/>
                <w:color w:val="auto"/>
              </w:rPr>
            </w:pPr>
            <w:r>
              <w:rPr>
                <w:rFonts w:ascii="Arial" w:cs="Arial" w:eastAsia="Arial" w:hAnsi="Arial"/>
                <w:sz w:val="14"/>
                <w:szCs w:val="14"/>
                <w:b w:val="1"/>
                <w:bCs w:val="1"/>
                <w:color w:val="4C4C4C"/>
              </w:rPr>
              <w:t>Pat Shouvlin</w:t>
            </w:r>
          </w:p>
        </w:tc>
        <w:tc>
          <w:tcPr>
            <w:tcW w:w="500" w:type="dxa"/>
            <w:vAlign w:val="bottom"/>
            <w:tcBorders>
              <w:right w:val="single" w:sz="8" w:color="4C4C4C"/>
            </w:tcBorders>
          </w:tcPr>
          <w:p>
            <w:pPr>
              <w:jc w:val="right"/>
              <w:ind w:right="68"/>
              <w:spacing w:after="0"/>
              <w:rPr>
                <w:sz w:val="20"/>
                <w:szCs w:val="20"/>
                <w:color w:val="auto"/>
              </w:rPr>
            </w:pPr>
            <w:r>
              <w:rPr>
                <w:rFonts w:ascii="Arial" w:cs="Arial" w:eastAsia="Arial" w:hAnsi="Arial"/>
                <w:sz w:val="14"/>
                <w:szCs w:val="14"/>
                <w:color w:val="4C4C4C"/>
              </w:rPr>
              <w:t>70</w:t>
            </w: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Male</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40"/>
              <w:spacing w:after="0"/>
              <w:rPr>
                <w:sz w:val="20"/>
                <w:szCs w:val="20"/>
                <w:color w:val="auto"/>
              </w:rPr>
            </w:pPr>
            <w:r>
              <w:rPr>
                <w:rFonts w:ascii="Arial" w:cs="Arial" w:eastAsia="Arial" w:hAnsi="Arial"/>
                <w:sz w:val="14"/>
                <w:szCs w:val="14"/>
                <w:color w:val="4C4C4C"/>
              </w:rPr>
              <w:t>Accounting and Auditing</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Partner, PricewaterhouseCoopers</w:t>
            </w:r>
          </w:p>
        </w:tc>
        <w:tc>
          <w:tcPr>
            <w:tcW w:w="1080" w:type="dxa"/>
            <w:vAlign w:val="bottom"/>
            <w:tcBorders>
              <w:right w:val="single" w:sz="8" w:color="4C4C4C"/>
            </w:tcBorders>
          </w:tcPr>
          <w:p>
            <w:pPr>
              <w:jc w:val="right"/>
              <w:ind w:right="48"/>
              <w:spacing w:after="0"/>
              <w:rPr>
                <w:sz w:val="20"/>
                <w:szCs w:val="20"/>
                <w:color w:val="auto"/>
              </w:rPr>
            </w:pPr>
            <w:r>
              <w:rPr>
                <w:rFonts w:ascii="Arial" w:cs="Arial" w:eastAsia="Arial" w:hAnsi="Arial"/>
                <w:sz w:val="14"/>
                <w:szCs w:val="14"/>
                <w:color w:val="4C4C4C"/>
              </w:rPr>
              <w:t>Yes</w:t>
            </w: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Audit (Chair)</w:t>
            </w:r>
          </w:p>
        </w:tc>
      </w:tr>
      <w:tr>
        <w:trPr>
          <w:trHeight w:val="162"/>
        </w:trPr>
        <w:tc>
          <w:tcPr>
            <w:tcW w:w="210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Director since 2017</w:t>
            </w: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Insurance Industry</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LLP (Retired)</w:t>
            </w:r>
          </w:p>
        </w:tc>
        <w:tc>
          <w:tcPr>
            <w:tcW w:w="1080" w:type="dxa"/>
            <w:vAlign w:val="bottom"/>
            <w:tcBorders>
              <w:right w:val="single" w:sz="8" w:color="4C4C4C"/>
            </w:tcBorders>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Executive</w:t>
            </w: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Investments</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Investment</w:t>
            </w:r>
          </w:p>
        </w:tc>
      </w:tr>
      <w:tr>
        <w:trPr>
          <w:trHeight w:val="171"/>
        </w:trPr>
        <w:tc>
          <w:tcPr>
            <w:tcW w:w="2100" w:type="dxa"/>
            <w:vAlign w:val="bottom"/>
            <w:tcBorders>
              <w:bottom w:val="single" w:sz="8" w:color="4C4C4C"/>
              <w:right w:val="single" w:sz="8" w:color="4C4C4C"/>
            </w:tcBorders>
          </w:tcPr>
          <w:p>
            <w:pPr>
              <w:spacing w:after="0"/>
              <w:rPr>
                <w:sz w:val="14"/>
                <w:szCs w:val="14"/>
                <w:color w:val="auto"/>
              </w:rPr>
            </w:pPr>
          </w:p>
        </w:tc>
        <w:tc>
          <w:tcPr>
            <w:tcW w:w="500" w:type="dxa"/>
            <w:vAlign w:val="bottom"/>
            <w:tcBorders>
              <w:bottom w:val="single" w:sz="8" w:color="4C4C4C"/>
              <w:right w:val="single" w:sz="8" w:color="4C4C4C"/>
            </w:tcBorders>
          </w:tcPr>
          <w:p>
            <w:pPr>
              <w:spacing w:after="0"/>
              <w:rPr>
                <w:sz w:val="14"/>
                <w:szCs w:val="14"/>
                <w:color w:val="auto"/>
              </w:rPr>
            </w:pPr>
          </w:p>
        </w:tc>
        <w:tc>
          <w:tcPr>
            <w:tcW w:w="104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bottom w:val="single" w:sz="8" w:color="4C4C4C"/>
              <w:right w:val="single" w:sz="8" w:color="4C4C4C"/>
            </w:tcBorders>
          </w:tcPr>
          <w:p>
            <w:pPr>
              <w:ind w:left="60"/>
              <w:spacing w:after="0"/>
              <w:rPr>
                <w:sz w:val="20"/>
                <w:szCs w:val="20"/>
                <w:color w:val="auto"/>
              </w:rPr>
            </w:pPr>
            <w:r>
              <w:rPr>
                <w:rFonts w:ascii="Arial" w:cs="Arial" w:eastAsia="Arial" w:hAnsi="Arial"/>
                <w:sz w:val="14"/>
                <w:szCs w:val="14"/>
                <w:color w:val="4C4C4C"/>
              </w:rPr>
              <w:t>Risk Management</w:t>
            </w:r>
          </w:p>
        </w:tc>
        <w:tc>
          <w:tcPr>
            <w:tcW w:w="2260" w:type="dxa"/>
            <w:vAlign w:val="bottom"/>
            <w:tcBorders>
              <w:bottom w:val="single" w:sz="8" w:color="4C4C4C"/>
              <w:right w:val="single" w:sz="8" w:color="4C4C4C"/>
            </w:tcBorders>
          </w:tcPr>
          <w:p>
            <w:pPr>
              <w:spacing w:after="0"/>
              <w:rPr>
                <w:sz w:val="14"/>
                <w:szCs w:val="14"/>
                <w:color w:val="auto"/>
              </w:rPr>
            </w:pPr>
          </w:p>
        </w:tc>
        <w:tc>
          <w:tcPr>
            <w:tcW w:w="1080" w:type="dxa"/>
            <w:vAlign w:val="bottom"/>
            <w:tcBorders>
              <w:bottom w:val="single" w:sz="8" w:color="4C4C4C"/>
              <w:right w:val="single" w:sz="8" w:color="4C4C4C"/>
            </w:tcBorders>
          </w:tcPr>
          <w:p>
            <w:pPr>
              <w:spacing w:after="0"/>
              <w:rPr>
                <w:sz w:val="14"/>
                <w:szCs w:val="14"/>
                <w:color w:val="auto"/>
              </w:rPr>
            </w:pPr>
          </w:p>
        </w:tc>
        <w:tc>
          <w:tcPr>
            <w:tcW w:w="200" w:type="dxa"/>
            <w:vAlign w:val="bottom"/>
            <w:tcBorders>
              <w:bottom w:val="single" w:sz="8" w:color="4C4C4C"/>
            </w:tcBorders>
          </w:tcPr>
          <w:p>
            <w:pPr>
              <w:spacing w:after="0"/>
              <w:rPr>
                <w:sz w:val="14"/>
                <w:szCs w:val="14"/>
                <w:color w:val="auto"/>
              </w:rPr>
            </w:pPr>
          </w:p>
        </w:tc>
        <w:tc>
          <w:tcPr>
            <w:tcW w:w="1620" w:type="dxa"/>
            <w:vAlign w:val="bottom"/>
            <w:tcBorders>
              <w:bottom w:val="single" w:sz="8" w:color="4C4C4C"/>
            </w:tcBorders>
          </w:tcPr>
          <w:p>
            <w:pPr>
              <w:spacing w:after="0"/>
              <w:rPr>
                <w:sz w:val="14"/>
                <w:szCs w:val="14"/>
                <w:color w:val="auto"/>
              </w:rPr>
            </w:pPr>
          </w:p>
        </w:tc>
      </w:tr>
      <w:tr>
        <w:trPr>
          <w:trHeight w:val="201"/>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b w:val="1"/>
                <w:bCs w:val="1"/>
                <w:color w:val="4C4C4C"/>
              </w:rPr>
              <w:t>Eric Steigerwalt</w:t>
            </w:r>
          </w:p>
        </w:tc>
        <w:tc>
          <w:tcPr>
            <w:tcW w:w="500" w:type="dxa"/>
            <w:vAlign w:val="bottom"/>
            <w:tcBorders>
              <w:right w:val="single" w:sz="8" w:color="4C4C4C"/>
            </w:tcBorders>
            <w:shd w:val="clear" w:color="auto" w:fill="E5F6F8"/>
          </w:tcPr>
          <w:p>
            <w:pPr>
              <w:jc w:val="right"/>
              <w:ind w:right="68"/>
              <w:spacing w:after="0"/>
              <w:rPr>
                <w:sz w:val="20"/>
                <w:szCs w:val="20"/>
                <w:color w:val="auto"/>
              </w:rPr>
            </w:pPr>
            <w:r>
              <w:rPr>
                <w:rFonts w:ascii="Arial" w:cs="Arial" w:eastAsia="Arial" w:hAnsi="Arial"/>
                <w:sz w:val="14"/>
                <w:szCs w:val="14"/>
                <w:color w:val="4C4C4C"/>
              </w:rPr>
              <w:t>59</w:t>
            </w: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Male</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Deep knowledge of</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President and Chief Executive</w:t>
            </w:r>
          </w:p>
        </w:tc>
        <w:tc>
          <w:tcPr>
            <w:tcW w:w="1080" w:type="dxa"/>
            <w:vAlign w:val="bottom"/>
            <w:tcBorders>
              <w:right w:val="single" w:sz="8" w:color="4C4C4C"/>
            </w:tcBorders>
            <w:shd w:val="clear" w:color="auto" w:fill="E5F6F8"/>
          </w:tcPr>
          <w:p>
            <w:pPr>
              <w:jc w:val="right"/>
              <w:ind w:right="48"/>
              <w:spacing w:after="0"/>
              <w:rPr>
                <w:sz w:val="20"/>
                <w:szCs w:val="20"/>
                <w:color w:val="auto"/>
              </w:rPr>
            </w:pPr>
            <w:r>
              <w:rPr>
                <w:rFonts w:ascii="Arial" w:cs="Arial" w:eastAsia="Arial" w:hAnsi="Arial"/>
                <w:sz w:val="14"/>
                <w:szCs w:val="14"/>
                <w:color w:val="4C4C4C"/>
              </w:rPr>
              <w:t>No</w:t>
            </w:r>
          </w:p>
        </w:tc>
        <w:tc>
          <w:tcPr>
            <w:tcW w:w="20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620" w:type="dxa"/>
            <w:vAlign w:val="bottom"/>
            <w:shd w:val="clear" w:color="auto" w:fill="E5F6F8"/>
          </w:tcPr>
          <w:p>
            <w:pPr>
              <w:ind w:left="40"/>
              <w:spacing w:after="0"/>
              <w:rPr>
                <w:sz w:val="20"/>
                <w:szCs w:val="20"/>
                <w:color w:val="auto"/>
              </w:rPr>
            </w:pPr>
            <w:r>
              <w:rPr>
                <w:rFonts w:ascii="Arial" w:cs="Arial" w:eastAsia="Arial" w:hAnsi="Arial"/>
                <w:sz w:val="14"/>
                <w:szCs w:val="14"/>
                <w:color w:val="4C4C4C"/>
              </w:rPr>
              <w:t>Executive (Chair)</w:t>
            </w:r>
          </w:p>
        </w:tc>
      </w:tr>
      <w:tr>
        <w:trPr>
          <w:trHeight w:val="162"/>
        </w:trPr>
        <w:tc>
          <w:tcPr>
            <w:tcW w:w="2100" w:type="dxa"/>
            <w:vAlign w:val="bottom"/>
            <w:tcBorders>
              <w:right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Director since 2016</w:t>
            </w: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shd w:val="clear" w:color="auto" w:fill="E5F6F8"/>
          </w:tcPr>
          <w:p>
            <w:pPr>
              <w:spacing w:after="0"/>
              <w:rPr>
                <w:sz w:val="14"/>
                <w:szCs w:val="14"/>
                <w:color w:val="auto"/>
              </w:rPr>
            </w:pPr>
          </w:p>
        </w:tc>
        <w:tc>
          <w:tcPr>
            <w:tcW w:w="2040" w:type="dxa"/>
            <w:vAlign w:val="bottom"/>
            <w:tcBorders>
              <w:right w:val="single" w:sz="8" w:color="4C4C4C"/>
            </w:tcBorders>
            <w:shd w:val="clear" w:color="auto" w:fill="E5F6F8"/>
          </w:tcPr>
          <w:p>
            <w:pPr>
              <w:ind w:left="40"/>
              <w:spacing w:after="0"/>
              <w:rPr>
                <w:sz w:val="20"/>
                <w:szCs w:val="20"/>
                <w:color w:val="auto"/>
              </w:rPr>
            </w:pPr>
            <w:r>
              <w:rPr>
                <w:rFonts w:ascii="Arial" w:cs="Arial" w:eastAsia="Arial" w:hAnsi="Arial"/>
                <w:sz w:val="14"/>
                <w:szCs w:val="14"/>
                <w:color w:val="4C4C4C"/>
              </w:rPr>
              <w:t>Brighthouse’s business</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Officer, Brighthouse Financial,</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spacing w:after="0"/>
              <w:rPr>
                <w:sz w:val="14"/>
                <w:szCs w:val="14"/>
                <w:color w:val="auto"/>
              </w:rPr>
            </w:pP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Insurance Industry</w:t>
            </w:r>
          </w:p>
        </w:tc>
        <w:tc>
          <w:tcPr>
            <w:tcW w:w="2260" w:type="dxa"/>
            <w:vAlign w:val="bottom"/>
            <w:tcBorders>
              <w:right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Inc.</w:t>
            </w: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spacing w:after="0"/>
              <w:rPr>
                <w:sz w:val="14"/>
                <w:szCs w:val="14"/>
                <w:color w:val="auto"/>
              </w:rPr>
            </w:pP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Leadership</w:t>
            </w:r>
          </w:p>
        </w:tc>
        <w:tc>
          <w:tcPr>
            <w:tcW w:w="2260" w:type="dxa"/>
            <w:vAlign w:val="bottom"/>
            <w:tcBorders>
              <w:right w:val="single" w:sz="8" w:color="4C4C4C"/>
            </w:tcBorders>
            <w:shd w:val="clear" w:color="auto" w:fill="E5F6F8"/>
          </w:tcPr>
          <w:p>
            <w:pPr>
              <w:spacing w:after="0"/>
              <w:rPr>
                <w:sz w:val="14"/>
                <w:szCs w:val="14"/>
                <w:color w:val="auto"/>
              </w:rPr>
            </w:pP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spacing w:after="0"/>
              <w:rPr>
                <w:sz w:val="14"/>
                <w:szCs w:val="14"/>
                <w:color w:val="auto"/>
              </w:rPr>
            </w:pPr>
          </w:p>
        </w:tc>
      </w:tr>
      <w:tr>
        <w:trPr>
          <w:trHeight w:val="162"/>
        </w:trPr>
        <w:tc>
          <w:tcPr>
            <w:tcW w:w="2100" w:type="dxa"/>
            <w:vAlign w:val="bottom"/>
            <w:tcBorders>
              <w:right w:val="single" w:sz="8" w:color="4C4C4C"/>
            </w:tcBorders>
            <w:shd w:val="clear" w:color="auto" w:fill="E5F6F8"/>
          </w:tcPr>
          <w:p>
            <w:pPr>
              <w:spacing w:after="0"/>
              <w:rPr>
                <w:sz w:val="14"/>
                <w:szCs w:val="14"/>
                <w:color w:val="auto"/>
              </w:rPr>
            </w:pPr>
          </w:p>
        </w:tc>
        <w:tc>
          <w:tcPr>
            <w:tcW w:w="500" w:type="dxa"/>
            <w:vAlign w:val="bottom"/>
            <w:tcBorders>
              <w:right w:val="single" w:sz="8" w:color="4C4C4C"/>
            </w:tcBorders>
            <w:shd w:val="clear" w:color="auto" w:fill="E5F6F8"/>
          </w:tcPr>
          <w:p>
            <w:pPr>
              <w:spacing w:after="0"/>
              <w:rPr>
                <w:sz w:val="14"/>
                <w:szCs w:val="14"/>
                <w:color w:val="auto"/>
              </w:rPr>
            </w:pPr>
          </w:p>
        </w:tc>
        <w:tc>
          <w:tcPr>
            <w:tcW w:w="1040" w:type="dxa"/>
            <w:vAlign w:val="bottom"/>
            <w:tcBorders>
              <w:right w:val="single" w:sz="8" w:color="4C4C4C"/>
            </w:tcBorders>
            <w:shd w:val="clear" w:color="auto" w:fill="E5F6F8"/>
          </w:tcPr>
          <w:p>
            <w:pPr>
              <w:spacing w:after="0"/>
              <w:rPr>
                <w:sz w:val="14"/>
                <w:szCs w:val="14"/>
                <w:color w:val="auto"/>
              </w:rPr>
            </w:pPr>
          </w:p>
        </w:tc>
        <w:tc>
          <w:tcPr>
            <w:tcW w:w="180" w:type="dxa"/>
            <w:vAlign w:val="bottom"/>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Corporate Strategy</w:t>
            </w:r>
          </w:p>
        </w:tc>
        <w:tc>
          <w:tcPr>
            <w:tcW w:w="2260" w:type="dxa"/>
            <w:vAlign w:val="bottom"/>
            <w:tcBorders>
              <w:right w:val="single" w:sz="8" w:color="4C4C4C"/>
            </w:tcBorders>
            <w:shd w:val="clear" w:color="auto" w:fill="E5F6F8"/>
          </w:tcPr>
          <w:p>
            <w:pPr>
              <w:spacing w:after="0"/>
              <w:rPr>
                <w:sz w:val="14"/>
                <w:szCs w:val="14"/>
                <w:color w:val="auto"/>
              </w:rPr>
            </w:pPr>
          </w:p>
        </w:tc>
        <w:tc>
          <w:tcPr>
            <w:tcW w:w="1080" w:type="dxa"/>
            <w:vAlign w:val="bottom"/>
            <w:tcBorders>
              <w:right w:val="single" w:sz="8" w:color="4C4C4C"/>
            </w:tcBorders>
            <w:shd w:val="clear" w:color="auto" w:fill="E5F6F8"/>
          </w:tcPr>
          <w:p>
            <w:pPr>
              <w:spacing w:after="0"/>
              <w:rPr>
                <w:sz w:val="14"/>
                <w:szCs w:val="14"/>
                <w:color w:val="auto"/>
              </w:rPr>
            </w:pPr>
          </w:p>
        </w:tc>
        <w:tc>
          <w:tcPr>
            <w:tcW w:w="200" w:type="dxa"/>
            <w:vAlign w:val="bottom"/>
            <w:shd w:val="clear" w:color="auto" w:fill="E5F6F8"/>
          </w:tcPr>
          <w:p>
            <w:pPr>
              <w:spacing w:after="0"/>
              <w:rPr>
                <w:sz w:val="14"/>
                <w:szCs w:val="14"/>
                <w:color w:val="auto"/>
              </w:rPr>
            </w:pPr>
          </w:p>
        </w:tc>
        <w:tc>
          <w:tcPr>
            <w:tcW w:w="1620" w:type="dxa"/>
            <w:vAlign w:val="bottom"/>
            <w:shd w:val="clear" w:color="auto" w:fill="E5F6F8"/>
          </w:tcPr>
          <w:p>
            <w:pPr>
              <w:spacing w:after="0"/>
              <w:rPr>
                <w:sz w:val="14"/>
                <w:szCs w:val="14"/>
                <w:color w:val="auto"/>
              </w:rPr>
            </w:pPr>
          </w:p>
        </w:tc>
      </w:tr>
      <w:tr>
        <w:trPr>
          <w:trHeight w:val="171"/>
        </w:trPr>
        <w:tc>
          <w:tcPr>
            <w:tcW w:w="2100" w:type="dxa"/>
            <w:vAlign w:val="bottom"/>
            <w:tcBorders>
              <w:bottom w:val="single" w:sz="8" w:color="4C4C4C"/>
              <w:right w:val="single" w:sz="8" w:color="4C4C4C"/>
            </w:tcBorders>
            <w:shd w:val="clear" w:color="auto" w:fill="E5F6F8"/>
          </w:tcPr>
          <w:p>
            <w:pPr>
              <w:spacing w:after="0"/>
              <w:rPr>
                <w:sz w:val="14"/>
                <w:szCs w:val="14"/>
                <w:color w:val="auto"/>
              </w:rPr>
            </w:pPr>
          </w:p>
        </w:tc>
        <w:tc>
          <w:tcPr>
            <w:tcW w:w="500" w:type="dxa"/>
            <w:vAlign w:val="bottom"/>
            <w:tcBorders>
              <w:bottom w:val="single" w:sz="8" w:color="4C4C4C"/>
              <w:right w:val="single" w:sz="8" w:color="4C4C4C"/>
            </w:tcBorders>
            <w:shd w:val="clear" w:color="auto" w:fill="E5F6F8"/>
          </w:tcPr>
          <w:p>
            <w:pPr>
              <w:spacing w:after="0"/>
              <w:rPr>
                <w:sz w:val="14"/>
                <w:szCs w:val="14"/>
                <w:color w:val="auto"/>
              </w:rPr>
            </w:pPr>
          </w:p>
        </w:tc>
        <w:tc>
          <w:tcPr>
            <w:tcW w:w="1040" w:type="dxa"/>
            <w:vAlign w:val="bottom"/>
            <w:tcBorders>
              <w:bottom w:val="single" w:sz="8" w:color="4C4C4C"/>
              <w:right w:val="single" w:sz="8" w:color="4C4C4C"/>
            </w:tcBorders>
            <w:shd w:val="clear" w:color="auto" w:fill="E5F6F8"/>
          </w:tcPr>
          <w:p>
            <w:pPr>
              <w:spacing w:after="0"/>
              <w:rPr>
                <w:sz w:val="14"/>
                <w:szCs w:val="14"/>
                <w:color w:val="auto"/>
              </w:rPr>
            </w:pPr>
          </w:p>
        </w:tc>
        <w:tc>
          <w:tcPr>
            <w:tcW w:w="180" w:type="dxa"/>
            <w:vAlign w:val="bottom"/>
            <w:tcBorders>
              <w:bottom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bottom w:val="single" w:sz="8" w:color="4C4C4C"/>
              <w:right w:val="single" w:sz="8" w:color="4C4C4C"/>
            </w:tcBorders>
            <w:shd w:val="clear" w:color="auto" w:fill="E5F6F8"/>
          </w:tcPr>
          <w:p>
            <w:pPr>
              <w:ind w:left="60"/>
              <w:spacing w:after="0"/>
              <w:rPr>
                <w:sz w:val="20"/>
                <w:szCs w:val="20"/>
                <w:color w:val="auto"/>
              </w:rPr>
            </w:pPr>
            <w:r>
              <w:rPr>
                <w:rFonts w:ascii="Arial" w:cs="Arial" w:eastAsia="Arial" w:hAnsi="Arial"/>
                <w:sz w:val="14"/>
                <w:szCs w:val="14"/>
                <w:color w:val="4C4C4C"/>
              </w:rPr>
              <w:t>Finance and Investments</w:t>
            </w:r>
          </w:p>
        </w:tc>
        <w:tc>
          <w:tcPr>
            <w:tcW w:w="2260" w:type="dxa"/>
            <w:vAlign w:val="bottom"/>
            <w:tcBorders>
              <w:bottom w:val="single" w:sz="8" w:color="4C4C4C"/>
              <w:right w:val="single" w:sz="8" w:color="4C4C4C"/>
            </w:tcBorders>
            <w:shd w:val="clear" w:color="auto" w:fill="E5F6F8"/>
          </w:tcPr>
          <w:p>
            <w:pPr>
              <w:spacing w:after="0"/>
              <w:rPr>
                <w:sz w:val="14"/>
                <w:szCs w:val="14"/>
                <w:color w:val="auto"/>
              </w:rPr>
            </w:pPr>
          </w:p>
        </w:tc>
        <w:tc>
          <w:tcPr>
            <w:tcW w:w="1080" w:type="dxa"/>
            <w:vAlign w:val="bottom"/>
            <w:tcBorders>
              <w:bottom w:val="single" w:sz="8" w:color="4C4C4C"/>
              <w:right w:val="single" w:sz="8" w:color="4C4C4C"/>
            </w:tcBorders>
            <w:shd w:val="clear" w:color="auto" w:fill="E5F6F8"/>
          </w:tcPr>
          <w:p>
            <w:pPr>
              <w:spacing w:after="0"/>
              <w:rPr>
                <w:sz w:val="14"/>
                <w:szCs w:val="14"/>
                <w:color w:val="auto"/>
              </w:rPr>
            </w:pPr>
          </w:p>
        </w:tc>
        <w:tc>
          <w:tcPr>
            <w:tcW w:w="200" w:type="dxa"/>
            <w:vAlign w:val="bottom"/>
            <w:tcBorders>
              <w:bottom w:val="single" w:sz="8" w:color="4C4C4C"/>
            </w:tcBorders>
            <w:shd w:val="clear" w:color="auto" w:fill="E5F6F8"/>
          </w:tcPr>
          <w:p>
            <w:pPr>
              <w:spacing w:after="0"/>
              <w:rPr>
                <w:sz w:val="14"/>
                <w:szCs w:val="14"/>
                <w:color w:val="auto"/>
              </w:rPr>
            </w:pPr>
          </w:p>
        </w:tc>
        <w:tc>
          <w:tcPr>
            <w:tcW w:w="1620" w:type="dxa"/>
            <w:vAlign w:val="bottom"/>
            <w:tcBorders>
              <w:bottom w:val="single" w:sz="8" w:color="4C4C4C"/>
            </w:tcBorders>
            <w:shd w:val="clear" w:color="auto" w:fill="E5F6F8"/>
          </w:tcPr>
          <w:p>
            <w:pPr>
              <w:spacing w:after="0"/>
              <w:rPr>
                <w:sz w:val="14"/>
                <w:szCs w:val="14"/>
                <w:color w:val="auto"/>
              </w:rPr>
            </w:pPr>
          </w:p>
        </w:tc>
      </w:tr>
      <w:tr>
        <w:trPr>
          <w:trHeight w:val="201"/>
        </w:trPr>
        <w:tc>
          <w:tcPr>
            <w:tcW w:w="2100" w:type="dxa"/>
            <w:vAlign w:val="bottom"/>
            <w:tcBorders>
              <w:right w:val="single" w:sz="8" w:color="4C4C4C"/>
            </w:tcBorders>
          </w:tcPr>
          <w:p>
            <w:pPr>
              <w:ind w:left="100"/>
              <w:spacing w:after="0"/>
              <w:rPr>
                <w:sz w:val="20"/>
                <w:szCs w:val="20"/>
                <w:color w:val="auto"/>
              </w:rPr>
            </w:pPr>
            <w:r>
              <w:rPr>
                <w:rFonts w:ascii="Arial" w:cs="Arial" w:eastAsia="Arial" w:hAnsi="Arial"/>
                <w:sz w:val="14"/>
                <w:szCs w:val="14"/>
                <w:b w:val="1"/>
                <w:bCs w:val="1"/>
                <w:color w:val="4C4C4C"/>
              </w:rPr>
              <w:t>Paul Wetzel</w:t>
            </w:r>
          </w:p>
        </w:tc>
        <w:tc>
          <w:tcPr>
            <w:tcW w:w="500" w:type="dxa"/>
            <w:vAlign w:val="bottom"/>
            <w:tcBorders>
              <w:right w:val="single" w:sz="8" w:color="4C4C4C"/>
            </w:tcBorders>
          </w:tcPr>
          <w:p>
            <w:pPr>
              <w:jc w:val="right"/>
              <w:ind w:right="128"/>
              <w:spacing w:after="0"/>
              <w:rPr>
                <w:sz w:val="20"/>
                <w:szCs w:val="20"/>
                <w:color w:val="auto"/>
              </w:rPr>
            </w:pPr>
            <w:r>
              <w:rPr>
                <w:rFonts w:ascii="Arial" w:cs="Arial" w:eastAsia="Arial" w:hAnsi="Arial"/>
                <w:sz w:val="14"/>
                <w:szCs w:val="14"/>
                <w:color w:val="4C4C4C"/>
              </w:rPr>
              <w:t>61</w:t>
            </w: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Male</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Financial Services Industry</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Chairman of the Global Financial</w:t>
            </w:r>
          </w:p>
        </w:tc>
        <w:tc>
          <w:tcPr>
            <w:tcW w:w="1080" w:type="dxa"/>
            <w:vAlign w:val="bottom"/>
            <w:tcBorders>
              <w:right w:val="single" w:sz="8" w:color="4C4C4C"/>
            </w:tcBorders>
          </w:tcPr>
          <w:p>
            <w:pPr>
              <w:jc w:val="right"/>
              <w:ind w:right="48"/>
              <w:spacing w:after="0"/>
              <w:rPr>
                <w:sz w:val="20"/>
                <w:szCs w:val="20"/>
                <w:color w:val="auto"/>
              </w:rPr>
            </w:pPr>
            <w:r>
              <w:rPr>
                <w:rFonts w:ascii="Arial" w:cs="Arial" w:eastAsia="Arial" w:hAnsi="Arial"/>
                <w:sz w:val="14"/>
                <w:szCs w:val="14"/>
                <w:color w:val="4C4C4C"/>
              </w:rPr>
              <w:t>Yes</w:t>
            </w: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Compensation and</w:t>
            </w:r>
          </w:p>
        </w:tc>
      </w:tr>
      <w:tr>
        <w:trPr>
          <w:trHeight w:val="162"/>
        </w:trPr>
        <w:tc>
          <w:tcPr>
            <w:tcW w:w="2100" w:type="dxa"/>
            <w:vAlign w:val="bottom"/>
            <w:tcBorders>
              <w:right w:val="single" w:sz="8" w:color="4C4C4C"/>
            </w:tcBorders>
          </w:tcPr>
          <w:p>
            <w:pPr>
              <w:ind w:left="100"/>
              <w:spacing w:after="0"/>
              <w:rPr>
                <w:sz w:val="20"/>
                <w:szCs w:val="20"/>
                <w:color w:val="auto"/>
              </w:rPr>
            </w:pPr>
            <w:r>
              <w:rPr>
                <w:rFonts w:ascii="Arial" w:cs="Arial" w:eastAsia="Arial" w:hAnsi="Arial"/>
                <w:sz w:val="14"/>
                <w:szCs w:val="14"/>
                <w:color w:val="4C4C4C"/>
              </w:rPr>
              <w:t>Director since 2017</w:t>
            </w: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White/</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Corporate Strategy</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Institutions Group, Deutsche</w:t>
            </w:r>
          </w:p>
        </w:tc>
        <w:tc>
          <w:tcPr>
            <w:tcW w:w="1080" w:type="dxa"/>
            <w:vAlign w:val="bottom"/>
            <w:tcBorders>
              <w:right w:val="single" w:sz="8" w:color="4C4C4C"/>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Arial" w:cs="Arial" w:eastAsia="Arial" w:hAnsi="Arial"/>
                <w:sz w:val="14"/>
                <w:szCs w:val="14"/>
                <w:color w:val="4C4C4C"/>
              </w:rPr>
              <w:t>Human Capital</w:t>
            </w: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Caucasian</w:t>
            </w: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Investment Banking</w:t>
            </w:r>
          </w:p>
        </w:tc>
        <w:tc>
          <w:tcPr>
            <w:tcW w:w="2260" w:type="dxa"/>
            <w:vAlign w:val="bottom"/>
            <w:tcBorders>
              <w:right w:val="single" w:sz="8" w:color="4C4C4C"/>
            </w:tcBorders>
          </w:tcPr>
          <w:p>
            <w:pPr>
              <w:ind w:left="80"/>
              <w:spacing w:after="0"/>
              <w:rPr>
                <w:sz w:val="20"/>
                <w:szCs w:val="20"/>
                <w:color w:val="auto"/>
              </w:rPr>
            </w:pPr>
            <w:r>
              <w:rPr>
                <w:rFonts w:ascii="Arial" w:cs="Arial" w:eastAsia="Arial" w:hAnsi="Arial"/>
                <w:sz w:val="14"/>
                <w:szCs w:val="14"/>
                <w:color w:val="4C4C4C"/>
              </w:rPr>
              <w:t>Bank Securities Inc. (Retired)</w:t>
            </w:r>
          </w:p>
        </w:tc>
        <w:tc>
          <w:tcPr>
            <w:tcW w:w="1080" w:type="dxa"/>
            <w:vAlign w:val="bottom"/>
            <w:tcBorders>
              <w:right w:val="single" w:sz="8" w:color="4C4C4C"/>
            </w:tcBorders>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Finance and Risk</w:t>
            </w:r>
          </w:p>
        </w:tc>
      </w:tr>
      <w:tr>
        <w:trPr>
          <w:trHeight w:val="162"/>
        </w:trPr>
        <w:tc>
          <w:tcPr>
            <w:tcW w:w="2100" w:type="dxa"/>
            <w:vAlign w:val="bottom"/>
            <w:tcBorders>
              <w:right w:val="single" w:sz="8" w:color="4C4C4C"/>
            </w:tcBorders>
          </w:tcPr>
          <w:p>
            <w:pPr>
              <w:spacing w:after="0"/>
              <w:rPr>
                <w:sz w:val="14"/>
                <w:szCs w:val="14"/>
                <w:color w:val="auto"/>
              </w:rPr>
            </w:pPr>
          </w:p>
        </w:tc>
        <w:tc>
          <w:tcPr>
            <w:tcW w:w="500" w:type="dxa"/>
            <w:vAlign w:val="bottom"/>
            <w:tcBorders>
              <w:right w:val="single" w:sz="8" w:color="4C4C4C"/>
            </w:tcBorders>
          </w:tcPr>
          <w:p>
            <w:pPr>
              <w:spacing w:after="0"/>
              <w:rPr>
                <w:sz w:val="14"/>
                <w:szCs w:val="14"/>
                <w:color w:val="auto"/>
              </w:rPr>
            </w:pPr>
          </w:p>
        </w:tc>
        <w:tc>
          <w:tcPr>
            <w:tcW w:w="1040" w:type="dxa"/>
            <w:vAlign w:val="bottom"/>
            <w:tcBorders>
              <w:right w:val="single" w:sz="8" w:color="4C4C4C"/>
            </w:tcBorders>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C4C4C"/>
              </w:rPr>
              <w:t>•</w:t>
            </w:r>
          </w:p>
        </w:tc>
        <w:tc>
          <w:tcPr>
            <w:tcW w:w="2040" w:type="dxa"/>
            <w:vAlign w:val="bottom"/>
            <w:tcBorders>
              <w:right w:val="single" w:sz="8" w:color="4C4C4C"/>
            </w:tcBorders>
          </w:tcPr>
          <w:p>
            <w:pPr>
              <w:ind w:left="60"/>
              <w:spacing w:after="0"/>
              <w:rPr>
                <w:sz w:val="20"/>
                <w:szCs w:val="20"/>
                <w:color w:val="auto"/>
              </w:rPr>
            </w:pPr>
            <w:r>
              <w:rPr>
                <w:rFonts w:ascii="Arial" w:cs="Arial" w:eastAsia="Arial" w:hAnsi="Arial"/>
                <w:sz w:val="14"/>
                <w:szCs w:val="14"/>
                <w:color w:val="4C4C4C"/>
              </w:rPr>
              <w:t>Legal and Regulatory</w:t>
            </w:r>
          </w:p>
        </w:tc>
        <w:tc>
          <w:tcPr>
            <w:tcW w:w="2260" w:type="dxa"/>
            <w:vAlign w:val="bottom"/>
            <w:tcBorders>
              <w:right w:val="single" w:sz="8" w:color="4C4C4C"/>
            </w:tcBorders>
          </w:tcPr>
          <w:p>
            <w:pPr>
              <w:spacing w:after="0"/>
              <w:rPr>
                <w:sz w:val="14"/>
                <w:szCs w:val="14"/>
                <w:color w:val="auto"/>
              </w:rPr>
            </w:pPr>
          </w:p>
        </w:tc>
        <w:tc>
          <w:tcPr>
            <w:tcW w:w="1080" w:type="dxa"/>
            <w:vAlign w:val="bottom"/>
            <w:tcBorders>
              <w:right w:val="single" w:sz="8" w:color="4C4C4C"/>
            </w:tcBorders>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4C4C4C"/>
              </w:rPr>
              <w:t>•</w:t>
            </w:r>
          </w:p>
        </w:tc>
        <w:tc>
          <w:tcPr>
            <w:tcW w:w="1620" w:type="dxa"/>
            <w:vAlign w:val="bottom"/>
          </w:tcPr>
          <w:p>
            <w:pPr>
              <w:ind w:left="40"/>
              <w:spacing w:after="0"/>
              <w:rPr>
                <w:sz w:val="20"/>
                <w:szCs w:val="20"/>
                <w:color w:val="auto"/>
              </w:rPr>
            </w:pPr>
            <w:r>
              <w:rPr>
                <w:rFonts w:ascii="Arial" w:cs="Arial" w:eastAsia="Arial" w:hAnsi="Arial"/>
                <w:sz w:val="14"/>
                <w:szCs w:val="14"/>
                <w:color w:val="4C4C4C"/>
              </w:rPr>
              <w:t>Nominating and</w:t>
            </w:r>
          </w:p>
        </w:tc>
      </w:tr>
      <w:tr>
        <w:trPr>
          <w:trHeight w:val="171"/>
        </w:trPr>
        <w:tc>
          <w:tcPr>
            <w:tcW w:w="2100" w:type="dxa"/>
            <w:vAlign w:val="bottom"/>
            <w:tcBorders>
              <w:bottom w:val="single" w:sz="8" w:color="4C4C4C"/>
              <w:right w:val="single" w:sz="8" w:color="4C4C4C"/>
            </w:tcBorders>
          </w:tcPr>
          <w:p>
            <w:pPr>
              <w:spacing w:after="0"/>
              <w:rPr>
                <w:sz w:val="14"/>
                <w:szCs w:val="14"/>
                <w:color w:val="auto"/>
              </w:rPr>
            </w:pPr>
          </w:p>
        </w:tc>
        <w:tc>
          <w:tcPr>
            <w:tcW w:w="500" w:type="dxa"/>
            <w:vAlign w:val="bottom"/>
            <w:tcBorders>
              <w:bottom w:val="single" w:sz="8" w:color="4C4C4C"/>
              <w:right w:val="single" w:sz="8" w:color="4C4C4C"/>
            </w:tcBorders>
          </w:tcPr>
          <w:p>
            <w:pPr>
              <w:spacing w:after="0"/>
              <w:rPr>
                <w:sz w:val="14"/>
                <w:szCs w:val="14"/>
                <w:color w:val="auto"/>
              </w:rPr>
            </w:pPr>
          </w:p>
        </w:tc>
        <w:tc>
          <w:tcPr>
            <w:tcW w:w="1040" w:type="dxa"/>
            <w:vAlign w:val="bottom"/>
            <w:tcBorders>
              <w:bottom w:val="single" w:sz="8" w:color="4C4C4C"/>
              <w:right w:val="single" w:sz="8" w:color="4C4C4C"/>
            </w:tcBorders>
          </w:tcPr>
          <w:p>
            <w:pPr>
              <w:spacing w:after="0"/>
              <w:rPr>
                <w:sz w:val="14"/>
                <w:szCs w:val="14"/>
                <w:color w:val="auto"/>
              </w:rPr>
            </w:pPr>
          </w:p>
        </w:tc>
        <w:tc>
          <w:tcPr>
            <w:tcW w:w="180" w:type="dxa"/>
            <w:vAlign w:val="bottom"/>
            <w:tcBorders>
              <w:bottom w:val="single" w:sz="8" w:color="4C4C4C"/>
            </w:tcBorders>
          </w:tcPr>
          <w:p>
            <w:pPr>
              <w:spacing w:after="0"/>
              <w:rPr>
                <w:sz w:val="14"/>
                <w:szCs w:val="14"/>
                <w:color w:val="auto"/>
              </w:rPr>
            </w:pPr>
          </w:p>
        </w:tc>
        <w:tc>
          <w:tcPr>
            <w:tcW w:w="2040" w:type="dxa"/>
            <w:vAlign w:val="bottom"/>
            <w:tcBorders>
              <w:bottom w:val="single" w:sz="8" w:color="4C4C4C"/>
              <w:right w:val="single" w:sz="8" w:color="4C4C4C"/>
            </w:tcBorders>
          </w:tcPr>
          <w:p>
            <w:pPr>
              <w:spacing w:after="0"/>
              <w:rPr>
                <w:sz w:val="14"/>
                <w:szCs w:val="14"/>
                <w:color w:val="auto"/>
              </w:rPr>
            </w:pPr>
          </w:p>
        </w:tc>
        <w:tc>
          <w:tcPr>
            <w:tcW w:w="2260" w:type="dxa"/>
            <w:vAlign w:val="bottom"/>
            <w:tcBorders>
              <w:bottom w:val="single" w:sz="8" w:color="4C4C4C"/>
              <w:right w:val="single" w:sz="8" w:color="4C4C4C"/>
            </w:tcBorders>
          </w:tcPr>
          <w:p>
            <w:pPr>
              <w:spacing w:after="0"/>
              <w:rPr>
                <w:sz w:val="14"/>
                <w:szCs w:val="14"/>
                <w:color w:val="auto"/>
              </w:rPr>
            </w:pPr>
          </w:p>
        </w:tc>
        <w:tc>
          <w:tcPr>
            <w:tcW w:w="1080" w:type="dxa"/>
            <w:vAlign w:val="bottom"/>
            <w:tcBorders>
              <w:bottom w:val="single" w:sz="8" w:color="4C4C4C"/>
              <w:right w:val="single" w:sz="8" w:color="4C4C4C"/>
            </w:tcBorders>
          </w:tcPr>
          <w:p>
            <w:pPr>
              <w:spacing w:after="0"/>
              <w:rPr>
                <w:sz w:val="14"/>
                <w:szCs w:val="14"/>
                <w:color w:val="auto"/>
              </w:rPr>
            </w:pPr>
          </w:p>
        </w:tc>
        <w:tc>
          <w:tcPr>
            <w:tcW w:w="200" w:type="dxa"/>
            <w:vAlign w:val="bottom"/>
            <w:tcBorders>
              <w:bottom w:val="single" w:sz="8" w:color="4C4C4C"/>
            </w:tcBorders>
          </w:tcPr>
          <w:p>
            <w:pPr>
              <w:spacing w:after="0"/>
              <w:rPr>
                <w:sz w:val="14"/>
                <w:szCs w:val="14"/>
                <w:color w:val="auto"/>
              </w:rPr>
            </w:pPr>
          </w:p>
        </w:tc>
        <w:tc>
          <w:tcPr>
            <w:tcW w:w="1620" w:type="dxa"/>
            <w:vAlign w:val="bottom"/>
            <w:tcBorders>
              <w:bottom w:val="single" w:sz="8" w:color="4C4C4C"/>
            </w:tcBorders>
          </w:tcPr>
          <w:p>
            <w:pPr>
              <w:ind w:left="40"/>
              <w:spacing w:after="0"/>
              <w:rPr>
                <w:sz w:val="20"/>
                <w:szCs w:val="20"/>
                <w:color w:val="auto"/>
              </w:rPr>
            </w:pPr>
            <w:r>
              <w:rPr>
                <w:rFonts w:ascii="Arial" w:cs="Arial" w:eastAsia="Arial" w:hAnsi="Arial"/>
                <w:sz w:val="14"/>
                <w:szCs w:val="14"/>
                <w:color w:val="4C4C4C"/>
              </w:rPr>
              <w:t>Corporate Governance</w:t>
            </w:r>
          </w:p>
        </w:tc>
      </w:tr>
    </w:tbl>
    <w:p>
      <w:pPr>
        <w:spacing w:after="0" w:line="121" w:lineRule="exact"/>
        <w:rPr>
          <w:sz w:val="20"/>
          <w:szCs w:val="20"/>
          <w:color w:val="auto"/>
        </w:rPr>
      </w:pPr>
    </w:p>
    <w:p>
      <w:pPr>
        <w:ind w:left="540" w:right="180" w:hanging="424"/>
        <w:spacing w:after="0" w:line="274" w:lineRule="auto"/>
        <w:tabs>
          <w:tab w:leader="none" w:pos="540" w:val="left"/>
        </w:tabs>
        <w:numPr>
          <w:ilvl w:val="0"/>
          <w:numId w:val="69"/>
        </w:numPr>
        <w:rPr>
          <w:rFonts w:ascii="Arial" w:cs="Arial" w:eastAsia="Arial" w:hAnsi="Arial"/>
          <w:sz w:val="17"/>
          <w:szCs w:val="17"/>
          <w:color w:val="4C4C4C"/>
        </w:rPr>
      </w:pPr>
      <w:r>
        <w:rPr>
          <w:rFonts w:ascii="Arial" w:cs="Arial" w:eastAsia="Arial" w:hAnsi="Arial"/>
          <w:sz w:val="17"/>
          <w:szCs w:val="17"/>
          <w:color w:val="4C4C4C"/>
        </w:rPr>
        <w:t>Ms. McCarthy is not standing for reelection at the Annual Meeting. Descriptions of the Board throughout this Proxy Statement, including in this section the Board Composition Summary, Board Skills and Experience, and Board Diversity, include Ms. McCarthy.</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Proxy Summary</w:t>
      </w:r>
      <w:r>
        <w:rPr>
          <w:sz w:val="20"/>
          <w:szCs w:val="20"/>
          <w:color w:val="auto"/>
        </w:rPr>
        <w:tab/>
      </w:r>
      <w:r>
        <w:rPr>
          <w:rFonts w:ascii="Arial" w:cs="Arial" w:eastAsia="Arial" w:hAnsi="Arial"/>
          <w:sz w:val="12"/>
          <w:szCs w:val="12"/>
          <w:b w:val="1"/>
          <w:bCs w:val="1"/>
          <w:color w:val="00ADBB"/>
        </w:rPr>
        <w:t>Brighthouse Financial, Inc.</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Board Skills and Experience</w:t>
      </w:r>
    </w:p>
    <w:p>
      <w:pPr>
        <w:spacing w:after="0" w:line="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4C4C4C"/>
        </w:rPr>
        <w:t>Our Board is composed of Directors who possess a mix of skills and experience that we believe align with, and facilitate effective oversight of, Brighthouse’s strategy and risks, including: the financial services and insurance industries; senior management; audit and accounting; information technology and cybersecurity; brand and marketing; public company board service; risk management; investments; and compensation and human resources. The following charts present the number of currently serving Directors who possess substantive skills or experience in these areas and is based on each Director’s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5957570" cy="4860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57570" cy="486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 | 2021 Proxy Statement</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Summary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Board Diversity</w:t>
      </w:r>
    </w:p>
    <w:p>
      <w:pPr>
        <w:spacing w:after="0" w:line="13"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4C4C4C"/>
        </w:rPr>
        <w:t>The Board believes that a diverse board is better able to effectively oversee our management and strategy and position Brighthouse to deliver long-term value for our stockholders. Our Board recognizes that gender and racial and ethnic diversity add to the overall mix of perspectives of our Board as a whole. The following charts present the diversity profile of our currently serving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146050</wp:posOffset>
            </wp:positionV>
            <wp:extent cx="5958205" cy="1825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5820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Directors who are diverse serve in a majority of our Board leadership positions. Chuck Chaplin, who is Black/African American, serves as:</w:t>
      </w:r>
    </w:p>
    <w:p>
      <w:pPr>
        <w:ind w:left="340" w:hanging="224"/>
        <w:spacing w:after="0" w:line="234" w:lineRule="auto"/>
        <w:tabs>
          <w:tab w:leader="none" w:pos="340" w:val="left"/>
        </w:tabs>
        <w:numPr>
          <w:ilvl w:val="0"/>
          <w:numId w:val="70"/>
        </w:numPr>
        <w:rPr>
          <w:rFonts w:ascii="Arial" w:cs="Arial" w:eastAsia="Arial" w:hAnsi="Arial"/>
          <w:sz w:val="18"/>
          <w:szCs w:val="18"/>
          <w:color w:val="4C4C4C"/>
        </w:rPr>
      </w:pPr>
      <w:r>
        <w:rPr>
          <w:rFonts w:ascii="Arial" w:cs="Arial" w:eastAsia="Arial" w:hAnsi="Arial"/>
          <w:sz w:val="18"/>
          <w:szCs w:val="18"/>
          <w:color w:val="4C4C4C"/>
        </w:rPr>
        <w:t>Chairman of the Board (the “</w:t>
      </w:r>
      <w:r>
        <w:rPr>
          <w:rFonts w:ascii="Arial" w:cs="Arial" w:eastAsia="Arial" w:hAnsi="Arial"/>
          <w:sz w:val="18"/>
          <w:szCs w:val="18"/>
          <w:b w:val="1"/>
          <w:bCs w:val="1"/>
          <w:color w:val="00ADBB"/>
        </w:rPr>
        <w:t>Chairman</w:t>
      </w:r>
      <w:r>
        <w:rPr>
          <w:rFonts w:ascii="Arial" w:cs="Arial" w:eastAsia="Arial" w:hAnsi="Arial"/>
          <w:sz w:val="18"/>
          <w:szCs w:val="18"/>
          <w:color w:val="4C4C4C"/>
        </w:rPr>
        <w:t>”); and</w:t>
      </w:r>
    </w:p>
    <w:p>
      <w:pPr>
        <w:ind w:left="340" w:hanging="224"/>
        <w:spacing w:after="0"/>
        <w:tabs>
          <w:tab w:leader="none" w:pos="340" w:val="left"/>
        </w:tabs>
        <w:numPr>
          <w:ilvl w:val="0"/>
          <w:numId w:val="70"/>
        </w:numPr>
        <w:rPr>
          <w:rFonts w:ascii="Arial" w:cs="Arial" w:eastAsia="Arial" w:hAnsi="Arial"/>
          <w:sz w:val="18"/>
          <w:szCs w:val="18"/>
          <w:color w:val="4C4C4C"/>
        </w:rPr>
      </w:pPr>
      <w:r>
        <w:rPr>
          <w:rFonts w:ascii="Arial" w:cs="Arial" w:eastAsia="Arial" w:hAnsi="Arial"/>
          <w:sz w:val="18"/>
          <w:szCs w:val="18"/>
          <w:color w:val="4C4C4C"/>
        </w:rPr>
        <w:t>Chair of the Finance and Risk Committee.</w:t>
      </w:r>
    </w:p>
    <w:p>
      <w:pPr>
        <w:spacing w:after="0" w:line="194"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8"/>
          <w:szCs w:val="18"/>
          <w:color w:val="4C4C4C"/>
        </w:rPr>
      </w:pPr>
      <w:r>
        <w:rPr>
          <w:rFonts w:ascii="Arial" w:cs="Arial" w:eastAsia="Arial" w:hAnsi="Arial"/>
          <w:sz w:val="18"/>
          <w:szCs w:val="18"/>
          <w:color w:val="4C4C4C"/>
        </w:rPr>
        <w:t>Compensation and Human Capital Committee;</w:t>
      </w:r>
    </w:p>
    <w:p>
      <w:pPr>
        <w:ind w:left="340" w:hanging="224"/>
        <w:spacing w:after="0" w:line="234" w:lineRule="auto"/>
        <w:tabs>
          <w:tab w:leader="none" w:pos="340" w:val="left"/>
        </w:tabs>
        <w:numPr>
          <w:ilvl w:val="0"/>
          <w:numId w:val="71"/>
        </w:numPr>
        <w:rPr>
          <w:rFonts w:ascii="Arial" w:cs="Arial" w:eastAsia="Arial" w:hAnsi="Arial"/>
          <w:sz w:val="18"/>
          <w:szCs w:val="18"/>
          <w:color w:val="4C4C4C"/>
        </w:rPr>
      </w:pPr>
      <w:r>
        <w:rPr>
          <w:rFonts w:ascii="Arial" w:cs="Arial" w:eastAsia="Arial" w:hAnsi="Arial"/>
          <w:sz w:val="18"/>
          <w:szCs w:val="18"/>
          <w:color w:val="4C4C4C"/>
        </w:rPr>
        <w:t>Investment Committee; and</w:t>
      </w:r>
    </w:p>
    <w:p>
      <w:pPr>
        <w:ind w:left="340" w:hanging="224"/>
        <w:spacing w:after="0"/>
        <w:tabs>
          <w:tab w:leader="none" w:pos="340" w:val="left"/>
        </w:tabs>
        <w:numPr>
          <w:ilvl w:val="0"/>
          <w:numId w:val="71"/>
        </w:numPr>
        <w:rPr>
          <w:rFonts w:ascii="Arial" w:cs="Arial" w:eastAsia="Arial" w:hAnsi="Arial"/>
          <w:sz w:val="18"/>
          <w:szCs w:val="18"/>
          <w:color w:val="4C4C4C"/>
        </w:rPr>
      </w:pPr>
      <w:r>
        <w:rPr>
          <w:rFonts w:ascii="Arial" w:cs="Arial" w:eastAsia="Arial" w:hAnsi="Arial"/>
          <w:sz w:val="18"/>
          <w:szCs w:val="18"/>
          <w:color w:val="4C4C4C"/>
        </w:rPr>
        <w:t>Nominating and Corporate Governance Committee.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Stockholder Engagement Highlights</w:t>
      </w:r>
    </w:p>
    <w:p>
      <w:pPr>
        <w:spacing w:after="0" w:line="12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4C4C4C"/>
        </w:rPr>
        <w:t>In 2020-2021, we continued our robust stockholder engagement program. Our Chairman is available to engage with stockholders, and he has met with several stockholders in recent years. This year we increased the number of stockholders we contacted, reaching out to 27 stockholders representing approximately 60% of our Shares (at that time), and met with eight stockholders representing approximately 28% of our Shares (at that time). Discussions during our engagements focused on our sustainability program, human capital management, response to the COVID-19 pandemic, Board composition, governance practices, and executive compensation program. For additional information about our program, see “</w:t>
      </w:r>
      <w:r>
        <w:rPr>
          <w:rFonts w:ascii="Arial" w:cs="Arial" w:eastAsia="Arial" w:hAnsi="Arial"/>
          <w:sz w:val="18"/>
          <w:szCs w:val="18"/>
          <w:color w:val="4CC5CF"/>
        </w:rPr>
        <w:t>Stockholder Engagement</w:t>
      </w:r>
      <w:r>
        <w:rPr>
          <w:rFonts w:ascii="Arial" w:cs="Arial" w:eastAsia="Arial" w:hAnsi="Arial"/>
          <w:sz w:val="18"/>
          <w:szCs w:val="18"/>
          <w:color w:val="4C4C4C"/>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9</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Proxy Summary</w:t>
      </w:r>
      <w:r>
        <w:rPr>
          <w:sz w:val="20"/>
          <w:szCs w:val="20"/>
          <w:color w:val="auto"/>
        </w:rPr>
        <w:tab/>
      </w:r>
      <w:r>
        <w:rPr>
          <w:rFonts w:ascii="Arial" w:cs="Arial" w:eastAsia="Arial" w:hAnsi="Arial"/>
          <w:sz w:val="12"/>
          <w:szCs w:val="12"/>
          <w:b w:val="1"/>
          <w:bCs w:val="1"/>
          <w:color w:val="00ADBB"/>
        </w:rPr>
        <w:t>Brighthouse Financial, Inc.</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Corporate Governance Highlights</w:t>
      </w:r>
    </w:p>
    <w:p>
      <w:pPr>
        <w:spacing w:after="0" w:line="125" w:lineRule="exact"/>
        <w:rPr>
          <w:sz w:val="20"/>
          <w:szCs w:val="20"/>
          <w:color w:val="auto"/>
        </w:rPr>
      </w:pPr>
    </w:p>
    <w:p>
      <w:pPr>
        <w:ind w:left="120" w:right="160"/>
        <w:spacing w:after="0"/>
        <w:rPr>
          <w:sz w:val="20"/>
          <w:szCs w:val="20"/>
          <w:color w:val="auto"/>
        </w:rPr>
      </w:pPr>
      <w:r>
        <w:rPr>
          <w:rFonts w:ascii="Arial" w:cs="Arial" w:eastAsia="Arial" w:hAnsi="Arial"/>
          <w:sz w:val="18"/>
          <w:szCs w:val="18"/>
          <w:color w:val="4C4C4C"/>
        </w:rPr>
        <w:t>Brighthouse is committed to good governance practices that are intended to protect and promote the long-term value of the Company for our stockholders. The Board regularly reviews our governance profile to ensure it reflects the evolving governance landscape and appropriately supports and serves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ADBB"/>
        </w:rPr>
        <w:t>Independent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550545</wp:posOffset>
            </wp:positionV>
            <wp:extent cx="13284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84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1083310</wp:posOffset>
            </wp:positionV>
            <wp:extent cx="13284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84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color w:val="00ADBB"/>
        </w:rPr>
        <w:t>Responsiveness and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10 | 2021 Proxy Statement</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4C4C4C"/>
        </w:rPr>
        <w:t>Independent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5460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-130175</wp:posOffset>
            </wp:positionV>
            <wp:extent cx="111125"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C4C4C"/>
        </w:rPr>
        <w:t>Majority of our Board is independent (eight of nine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54603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6036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-130175</wp:posOffset>
            </wp:positionV>
            <wp:extent cx="111125"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120"/>
        <w:spacing w:after="0"/>
        <w:rPr>
          <w:sz w:val="20"/>
          <w:szCs w:val="20"/>
          <w:color w:val="auto"/>
        </w:rPr>
      </w:pPr>
      <w:r>
        <w:rPr>
          <w:rFonts w:ascii="Arial" w:cs="Arial" w:eastAsia="Arial" w:hAnsi="Arial"/>
          <w:sz w:val="18"/>
          <w:szCs w:val="18"/>
          <w:color w:val="4C4C4C"/>
        </w:rPr>
        <w:t>All committees of the Board (other than the Executive Committee) (each a “</w:t>
      </w:r>
      <w:r>
        <w:rPr>
          <w:rFonts w:ascii="Arial" w:cs="Arial" w:eastAsia="Arial" w:hAnsi="Arial"/>
          <w:sz w:val="18"/>
          <w:szCs w:val="18"/>
          <w:b w:val="1"/>
          <w:bCs w:val="1"/>
          <w:color w:val="00ADBB"/>
        </w:rPr>
        <w:t>Committee</w:t>
      </w:r>
      <w:r>
        <w:rPr>
          <w:rFonts w:ascii="Arial" w:cs="Arial" w:eastAsia="Arial" w:hAnsi="Arial"/>
          <w:sz w:val="18"/>
          <w:szCs w:val="18"/>
          <w:color w:val="4C4C4C"/>
        </w:rPr>
        <w:t>” and collectively, the “</w:t>
      </w:r>
      <w:r>
        <w:rPr>
          <w:rFonts w:ascii="Arial" w:cs="Arial" w:eastAsia="Arial" w:hAnsi="Arial"/>
          <w:sz w:val="18"/>
          <w:szCs w:val="18"/>
          <w:b w:val="1"/>
          <w:bCs w:val="1"/>
          <w:color w:val="00ADBB"/>
        </w:rPr>
        <w:t>Committees</w:t>
      </w:r>
      <w:r>
        <w:rPr>
          <w:rFonts w:ascii="Arial" w:cs="Arial" w:eastAsia="Arial" w:hAnsi="Arial"/>
          <w:sz w:val="18"/>
          <w:szCs w:val="18"/>
          <w:color w:val="4C4C4C"/>
        </w:rPr>
        <w:t>”) are composed solely of Independent Directors (as defined below, see “</w:t>
      </w:r>
      <w:r>
        <w:rPr>
          <w:rFonts w:ascii="Arial" w:cs="Arial" w:eastAsia="Arial" w:hAnsi="Arial"/>
          <w:sz w:val="18"/>
          <w:szCs w:val="18"/>
          <w:color w:val="4CC5CF"/>
        </w:rPr>
        <w:t>Director Independence</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54603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6036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-393065</wp:posOffset>
            </wp:positionV>
            <wp:extent cx="111125"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48" w:lineRule="exact"/>
        <w:rPr>
          <w:sz w:val="20"/>
          <w:szCs w:val="20"/>
          <w:color w:val="auto"/>
        </w:rPr>
      </w:pPr>
    </w:p>
    <w:p>
      <w:pPr>
        <w:ind w:right="740"/>
        <w:spacing w:after="0" w:line="242" w:lineRule="auto"/>
        <w:rPr>
          <w:sz w:val="20"/>
          <w:szCs w:val="20"/>
          <w:color w:val="auto"/>
        </w:rPr>
      </w:pPr>
      <w:r>
        <w:rPr>
          <w:rFonts w:ascii="Arial" w:cs="Arial" w:eastAsia="Arial" w:hAnsi="Arial"/>
          <w:sz w:val="18"/>
          <w:szCs w:val="18"/>
          <w:color w:val="4C4C4C"/>
        </w:rPr>
        <w:t>Directors possess a deep and diverse set of skills and experience relevant to oversight of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160"/>
        <w:spacing w:after="0" w:line="242" w:lineRule="auto"/>
        <w:rPr>
          <w:sz w:val="20"/>
          <w:szCs w:val="20"/>
          <w:color w:val="auto"/>
        </w:rPr>
      </w:pPr>
      <w:r>
        <w:rPr>
          <w:rFonts w:ascii="Arial" w:cs="Arial" w:eastAsia="Arial" w:hAnsi="Arial"/>
          <w:sz w:val="18"/>
          <w:szCs w:val="18"/>
          <w:color w:val="4C4C4C"/>
        </w:rPr>
        <w:t>Proactive assessment of Director skills and commitment to Director refreshment to ensure the Board meets the Company’s evolving oversight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C4C4C"/>
        </w:rPr>
        <w:t>Robust risk oversight framework to assess and manage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5460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-130175</wp:posOffset>
            </wp:positionV>
            <wp:extent cx="111125"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380"/>
        <w:spacing w:after="0" w:line="242" w:lineRule="auto"/>
        <w:rPr>
          <w:sz w:val="20"/>
          <w:szCs w:val="20"/>
          <w:color w:val="auto"/>
        </w:rPr>
      </w:pPr>
      <w:r>
        <w:rPr>
          <w:rFonts w:ascii="Arial" w:cs="Arial" w:eastAsia="Arial" w:hAnsi="Arial"/>
          <w:sz w:val="18"/>
          <w:szCs w:val="18"/>
          <w:color w:val="4C4C4C"/>
        </w:rPr>
        <w:t>Comprehensive annual self-assessment of the Board and Committees, including an action plan to implement Directors’ suggestions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2140"/>
        <w:spacing w:after="0" w:line="261" w:lineRule="auto"/>
        <w:rPr>
          <w:sz w:val="20"/>
          <w:szCs w:val="20"/>
          <w:color w:val="auto"/>
        </w:rPr>
      </w:pPr>
      <w:r>
        <w:rPr>
          <w:rFonts w:ascii="Arial" w:cs="Arial" w:eastAsia="Arial" w:hAnsi="Arial"/>
          <w:sz w:val="18"/>
          <w:szCs w:val="18"/>
          <w:color w:val="4C4C4C"/>
        </w:rPr>
        <w:t>Commitment to Board diversity of perspective, gender, and race or ethnicity Regular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54603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6036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-284480</wp:posOffset>
            </wp:positionV>
            <wp:extent cx="546036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60365" cy="240030"/>
                    </a:xfrm>
                    <a:prstGeom prst="rect">
                      <a:avLst/>
                    </a:prstGeom>
                    <a:noFill/>
                  </pic:spPr>
                </pic:pic>
              </a:graphicData>
            </a:graphic>
          </wp:anchor>
        </w:drawing>
      </w:r>
    </w:p>
    <w:p>
      <w:pPr>
        <w:spacing w:after="0" w:line="29" w:lineRule="exact"/>
        <w:rPr>
          <w:sz w:val="20"/>
          <w:szCs w:val="20"/>
          <w:color w:val="auto"/>
        </w:rPr>
      </w:pPr>
    </w:p>
    <w:p>
      <w:pPr>
        <w:ind w:right="700"/>
        <w:spacing w:after="0" w:line="242" w:lineRule="auto"/>
        <w:rPr>
          <w:sz w:val="20"/>
          <w:szCs w:val="20"/>
          <w:color w:val="auto"/>
        </w:rPr>
      </w:pPr>
      <w:r>
        <w:rPr>
          <w:rFonts w:ascii="Arial" w:cs="Arial" w:eastAsia="Arial" w:hAnsi="Arial"/>
          <w:sz w:val="18"/>
          <w:szCs w:val="18"/>
          <w:color w:val="4C4C4C"/>
        </w:rPr>
        <w:t>Robust stockholder engagement program, with the participation of the Chairman, to share our perspectives and solicit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500"/>
        <w:spacing w:after="0" w:line="242" w:lineRule="auto"/>
        <w:rPr>
          <w:sz w:val="20"/>
          <w:szCs w:val="20"/>
          <w:color w:val="auto"/>
        </w:rPr>
      </w:pPr>
      <w:r>
        <w:rPr>
          <w:rFonts w:ascii="Arial" w:cs="Arial" w:eastAsia="Arial" w:hAnsi="Arial"/>
          <w:sz w:val="18"/>
          <w:szCs w:val="18"/>
          <w:color w:val="4C4C4C"/>
        </w:rPr>
        <w:t>Our majority voting policy for Director elections requires Director nominees who do not receive a majority of the votes cast to tender their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180"/>
        <w:spacing w:after="0" w:line="242" w:lineRule="auto"/>
        <w:rPr>
          <w:sz w:val="20"/>
          <w:szCs w:val="20"/>
          <w:color w:val="auto"/>
        </w:rPr>
      </w:pPr>
      <w:r>
        <w:rPr>
          <w:rFonts w:ascii="Arial" w:cs="Arial" w:eastAsia="Arial" w:hAnsi="Arial"/>
          <w:sz w:val="18"/>
          <w:szCs w:val="18"/>
          <w:color w:val="4C4C4C"/>
        </w:rPr>
        <w:t>Development and regular review of succession plans for the Chief Executive Officer (the “</w:t>
      </w:r>
      <w:r>
        <w:rPr>
          <w:rFonts w:ascii="Arial" w:cs="Arial" w:eastAsia="Arial" w:hAnsi="Arial"/>
          <w:sz w:val="18"/>
          <w:szCs w:val="18"/>
          <w:b w:val="1"/>
          <w:bCs w:val="1"/>
          <w:color w:val="00ADBB"/>
        </w:rPr>
        <w:t>CEO</w:t>
      </w:r>
      <w:r>
        <w:rPr>
          <w:rFonts w:ascii="Arial" w:cs="Arial" w:eastAsia="Arial" w:hAnsi="Arial"/>
          <w:sz w:val="18"/>
          <w:szCs w:val="18"/>
          <w:color w:val="4C4C4C"/>
        </w:rPr>
        <w:t>”) and other members of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-6985</wp:posOffset>
            </wp:positionV>
            <wp:extent cx="5460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-264160</wp:posOffset>
            </wp:positionV>
            <wp:extent cx="11112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740"/>
        <w:spacing w:after="0" w:line="324" w:lineRule="auto"/>
        <w:rPr>
          <w:sz w:val="20"/>
          <w:szCs w:val="20"/>
          <w:color w:val="auto"/>
        </w:rPr>
      </w:pPr>
      <w:r>
        <w:rPr>
          <w:rFonts w:ascii="Arial" w:cs="Arial" w:eastAsia="Arial" w:hAnsi="Arial"/>
          <w:sz w:val="18"/>
          <w:szCs w:val="18"/>
          <w:color w:val="4C4C4C"/>
        </w:rPr>
        <w:t>Annual assessment of Committee charters and the Board’s Corporate Governance Principles 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-53340</wp:posOffset>
            </wp:positionV>
            <wp:extent cx="54603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6036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-224790</wp:posOffset>
            </wp:positionV>
            <wp:extent cx="54603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6036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-353695</wp:posOffset>
            </wp:positionV>
            <wp:extent cx="111125"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-182245</wp:posOffset>
            </wp:positionV>
            <wp:extent cx="111125"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2">
            <w:col w:w="2280" w:space="720"/>
            <w:col w:w="8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Our Sustainability Journey</w:t>
      </w:r>
    </w:p>
    <w:p>
      <w:pPr>
        <w:spacing w:after="0" w:line="125" w:lineRule="exact"/>
        <w:rPr>
          <w:sz w:val="20"/>
          <w:szCs w:val="20"/>
          <w:color w:val="auto"/>
        </w:rPr>
      </w:pPr>
    </w:p>
    <w:p>
      <w:pPr>
        <w:ind w:left="120" w:right="340"/>
        <w:spacing w:after="0" w:line="261" w:lineRule="auto"/>
        <w:rPr>
          <w:sz w:val="20"/>
          <w:szCs w:val="20"/>
          <w:color w:val="auto"/>
        </w:rPr>
      </w:pPr>
      <w:r>
        <w:rPr>
          <w:rFonts w:ascii="Arial" w:cs="Arial" w:eastAsia="Arial" w:hAnsi="Arial"/>
          <w:sz w:val="17"/>
          <w:szCs w:val="17"/>
          <w:color w:val="4C4C4C"/>
        </w:rPr>
        <w:t>Brighthouse’s mission and purpose is to help people achieve financial security, and we believe that by focusing on this mission, we will also deliver sustainable long-term value for our stockholders. In developing and executing our strategy, our Board and management consider the interests of our stakeholders, including our stockholders, employees, distribution partners, and the clients they serve.</w:t>
      </w:r>
    </w:p>
    <w:p>
      <w:pPr>
        <w:spacing w:after="0" w:line="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4C4C4C"/>
        </w:rPr>
        <w:t xml:space="preserve">In early 2020, we established an Office of Sustainability to lead Brighthouse’s efforts to formally incorporate ESG considerations into our strategy, which we believe will play an important role in creating long-term stockholder value and help us meet our promises to our customers. Since then, we have made significant progress in our journey. We have engaged with our stockholders to seek feedback about our sustainability practices and to understand their expectations for the future. In addition, we conducted a thorough assessment of sustainability and ESG factors that are most significant for our Company and impactful on our business. We have used our stockholders’ feedback and the results of our assessment to guide our first comprehensive disclosure of our sustainability practices, which is available at </w:t>
      </w:r>
      <w:r>
        <w:rPr>
          <w:rFonts w:ascii="Arial" w:cs="Arial" w:eastAsia="Arial" w:hAnsi="Arial"/>
          <w:sz w:val="18"/>
          <w:szCs w:val="18"/>
          <w:u w:val="single" w:color="auto"/>
          <w:color w:val="4C4C4C"/>
        </w:rPr>
        <w:t>www.brighthousefinancial.com/about-us/corporate-responsibility</w:t>
      </w:r>
      <w:r>
        <w:rPr>
          <w:rFonts w:ascii="Arial" w:cs="Arial" w:eastAsia="Arial" w:hAnsi="Arial"/>
          <w:sz w:val="18"/>
          <w:szCs w:val="18"/>
          <w:color w:val="4C4C4C"/>
        </w:rPr>
        <w:t>. As we continue our journey, we plan to enhance and expand our disclosures.</w:t>
      </w:r>
    </w:p>
    <w:p>
      <w:pPr>
        <w:spacing w:after="0" w:line="82"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i w:val="1"/>
          <w:iCs w:val="1"/>
          <w:color w:val="4CC5CF"/>
        </w:rPr>
        <w:t xml:space="preserve">Board and Committee Oversight. </w:t>
      </w:r>
      <w:r>
        <w:rPr>
          <w:rFonts w:ascii="Arial" w:cs="Arial" w:eastAsia="Arial" w:hAnsi="Arial"/>
          <w:sz w:val="18"/>
          <w:szCs w:val="18"/>
          <w:color w:val="4C4C4C"/>
        </w:rPr>
        <w:t>Our Board and its Committees continue to exercise oversight of our sustainability program. Our Chief</w:t>
      </w:r>
      <w:r>
        <w:rPr>
          <w:rFonts w:ascii="Arial" w:cs="Arial" w:eastAsia="Arial" w:hAnsi="Arial"/>
          <w:sz w:val="18"/>
          <w:szCs w:val="18"/>
          <w:i w:val="1"/>
          <w:iCs w:val="1"/>
          <w:color w:val="4CC5CF"/>
        </w:rPr>
        <w:t xml:space="preserve"> </w:t>
      </w:r>
      <w:r>
        <w:rPr>
          <w:rFonts w:ascii="Arial" w:cs="Arial" w:eastAsia="Arial" w:hAnsi="Arial"/>
          <w:sz w:val="18"/>
          <w:szCs w:val="18"/>
          <w:color w:val="4C4C4C"/>
        </w:rPr>
        <w:t>Sustainability Officer reports regularly to the Board and to the Nominating and Corporate Governance Committee on the progress of our sustainability program. The Board also delegated to its Committees the responsibility to assist it in overseeing aspects of Brighthouse’s sustainability-related practices, as follows:</w:t>
      </w:r>
    </w:p>
    <w:p>
      <w:pPr>
        <w:ind w:left="340" w:right="980" w:hanging="224"/>
        <w:spacing w:after="0" w:line="234" w:lineRule="auto"/>
        <w:tabs>
          <w:tab w:leader="none" w:pos="340" w:val="left"/>
        </w:tabs>
        <w:numPr>
          <w:ilvl w:val="0"/>
          <w:numId w:val="72"/>
        </w:numPr>
        <w:rPr>
          <w:rFonts w:ascii="Arial" w:cs="Arial" w:eastAsia="Arial" w:hAnsi="Arial"/>
          <w:sz w:val="18"/>
          <w:szCs w:val="18"/>
          <w:color w:val="4C4C4C"/>
        </w:rPr>
      </w:pPr>
      <w:r>
        <w:rPr>
          <w:rFonts w:ascii="Arial" w:cs="Arial" w:eastAsia="Arial" w:hAnsi="Arial"/>
          <w:sz w:val="18"/>
          <w:szCs w:val="18"/>
          <w:b w:val="1"/>
          <w:bCs w:val="1"/>
          <w:color w:val="3F3F3F"/>
        </w:rPr>
        <w:t xml:space="preserve">Nominating and Corporate Governance Committee </w:t>
      </w:r>
      <w:r>
        <w:rPr>
          <w:rFonts w:ascii="Arial" w:cs="Arial" w:eastAsia="Arial" w:hAnsi="Arial"/>
          <w:sz w:val="18"/>
          <w:szCs w:val="18"/>
          <w:color w:val="4C4C4C"/>
        </w:rPr>
        <w:t>– in 2020, its charter was amended to provide that it will oversee our</w:t>
      </w:r>
      <w:r>
        <w:rPr>
          <w:rFonts w:ascii="Arial" w:cs="Arial" w:eastAsia="Arial" w:hAnsi="Arial"/>
          <w:sz w:val="18"/>
          <w:szCs w:val="18"/>
          <w:b w:val="1"/>
          <w:bCs w:val="1"/>
          <w:color w:val="3F3F3F"/>
        </w:rPr>
        <w:t xml:space="preserve"> </w:t>
      </w:r>
      <w:r>
        <w:rPr>
          <w:rFonts w:ascii="Arial" w:cs="Arial" w:eastAsia="Arial" w:hAnsi="Arial"/>
          <w:sz w:val="18"/>
          <w:szCs w:val="18"/>
          <w:color w:val="4C4C4C"/>
        </w:rPr>
        <w:t>sustainability program, including activities related to environmental stewardship and corporate social responsibility.</w:t>
      </w:r>
    </w:p>
    <w:p>
      <w:pPr>
        <w:spacing w:after="0" w:line="1" w:lineRule="exact"/>
        <w:rPr>
          <w:rFonts w:ascii="Arial" w:cs="Arial" w:eastAsia="Arial" w:hAnsi="Arial"/>
          <w:sz w:val="18"/>
          <w:szCs w:val="18"/>
          <w:color w:val="4C4C4C"/>
        </w:rPr>
      </w:pPr>
    </w:p>
    <w:p>
      <w:pPr>
        <w:ind w:left="340" w:right="240" w:hanging="224"/>
        <w:spacing w:after="0" w:line="234" w:lineRule="auto"/>
        <w:tabs>
          <w:tab w:leader="none" w:pos="340" w:val="left"/>
        </w:tabs>
        <w:numPr>
          <w:ilvl w:val="0"/>
          <w:numId w:val="72"/>
        </w:numPr>
        <w:rPr>
          <w:rFonts w:ascii="Arial" w:cs="Arial" w:eastAsia="Arial" w:hAnsi="Arial"/>
          <w:sz w:val="18"/>
          <w:szCs w:val="18"/>
          <w:color w:val="4C4C4C"/>
        </w:rPr>
      </w:pPr>
      <w:r>
        <w:rPr>
          <w:rFonts w:ascii="Arial" w:cs="Arial" w:eastAsia="Arial" w:hAnsi="Arial"/>
          <w:sz w:val="18"/>
          <w:szCs w:val="18"/>
          <w:b w:val="1"/>
          <w:bCs w:val="1"/>
          <w:color w:val="3F3F3F"/>
        </w:rPr>
        <w:t xml:space="preserve">Compensation and Human Capital Committee </w:t>
      </w:r>
      <w:r>
        <w:rPr>
          <w:rFonts w:ascii="Arial" w:cs="Arial" w:eastAsia="Arial" w:hAnsi="Arial"/>
          <w:sz w:val="18"/>
          <w:szCs w:val="18"/>
          <w:color w:val="4C4C4C"/>
        </w:rPr>
        <w:t>– oversees Brighthouse’s human capital matters, including pay equity, diversity and</w:t>
      </w:r>
      <w:r>
        <w:rPr>
          <w:rFonts w:ascii="Arial" w:cs="Arial" w:eastAsia="Arial" w:hAnsi="Arial"/>
          <w:sz w:val="18"/>
          <w:szCs w:val="18"/>
          <w:b w:val="1"/>
          <w:bCs w:val="1"/>
          <w:color w:val="3F3F3F"/>
        </w:rPr>
        <w:t xml:space="preserve"> </w:t>
      </w:r>
      <w:r>
        <w:rPr>
          <w:rFonts w:ascii="Arial" w:cs="Arial" w:eastAsia="Arial" w:hAnsi="Arial"/>
          <w:sz w:val="18"/>
          <w:szCs w:val="18"/>
          <w:color w:val="4C4C4C"/>
        </w:rPr>
        <w:t>inclusion, leadership development, culture, and succession planning for the CEO and other executives.</w:t>
      </w:r>
    </w:p>
    <w:p>
      <w:pPr>
        <w:spacing w:after="0" w:line="1" w:lineRule="exact"/>
        <w:rPr>
          <w:rFonts w:ascii="Arial" w:cs="Arial" w:eastAsia="Arial" w:hAnsi="Arial"/>
          <w:sz w:val="18"/>
          <w:szCs w:val="18"/>
          <w:color w:val="4C4C4C"/>
        </w:rPr>
      </w:pPr>
    </w:p>
    <w:p>
      <w:pPr>
        <w:ind w:left="340" w:hanging="224"/>
        <w:spacing w:after="0" w:line="234" w:lineRule="auto"/>
        <w:tabs>
          <w:tab w:leader="none" w:pos="340" w:val="left"/>
        </w:tabs>
        <w:numPr>
          <w:ilvl w:val="0"/>
          <w:numId w:val="72"/>
        </w:numPr>
        <w:rPr>
          <w:rFonts w:ascii="Arial" w:cs="Arial" w:eastAsia="Arial" w:hAnsi="Arial"/>
          <w:sz w:val="18"/>
          <w:szCs w:val="18"/>
          <w:color w:val="4C4C4C"/>
        </w:rPr>
      </w:pPr>
      <w:r>
        <w:rPr>
          <w:rFonts w:ascii="Arial" w:cs="Arial" w:eastAsia="Arial" w:hAnsi="Arial"/>
          <w:sz w:val="18"/>
          <w:szCs w:val="18"/>
          <w:b w:val="1"/>
          <w:bCs w:val="1"/>
          <w:color w:val="3F3F3F"/>
        </w:rPr>
        <w:t xml:space="preserve">Audit Committee </w:t>
      </w:r>
      <w:r>
        <w:rPr>
          <w:rFonts w:ascii="Arial" w:cs="Arial" w:eastAsia="Arial" w:hAnsi="Arial"/>
          <w:sz w:val="18"/>
          <w:szCs w:val="18"/>
          <w:color w:val="4C4C4C"/>
        </w:rPr>
        <w:t>– oversees Brighthouse’s regulatory compliance and cybersecurity program.</w:t>
      </w:r>
    </w:p>
    <w:p>
      <w:pPr>
        <w:ind w:left="340" w:right="940" w:hanging="224"/>
        <w:spacing w:after="0" w:line="234" w:lineRule="auto"/>
        <w:tabs>
          <w:tab w:leader="none" w:pos="340" w:val="left"/>
        </w:tabs>
        <w:numPr>
          <w:ilvl w:val="0"/>
          <w:numId w:val="72"/>
        </w:numPr>
        <w:rPr>
          <w:rFonts w:ascii="Arial" w:cs="Arial" w:eastAsia="Arial" w:hAnsi="Arial"/>
          <w:sz w:val="18"/>
          <w:szCs w:val="18"/>
          <w:color w:val="4C4C4C"/>
        </w:rPr>
      </w:pPr>
      <w:r>
        <w:rPr>
          <w:rFonts w:ascii="Arial" w:cs="Arial" w:eastAsia="Arial" w:hAnsi="Arial"/>
          <w:sz w:val="18"/>
          <w:szCs w:val="18"/>
          <w:b w:val="1"/>
          <w:bCs w:val="1"/>
          <w:color w:val="3F3F3F"/>
        </w:rPr>
        <w:t xml:space="preserve">Finance and Risk Committee </w:t>
      </w:r>
      <w:r>
        <w:rPr>
          <w:rFonts w:ascii="Arial" w:cs="Arial" w:eastAsia="Arial" w:hAnsi="Arial"/>
          <w:sz w:val="18"/>
          <w:szCs w:val="18"/>
          <w:color w:val="4C4C4C"/>
        </w:rPr>
        <w:t>– oversees Brighthouse’s enterprise risk program, including risks associated with its financial</w:t>
      </w:r>
      <w:r>
        <w:rPr>
          <w:rFonts w:ascii="Arial" w:cs="Arial" w:eastAsia="Arial" w:hAnsi="Arial"/>
          <w:sz w:val="18"/>
          <w:szCs w:val="18"/>
          <w:b w:val="1"/>
          <w:bCs w:val="1"/>
          <w:color w:val="3F3F3F"/>
        </w:rPr>
        <w:t xml:space="preserve"> </w:t>
      </w:r>
      <w:r>
        <w:rPr>
          <w:rFonts w:ascii="Arial" w:cs="Arial" w:eastAsia="Arial" w:hAnsi="Arial"/>
          <w:sz w:val="18"/>
          <w:szCs w:val="18"/>
          <w:color w:val="4C4C4C"/>
        </w:rPr>
        <w:t>management practices.</w:t>
      </w:r>
    </w:p>
    <w:p>
      <w:pPr>
        <w:spacing w:after="0" w:line="1" w:lineRule="exact"/>
        <w:rPr>
          <w:rFonts w:ascii="Arial" w:cs="Arial" w:eastAsia="Arial" w:hAnsi="Arial"/>
          <w:sz w:val="18"/>
          <w:szCs w:val="18"/>
          <w:color w:val="4C4C4C"/>
        </w:rPr>
      </w:pPr>
    </w:p>
    <w:p>
      <w:pPr>
        <w:ind w:left="340" w:right="760" w:hanging="224"/>
        <w:spacing w:after="0" w:line="246" w:lineRule="auto"/>
        <w:tabs>
          <w:tab w:leader="none" w:pos="340" w:val="left"/>
        </w:tabs>
        <w:numPr>
          <w:ilvl w:val="0"/>
          <w:numId w:val="72"/>
        </w:numPr>
        <w:rPr>
          <w:rFonts w:ascii="Arial" w:cs="Arial" w:eastAsia="Arial" w:hAnsi="Arial"/>
          <w:sz w:val="18"/>
          <w:szCs w:val="18"/>
          <w:color w:val="4C4C4C"/>
        </w:rPr>
      </w:pPr>
      <w:r>
        <w:rPr>
          <w:rFonts w:ascii="Arial" w:cs="Arial" w:eastAsia="Arial" w:hAnsi="Arial"/>
          <w:sz w:val="18"/>
          <w:szCs w:val="18"/>
          <w:b w:val="1"/>
          <w:bCs w:val="1"/>
          <w:color w:val="3F3F3F"/>
        </w:rPr>
        <w:t xml:space="preserve">Investment Committee </w:t>
      </w:r>
      <w:r>
        <w:rPr>
          <w:rFonts w:ascii="Arial" w:cs="Arial" w:eastAsia="Arial" w:hAnsi="Arial"/>
          <w:sz w:val="18"/>
          <w:szCs w:val="18"/>
          <w:color w:val="4C4C4C"/>
        </w:rPr>
        <w:t>– oversees Brighthouse’s investment portfolio, including our consideration of ESG factors in our asset</w:t>
      </w:r>
      <w:r>
        <w:rPr>
          <w:rFonts w:ascii="Arial" w:cs="Arial" w:eastAsia="Arial" w:hAnsi="Arial"/>
          <w:sz w:val="18"/>
          <w:szCs w:val="18"/>
          <w:b w:val="1"/>
          <w:bCs w:val="1"/>
          <w:color w:val="3F3F3F"/>
        </w:rPr>
        <w:t xml:space="preserve"> </w:t>
      </w:r>
      <w:r>
        <w:rPr>
          <w:rFonts w:ascii="Arial" w:cs="Arial" w:eastAsia="Arial" w:hAnsi="Arial"/>
          <w:sz w:val="18"/>
          <w:szCs w:val="18"/>
          <w:color w:val="4C4C4C"/>
        </w:rPr>
        <w:t>management program.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Executive Compensation Philosophy</w:t>
      </w:r>
    </w:p>
    <w:p>
      <w:pPr>
        <w:spacing w:after="0" w:line="13"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4C4C4C"/>
        </w:rPr>
        <w:t>The Compensation and Human Capital Committee has established a compensation program rooted in a pay-for- performance philosophy. Our program is intended to align the interests and incentives of our named executive officers (each an “</w:t>
      </w:r>
      <w:r>
        <w:rPr>
          <w:rFonts w:ascii="Arial" w:cs="Arial" w:eastAsia="Arial" w:hAnsi="Arial"/>
          <w:sz w:val="18"/>
          <w:szCs w:val="18"/>
          <w:b w:val="1"/>
          <w:bCs w:val="1"/>
          <w:color w:val="00ADBB"/>
        </w:rPr>
        <w:t>NEO</w:t>
      </w:r>
      <w:r>
        <w:rPr>
          <w:rFonts w:ascii="Arial" w:cs="Arial" w:eastAsia="Arial" w:hAnsi="Arial"/>
          <w:sz w:val="18"/>
          <w:szCs w:val="18"/>
          <w:color w:val="4C4C4C"/>
        </w:rPr>
        <w:t>”) with those of our stockholders by tying a majority of our CEO’s compensation and a substantial portion of our other NEOs’ compensation to the achievement of performance metrics that are linked to our strategy and financial plan. Our executive compensation program is guided by the following general principles and objectives:</w:t>
      </w:r>
    </w:p>
    <w:p>
      <w:pPr>
        <w:spacing w:after="0" w:line="3" w:lineRule="exact"/>
        <w:rPr>
          <w:sz w:val="20"/>
          <w:szCs w:val="20"/>
          <w:color w:val="auto"/>
        </w:rPr>
      </w:pPr>
    </w:p>
    <w:p>
      <w:pPr>
        <w:ind w:left="340" w:right="220" w:hanging="224"/>
        <w:spacing w:after="0" w:line="234"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 xml:space="preserve">Paying for performance: </w:t>
      </w:r>
      <w:r>
        <w:rPr>
          <w:rFonts w:ascii="Arial" w:cs="Arial" w:eastAsia="Arial" w:hAnsi="Arial"/>
          <w:sz w:val="18"/>
          <w:szCs w:val="18"/>
          <w:color w:val="4C4C4C"/>
        </w:rPr>
        <w:t>a majority of executive compensation is in the form of variable elements based on individual and Company</w:t>
      </w:r>
      <w:r>
        <w:rPr>
          <w:rFonts w:ascii="Arial" w:cs="Arial" w:eastAsia="Arial" w:hAnsi="Arial"/>
          <w:sz w:val="18"/>
          <w:szCs w:val="18"/>
          <w:b w:val="1"/>
          <w:bCs w:val="1"/>
          <w:color w:val="3F3F3F"/>
        </w:rPr>
        <w:t xml:space="preserve"> </w:t>
      </w:r>
      <w:r>
        <w:rPr>
          <w:rFonts w:ascii="Arial" w:cs="Arial" w:eastAsia="Arial" w:hAnsi="Arial"/>
          <w:sz w:val="18"/>
          <w:szCs w:val="18"/>
          <w:color w:val="4C4C4C"/>
        </w:rPr>
        <w:t>performance results that drive increases in stockholder value;</w:t>
      </w:r>
    </w:p>
    <w:p>
      <w:pPr>
        <w:spacing w:after="0" w:line="1" w:lineRule="exact"/>
        <w:rPr>
          <w:rFonts w:ascii="Arial" w:cs="Arial" w:eastAsia="Arial" w:hAnsi="Arial"/>
          <w:sz w:val="18"/>
          <w:szCs w:val="18"/>
          <w:color w:val="4C4C4C"/>
        </w:rPr>
      </w:pPr>
    </w:p>
    <w:p>
      <w:pPr>
        <w:ind w:left="340" w:right="60" w:hanging="224"/>
        <w:spacing w:after="0" w:line="234"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Providing competitive Target Total Direct Compensation (“</w:t>
      </w:r>
      <w:r>
        <w:rPr>
          <w:rFonts w:ascii="Arial" w:cs="Arial" w:eastAsia="Arial" w:hAnsi="Arial"/>
          <w:sz w:val="18"/>
          <w:szCs w:val="18"/>
          <w:b w:val="1"/>
          <w:bCs w:val="1"/>
          <w:color w:val="00ADBB"/>
        </w:rPr>
        <w:t>Target TDC</w:t>
      </w:r>
      <w:r>
        <w:rPr>
          <w:rFonts w:ascii="Arial" w:cs="Arial" w:eastAsia="Arial" w:hAnsi="Arial"/>
          <w:sz w:val="18"/>
          <w:szCs w:val="18"/>
          <w:b w:val="1"/>
          <w:bCs w:val="1"/>
          <w:color w:val="3F3F3F"/>
        </w:rPr>
        <w:t xml:space="preserve">”) opportunities </w:t>
      </w:r>
      <w:r>
        <w:rPr>
          <w:rFonts w:ascii="Arial" w:cs="Arial" w:eastAsia="Arial" w:hAnsi="Arial"/>
          <w:sz w:val="18"/>
          <w:szCs w:val="18"/>
          <w:color w:val="4C4C4C"/>
        </w:rPr>
        <w:t>(defined as base salary plus short-term</w:t>
      </w:r>
      <w:r>
        <w:rPr>
          <w:rFonts w:ascii="Arial" w:cs="Arial" w:eastAsia="Arial" w:hAnsi="Arial"/>
          <w:sz w:val="18"/>
          <w:szCs w:val="18"/>
          <w:b w:val="1"/>
          <w:bCs w:val="1"/>
          <w:color w:val="3F3F3F"/>
        </w:rPr>
        <w:t xml:space="preserve"> </w:t>
      </w:r>
      <w:r>
        <w:rPr>
          <w:rFonts w:ascii="Arial" w:cs="Arial" w:eastAsia="Arial" w:hAnsi="Arial"/>
          <w:sz w:val="18"/>
          <w:szCs w:val="18"/>
          <w:color w:val="4C4C4C"/>
        </w:rPr>
        <w:t>incentive (“</w:t>
      </w:r>
      <w:r>
        <w:rPr>
          <w:rFonts w:ascii="Arial" w:cs="Arial" w:eastAsia="Arial" w:hAnsi="Arial"/>
          <w:sz w:val="18"/>
          <w:szCs w:val="18"/>
          <w:b w:val="1"/>
          <w:bCs w:val="1"/>
          <w:color w:val="00ADBB"/>
        </w:rPr>
        <w:t>STI</w:t>
      </w:r>
      <w:r>
        <w:rPr>
          <w:rFonts w:ascii="Arial" w:cs="Arial" w:eastAsia="Arial" w:hAnsi="Arial"/>
          <w:sz w:val="18"/>
          <w:szCs w:val="18"/>
          <w:color w:val="4C4C4C"/>
        </w:rPr>
        <w:t>”) and long-term incentive (“</w:t>
      </w:r>
      <w:r>
        <w:rPr>
          <w:rFonts w:ascii="Arial" w:cs="Arial" w:eastAsia="Arial" w:hAnsi="Arial"/>
          <w:sz w:val="18"/>
          <w:szCs w:val="18"/>
          <w:b w:val="1"/>
          <w:bCs w:val="1"/>
          <w:color w:val="00ADBB"/>
        </w:rPr>
        <w:t>LTI</w:t>
      </w:r>
      <w:r>
        <w:rPr>
          <w:rFonts w:ascii="Arial" w:cs="Arial" w:eastAsia="Arial" w:hAnsi="Arial"/>
          <w:sz w:val="18"/>
          <w:szCs w:val="18"/>
          <w:color w:val="4C4C4C"/>
        </w:rPr>
        <w:t>”) compensation opportunities): we aim to offer compensation that enables Brighthouse to attract, motivate, and retain high-performing employees;</w:t>
      </w:r>
    </w:p>
    <w:p>
      <w:pPr>
        <w:spacing w:after="0" w:line="2" w:lineRule="exact"/>
        <w:rPr>
          <w:rFonts w:ascii="Arial" w:cs="Arial" w:eastAsia="Arial" w:hAnsi="Arial"/>
          <w:sz w:val="18"/>
          <w:szCs w:val="18"/>
          <w:color w:val="4C4C4C"/>
        </w:rPr>
      </w:pPr>
    </w:p>
    <w:p>
      <w:pPr>
        <w:ind w:left="340" w:right="440" w:hanging="224"/>
        <w:spacing w:after="0" w:line="234"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 xml:space="preserve">Aligning executives’ interests with stockholders’ interests: </w:t>
      </w:r>
      <w:r>
        <w:rPr>
          <w:rFonts w:ascii="Arial" w:cs="Arial" w:eastAsia="Arial" w:hAnsi="Arial"/>
          <w:sz w:val="18"/>
          <w:szCs w:val="18"/>
          <w:color w:val="4C4C4C"/>
        </w:rPr>
        <w:t>a majority of our CEO’s Target TDC and a significant portion of our</w:t>
      </w:r>
      <w:r>
        <w:rPr>
          <w:rFonts w:ascii="Arial" w:cs="Arial" w:eastAsia="Arial" w:hAnsi="Arial"/>
          <w:sz w:val="18"/>
          <w:szCs w:val="18"/>
          <w:b w:val="1"/>
          <w:bCs w:val="1"/>
          <w:color w:val="3F3F3F"/>
        </w:rPr>
        <w:t xml:space="preserve"> </w:t>
      </w:r>
      <w:r>
        <w:rPr>
          <w:rFonts w:ascii="Arial" w:cs="Arial" w:eastAsia="Arial" w:hAnsi="Arial"/>
          <w:sz w:val="18"/>
          <w:szCs w:val="18"/>
          <w:color w:val="4C4C4C"/>
        </w:rPr>
        <w:t>NEOs’ Target TDC is delivered in the form of stock-based incentives;</w:t>
      </w:r>
    </w:p>
    <w:p>
      <w:pPr>
        <w:spacing w:after="0" w:line="1" w:lineRule="exact"/>
        <w:rPr>
          <w:rFonts w:ascii="Arial" w:cs="Arial" w:eastAsia="Arial" w:hAnsi="Arial"/>
          <w:sz w:val="18"/>
          <w:szCs w:val="18"/>
          <w:color w:val="4C4C4C"/>
        </w:rPr>
      </w:pPr>
    </w:p>
    <w:p>
      <w:pPr>
        <w:ind w:left="340" w:right="20" w:hanging="224"/>
        <w:spacing w:after="0" w:line="234"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 xml:space="preserve">Encouraging long-term decision-making: </w:t>
      </w:r>
      <w:r>
        <w:rPr>
          <w:rFonts w:ascii="Arial" w:cs="Arial" w:eastAsia="Arial" w:hAnsi="Arial"/>
          <w:sz w:val="18"/>
          <w:szCs w:val="18"/>
          <w:color w:val="4C4C4C"/>
        </w:rPr>
        <w:t>our long-term incentive compensation program includes awards with multiyear, overlapping</w:t>
      </w:r>
      <w:r>
        <w:rPr>
          <w:rFonts w:ascii="Arial" w:cs="Arial" w:eastAsia="Arial" w:hAnsi="Arial"/>
          <w:sz w:val="18"/>
          <w:szCs w:val="18"/>
          <w:b w:val="1"/>
          <w:bCs w:val="1"/>
          <w:color w:val="3F3F3F"/>
        </w:rPr>
        <w:t xml:space="preserve"> </w:t>
      </w:r>
      <w:r>
        <w:rPr>
          <w:rFonts w:ascii="Arial" w:cs="Arial" w:eastAsia="Arial" w:hAnsi="Arial"/>
          <w:sz w:val="18"/>
          <w:szCs w:val="18"/>
          <w:color w:val="4C4C4C"/>
        </w:rPr>
        <w:t>performance or restriction periods;</w:t>
      </w:r>
    </w:p>
    <w:p>
      <w:pPr>
        <w:spacing w:after="0" w:line="1" w:lineRule="exact"/>
        <w:rPr>
          <w:rFonts w:ascii="Arial" w:cs="Arial" w:eastAsia="Arial" w:hAnsi="Arial"/>
          <w:sz w:val="18"/>
          <w:szCs w:val="18"/>
          <w:color w:val="4C4C4C"/>
        </w:rPr>
      </w:pPr>
    </w:p>
    <w:p>
      <w:pPr>
        <w:ind w:left="340" w:right="120" w:hanging="224"/>
        <w:spacing w:after="0" w:line="234"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 xml:space="preserve">Avoiding problematic pay practices: </w:t>
      </w:r>
      <w:r>
        <w:rPr>
          <w:rFonts w:ascii="Arial" w:cs="Arial" w:eastAsia="Arial" w:hAnsi="Arial"/>
          <w:sz w:val="18"/>
          <w:szCs w:val="18"/>
          <w:color w:val="4C4C4C"/>
        </w:rPr>
        <w:t>we do not provide excessive perquisites, excessive change-of-control severance pay, or excise</w:t>
      </w:r>
      <w:r>
        <w:rPr>
          <w:rFonts w:ascii="Arial" w:cs="Arial" w:eastAsia="Arial" w:hAnsi="Arial"/>
          <w:sz w:val="18"/>
          <w:szCs w:val="18"/>
          <w:b w:val="1"/>
          <w:bCs w:val="1"/>
          <w:color w:val="3F3F3F"/>
        </w:rPr>
        <w:t xml:space="preserve"> </w:t>
      </w:r>
      <w:r>
        <w:rPr>
          <w:rFonts w:ascii="Arial" w:cs="Arial" w:eastAsia="Arial" w:hAnsi="Arial"/>
          <w:sz w:val="18"/>
          <w:szCs w:val="18"/>
          <w:color w:val="4C4C4C"/>
        </w:rPr>
        <w:t>tax gross-ups, and we will not reprice stock options without stockholder approval; and</w:t>
      </w:r>
    </w:p>
    <w:p>
      <w:pPr>
        <w:spacing w:after="0" w:line="1" w:lineRule="exact"/>
        <w:rPr>
          <w:rFonts w:ascii="Arial" w:cs="Arial" w:eastAsia="Arial" w:hAnsi="Arial"/>
          <w:sz w:val="18"/>
          <w:szCs w:val="18"/>
          <w:color w:val="4C4C4C"/>
        </w:rPr>
      </w:pPr>
    </w:p>
    <w:p>
      <w:pPr>
        <w:ind w:left="340" w:right="340" w:hanging="224"/>
        <w:spacing w:after="0" w:line="246" w:lineRule="auto"/>
        <w:tabs>
          <w:tab w:leader="none" w:pos="340" w:val="left"/>
        </w:tabs>
        <w:numPr>
          <w:ilvl w:val="0"/>
          <w:numId w:val="73"/>
        </w:numPr>
        <w:rPr>
          <w:rFonts w:ascii="Arial" w:cs="Arial" w:eastAsia="Arial" w:hAnsi="Arial"/>
          <w:sz w:val="18"/>
          <w:szCs w:val="18"/>
          <w:color w:val="4C4C4C"/>
        </w:rPr>
      </w:pPr>
      <w:r>
        <w:rPr>
          <w:rFonts w:ascii="Arial" w:cs="Arial" w:eastAsia="Arial" w:hAnsi="Arial"/>
          <w:sz w:val="18"/>
          <w:szCs w:val="18"/>
          <w:b w:val="1"/>
          <w:bCs w:val="1"/>
          <w:color w:val="3F3F3F"/>
        </w:rPr>
        <w:t xml:space="preserve">Reinforcing strong risk management: </w:t>
      </w:r>
      <w:r>
        <w:rPr>
          <w:rFonts w:ascii="Arial" w:cs="Arial" w:eastAsia="Arial" w:hAnsi="Arial"/>
          <w:sz w:val="18"/>
          <w:szCs w:val="18"/>
          <w:color w:val="4C4C4C"/>
        </w:rPr>
        <w:t>our compensation program is designed to avoid providing our employees with incentives to</w:t>
      </w:r>
      <w:r>
        <w:rPr>
          <w:rFonts w:ascii="Arial" w:cs="Arial" w:eastAsia="Arial" w:hAnsi="Arial"/>
          <w:sz w:val="18"/>
          <w:szCs w:val="18"/>
          <w:b w:val="1"/>
          <w:bCs w:val="1"/>
          <w:color w:val="3F3F3F"/>
        </w:rPr>
        <w:t xml:space="preserve"> </w:t>
      </w:r>
      <w:r>
        <w:rPr>
          <w:rFonts w:ascii="Arial" w:cs="Arial" w:eastAsia="Arial" w:hAnsi="Arial"/>
          <w:sz w:val="18"/>
          <w:szCs w:val="18"/>
          <w:color w:val="4C4C4C"/>
        </w:rPr>
        <w:t>take excessive risks.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11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Proxy Summary</w:t>
      </w:r>
      <w:r>
        <w:rPr>
          <w:sz w:val="20"/>
          <w:szCs w:val="20"/>
          <w:color w:val="auto"/>
        </w:rPr>
        <w:tab/>
      </w:r>
      <w:r>
        <w:rPr>
          <w:rFonts w:ascii="Arial" w:cs="Arial" w:eastAsia="Arial" w:hAnsi="Arial"/>
          <w:sz w:val="12"/>
          <w:szCs w:val="12"/>
          <w:b w:val="1"/>
          <w:bCs w:val="1"/>
          <w:color w:val="00ADBB"/>
        </w:rPr>
        <w:t>Brighthouse Financial, Inc.</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2020 Executive Compensation Program</w:t>
      </w:r>
    </w:p>
    <w:p>
      <w:pPr>
        <w:spacing w:after="0" w:line="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4C4C4C"/>
        </w:rPr>
        <w:t>The Compensation and Human Capital Committee considered stockholder feedback and the result of our 2020 Say-on-Pay vote in designing an executive compensation program that is guided by our pay-for-performance philosophy and aligns our NEOs’ compensation opportunities with achievement of the Company’s short- and long-term business goals, as approved by the Board as part of its annual review of Brighthouse’s strategy. Our 2020 executive compensation program remained largely consistent with our 2019 program. Changes to the program are described in the Compensation Discussion &amp; Analysis.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Key Components of Our 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ADBB"/>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9169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Short-Term</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Incentive</w:t>
      </w:r>
    </w:p>
    <w:p>
      <w:pPr>
        <w:ind w:left="120"/>
        <w:spacing w:after="0"/>
        <w:rPr>
          <w:sz w:val="20"/>
          <w:szCs w:val="20"/>
          <w:color w:val="auto"/>
        </w:rPr>
      </w:pPr>
      <w:r>
        <w:rPr>
          <w:rFonts w:ascii="Arial" w:cs="Arial" w:eastAsia="Arial" w:hAnsi="Arial"/>
          <w:sz w:val="18"/>
          <w:szCs w:val="18"/>
          <w:b w:val="1"/>
          <w:bCs w:val="1"/>
          <w:color w:val="00ADBB"/>
        </w:rPr>
        <w:t>Awards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68" w:hanging="168"/>
        <w:spacing w:after="0"/>
        <w:tabs>
          <w:tab w:leader="none" w:pos="168" w:val="left"/>
        </w:tabs>
        <w:numPr>
          <w:ilvl w:val="0"/>
          <w:numId w:val="74"/>
        </w:numPr>
        <w:rPr>
          <w:rFonts w:ascii="Arial" w:cs="Arial" w:eastAsia="Arial" w:hAnsi="Arial"/>
          <w:sz w:val="18"/>
          <w:szCs w:val="18"/>
          <w:color w:val="4C4C4C"/>
        </w:rPr>
      </w:pPr>
      <w:r>
        <w:rPr>
          <w:rFonts w:ascii="Arial" w:cs="Arial" w:eastAsia="Arial" w:hAnsi="Arial"/>
          <w:sz w:val="18"/>
          <w:szCs w:val="18"/>
          <w:color w:val="4C4C4C"/>
        </w:rPr>
        <w:t>Fixed compensation for services during the year.</w:t>
      </w:r>
    </w:p>
    <w:p>
      <w:pPr>
        <w:spacing w:after="0" w:line="301" w:lineRule="exact"/>
        <w:rPr>
          <w:rFonts w:ascii="Arial" w:cs="Arial" w:eastAsia="Arial" w:hAnsi="Arial"/>
          <w:sz w:val="18"/>
          <w:szCs w:val="18"/>
          <w:color w:val="4C4C4C"/>
        </w:rPr>
      </w:pPr>
    </w:p>
    <w:p>
      <w:pPr>
        <w:ind w:left="148" w:hanging="148"/>
        <w:spacing w:after="0"/>
        <w:tabs>
          <w:tab w:leader="none" w:pos="148" w:val="left"/>
        </w:tabs>
        <w:numPr>
          <w:ilvl w:val="0"/>
          <w:numId w:val="74"/>
        </w:numPr>
        <w:rPr>
          <w:rFonts w:ascii="Arial" w:cs="Arial" w:eastAsia="Arial" w:hAnsi="Arial"/>
          <w:sz w:val="18"/>
          <w:szCs w:val="18"/>
          <w:color w:val="4C4C4C"/>
        </w:rPr>
      </w:pPr>
      <w:r>
        <w:rPr>
          <w:rFonts w:ascii="Arial" w:cs="Arial" w:eastAsia="Arial" w:hAnsi="Arial"/>
          <w:sz w:val="18"/>
          <w:szCs w:val="18"/>
          <w:color w:val="4C4C4C"/>
        </w:rPr>
        <w:t>Annual cash award based on Company and individual performance.</w:t>
      </w:r>
    </w:p>
    <w:p>
      <w:pPr>
        <w:ind w:left="188" w:right="180" w:hanging="188"/>
        <w:spacing w:after="0" w:line="234" w:lineRule="auto"/>
        <w:tabs>
          <w:tab w:leader="none" w:pos="172" w:val="left"/>
        </w:tabs>
        <w:numPr>
          <w:ilvl w:val="0"/>
          <w:numId w:val="74"/>
        </w:numPr>
        <w:rPr>
          <w:rFonts w:ascii="Arial" w:cs="Arial" w:eastAsia="Arial" w:hAnsi="Arial"/>
          <w:sz w:val="18"/>
          <w:szCs w:val="18"/>
          <w:color w:val="4C4C4C"/>
        </w:rPr>
      </w:pPr>
      <w:r>
        <w:rPr>
          <w:rFonts w:ascii="Arial" w:cs="Arial" w:eastAsia="Arial" w:hAnsi="Arial"/>
          <w:sz w:val="18"/>
          <w:szCs w:val="18"/>
          <w:color w:val="4C4C4C"/>
        </w:rPr>
        <w:t>Performance metrics measure our achievement of three equally weighted and strategically important corporate goals (weighting):</w:t>
      </w:r>
    </w:p>
    <w:p>
      <w:pPr>
        <w:spacing w:after="0" w:line="1" w:lineRule="exact"/>
        <w:rPr>
          <w:rFonts w:ascii="Arial" w:cs="Arial" w:eastAsia="Arial" w:hAnsi="Arial"/>
          <w:sz w:val="18"/>
          <w:szCs w:val="18"/>
          <w:color w:val="4C4C4C"/>
        </w:rPr>
      </w:pPr>
    </w:p>
    <w:p>
      <w:pPr>
        <w:ind w:left="368" w:right="360" w:hanging="188"/>
        <w:spacing w:after="0" w:line="234" w:lineRule="auto"/>
        <w:tabs>
          <w:tab w:leader="none" w:pos="352" w:val="left"/>
        </w:tabs>
        <w:numPr>
          <w:ilvl w:val="1"/>
          <w:numId w:val="74"/>
        </w:numPr>
        <w:rPr>
          <w:rFonts w:ascii="Arial" w:cs="Arial" w:eastAsia="Arial" w:hAnsi="Arial"/>
          <w:sz w:val="18"/>
          <w:szCs w:val="18"/>
          <w:color w:val="4C4C4C"/>
        </w:rPr>
      </w:pPr>
      <w:r>
        <w:rPr>
          <w:rFonts w:ascii="Arial" w:cs="Arial" w:eastAsia="Arial" w:hAnsi="Arial"/>
          <w:sz w:val="18"/>
          <w:szCs w:val="18"/>
          <w:color w:val="4C4C4C"/>
        </w:rPr>
        <w:t>Expense Target (40%) – aligns with our strategic goal of adopting and maintaining an operating model that reduces our run-rate expenses.</w:t>
      </w:r>
    </w:p>
    <w:p>
      <w:pPr>
        <w:spacing w:after="0" w:line="1" w:lineRule="exact"/>
        <w:rPr>
          <w:rFonts w:ascii="Arial" w:cs="Arial" w:eastAsia="Arial" w:hAnsi="Arial"/>
          <w:sz w:val="18"/>
          <w:szCs w:val="18"/>
          <w:color w:val="4C4C4C"/>
        </w:rPr>
      </w:pPr>
    </w:p>
    <w:p>
      <w:pPr>
        <w:ind w:left="348" w:hanging="168"/>
        <w:spacing w:after="0" w:line="234" w:lineRule="auto"/>
        <w:tabs>
          <w:tab w:leader="none" w:pos="348" w:val="left"/>
        </w:tabs>
        <w:numPr>
          <w:ilvl w:val="1"/>
          <w:numId w:val="74"/>
        </w:numPr>
        <w:rPr>
          <w:rFonts w:ascii="Arial" w:cs="Arial" w:eastAsia="Arial" w:hAnsi="Arial"/>
          <w:sz w:val="18"/>
          <w:szCs w:val="18"/>
          <w:color w:val="4C4C4C"/>
        </w:rPr>
      </w:pPr>
      <w:r>
        <w:rPr>
          <w:rFonts w:ascii="Arial" w:cs="Arial" w:eastAsia="Arial" w:hAnsi="Arial"/>
          <w:sz w:val="18"/>
          <w:szCs w:val="18"/>
          <w:color w:val="4C4C4C"/>
        </w:rPr>
        <w:t>Sales (40%) – key driver of growth and franchise stability.</w:t>
      </w:r>
    </w:p>
    <w:p>
      <w:pPr>
        <w:ind w:left="368" w:right="40" w:hanging="188"/>
        <w:spacing w:after="0"/>
        <w:tabs>
          <w:tab w:leader="none" w:pos="352" w:val="left"/>
        </w:tabs>
        <w:numPr>
          <w:ilvl w:val="1"/>
          <w:numId w:val="74"/>
        </w:numPr>
        <w:rPr>
          <w:rFonts w:ascii="Arial" w:cs="Arial" w:eastAsia="Arial" w:hAnsi="Arial"/>
          <w:sz w:val="18"/>
          <w:szCs w:val="18"/>
          <w:color w:val="4C4C4C"/>
        </w:rPr>
      </w:pPr>
      <w:r>
        <w:rPr>
          <w:rFonts w:ascii="Arial" w:cs="Arial" w:eastAsia="Arial" w:hAnsi="Arial"/>
          <w:sz w:val="18"/>
          <w:szCs w:val="18"/>
          <w:color w:val="4C4C4C"/>
        </w:rPr>
        <w:t>Normalized Statutory Earnings (20%) – important indicator of financial strength that is used by management to measure our insurance companies’ generation of statutory distributable cash flows (sometimes referred to as distributable earnings) and is reflective of whether our hedging program functions as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-1181735</wp:posOffset>
            </wp:positionV>
            <wp:extent cx="58718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272" w:space="720"/>
            <w:col w:w="9148"/>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44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00ADBB"/>
              </w:rPr>
              <w:t>Long-Term</w:t>
            </w:r>
          </w:p>
        </w:tc>
        <w:tc>
          <w:tcPr>
            <w:tcW w:w="320" w:type="dxa"/>
            <w:vAlign w:val="bottom"/>
          </w:tcPr>
          <w:p>
            <w:pPr>
              <w:spacing w:after="0"/>
              <w:rPr>
                <w:sz w:val="17"/>
                <w:szCs w:val="17"/>
                <w:color w:val="auto"/>
              </w:rPr>
            </w:pPr>
          </w:p>
        </w:tc>
        <w:tc>
          <w:tcPr>
            <w:tcW w:w="220" w:type="dxa"/>
            <w:vAlign w:val="bottom"/>
            <w:tcBorders>
              <w:top w:val="single" w:sz="8" w:color="4C4C4C"/>
            </w:tcBorders>
          </w:tcPr>
          <w:p>
            <w:pPr>
              <w:ind w:left="120"/>
              <w:spacing w:after="0"/>
              <w:rPr>
                <w:sz w:val="20"/>
                <w:szCs w:val="20"/>
                <w:color w:val="auto"/>
              </w:rPr>
            </w:pPr>
            <w:r>
              <w:rPr>
                <w:rFonts w:ascii="Arial" w:cs="Arial" w:eastAsia="Arial" w:hAnsi="Arial"/>
                <w:sz w:val="18"/>
                <w:szCs w:val="18"/>
                <w:color w:val="4C4C4C"/>
              </w:rPr>
              <w:t>•</w:t>
            </w:r>
          </w:p>
        </w:tc>
        <w:tc>
          <w:tcPr>
            <w:tcW w:w="9040" w:type="dxa"/>
            <w:vAlign w:val="bottom"/>
            <w:tcBorders>
              <w:top w:val="single" w:sz="8" w:color="4C4C4C"/>
            </w:tcBorders>
          </w:tcPr>
          <w:p>
            <w:pPr>
              <w:ind w:left="60"/>
              <w:spacing w:after="0"/>
              <w:rPr>
                <w:sz w:val="20"/>
                <w:szCs w:val="20"/>
                <w:color w:val="auto"/>
              </w:rPr>
            </w:pPr>
            <w:r>
              <w:rPr>
                <w:rFonts w:ascii="Arial" w:cs="Arial" w:eastAsia="Arial" w:hAnsi="Arial"/>
                <w:sz w:val="18"/>
                <w:szCs w:val="18"/>
                <w:color w:val="4C4C4C"/>
              </w:rPr>
              <w:t>LTI vehicle mix is weighted more toward performance-based compensation – 70% Performance Share Units</w:t>
            </w:r>
          </w:p>
        </w:tc>
      </w:tr>
      <w:tr>
        <w:trPr>
          <w:trHeight w:val="203"/>
        </w:trPr>
        <w:tc>
          <w:tcPr>
            <w:tcW w:w="1760" w:type="dxa"/>
            <w:vAlign w:val="bottom"/>
            <w:gridSpan w:val="2"/>
          </w:tcPr>
          <w:p>
            <w:pPr>
              <w:spacing w:after="0" w:line="202" w:lineRule="exact"/>
              <w:rPr>
                <w:sz w:val="20"/>
                <w:szCs w:val="20"/>
                <w:color w:val="auto"/>
              </w:rPr>
            </w:pPr>
            <w:r>
              <w:rPr>
                <w:rFonts w:ascii="Arial" w:cs="Arial" w:eastAsia="Arial" w:hAnsi="Arial"/>
                <w:sz w:val="18"/>
                <w:szCs w:val="18"/>
                <w:b w:val="1"/>
                <w:bCs w:val="1"/>
                <w:color w:val="00ADBB"/>
              </w:rPr>
              <w:t>Incentive</w:t>
            </w:r>
          </w:p>
        </w:tc>
        <w:tc>
          <w:tcPr>
            <w:tcW w:w="220" w:type="dxa"/>
            <w:vAlign w:val="bottom"/>
          </w:tcPr>
          <w:p>
            <w:pPr>
              <w:spacing w:after="0"/>
              <w:rPr>
                <w:sz w:val="17"/>
                <w:szCs w:val="17"/>
                <w:color w:val="auto"/>
              </w:rPr>
            </w:pPr>
          </w:p>
        </w:tc>
        <w:tc>
          <w:tcPr>
            <w:tcW w:w="9040" w:type="dxa"/>
            <w:vAlign w:val="bottom"/>
          </w:tcPr>
          <w:p>
            <w:pPr>
              <w:ind w:left="80"/>
              <w:spacing w:after="0" w:line="202" w:lineRule="exact"/>
              <w:rPr>
                <w:sz w:val="20"/>
                <w:szCs w:val="20"/>
                <w:color w:val="auto"/>
              </w:rPr>
            </w:pPr>
            <w:r>
              <w:rPr>
                <w:rFonts w:ascii="Arial" w:cs="Arial" w:eastAsia="Arial" w:hAnsi="Arial"/>
                <w:sz w:val="18"/>
                <w:szCs w:val="18"/>
                <w:color w:val="4C4C4C"/>
              </w:rPr>
              <w:t>(“</w:t>
            </w:r>
            <w:r>
              <w:rPr>
                <w:rFonts w:ascii="Arial" w:cs="Arial" w:eastAsia="Arial" w:hAnsi="Arial"/>
                <w:sz w:val="18"/>
                <w:szCs w:val="18"/>
                <w:b w:val="1"/>
                <w:bCs w:val="1"/>
                <w:color w:val="00ADBB"/>
              </w:rPr>
              <w:t>PSUs</w:t>
            </w:r>
            <w:r>
              <w:rPr>
                <w:rFonts w:ascii="Arial" w:cs="Arial" w:eastAsia="Arial" w:hAnsi="Arial"/>
                <w:sz w:val="18"/>
                <w:szCs w:val="18"/>
                <w:color w:val="4C4C4C"/>
              </w:rPr>
              <w:t>”) and 30% Restricted Stock Units (“</w:t>
            </w:r>
            <w:r>
              <w:rPr>
                <w:rFonts w:ascii="Arial" w:cs="Arial" w:eastAsia="Arial" w:hAnsi="Arial"/>
                <w:sz w:val="18"/>
                <w:szCs w:val="18"/>
                <w:b w:val="1"/>
                <w:bCs w:val="1"/>
                <w:color w:val="00ADBB"/>
              </w:rPr>
              <w:t>RSUs</w:t>
            </w:r>
            <w:r>
              <w:rPr>
                <w:rFonts w:ascii="Arial" w:cs="Arial" w:eastAsia="Arial" w:hAnsi="Arial"/>
                <w:sz w:val="18"/>
                <w:szCs w:val="18"/>
                <w:color w:val="4C4C4C"/>
              </w:rPr>
              <w:t>”) for the CEO; 60% PSUs and 40% RSUs for our other NEOs.</w:t>
            </w:r>
          </w:p>
        </w:tc>
      </w:tr>
      <w:tr>
        <w:trPr>
          <w:trHeight w:val="224"/>
        </w:trPr>
        <w:tc>
          <w:tcPr>
            <w:tcW w:w="1760" w:type="dxa"/>
            <w:vAlign w:val="bottom"/>
            <w:gridSpan w:val="2"/>
          </w:tcPr>
          <w:p>
            <w:pPr>
              <w:spacing w:after="0"/>
              <w:rPr>
                <w:sz w:val="20"/>
                <w:szCs w:val="20"/>
                <w:color w:val="auto"/>
              </w:rPr>
            </w:pPr>
            <w:r>
              <w:rPr>
                <w:rFonts w:ascii="Arial" w:cs="Arial" w:eastAsia="Arial" w:hAnsi="Arial"/>
                <w:sz w:val="18"/>
                <w:szCs w:val="18"/>
                <w:b w:val="1"/>
                <w:bCs w:val="1"/>
                <w:color w:val="00ADBB"/>
              </w:rPr>
              <w:t>Awards</w:t>
            </w:r>
          </w:p>
        </w:tc>
        <w:tc>
          <w:tcPr>
            <w:tcW w:w="220" w:type="dxa"/>
            <w:vAlign w:val="bottom"/>
          </w:tcPr>
          <w:p>
            <w:pPr>
              <w:ind w:left="120"/>
              <w:spacing w:after="0"/>
              <w:rPr>
                <w:sz w:val="20"/>
                <w:szCs w:val="20"/>
                <w:color w:val="auto"/>
              </w:rPr>
            </w:pPr>
            <w:r>
              <w:rPr>
                <w:rFonts w:ascii="Arial" w:cs="Arial" w:eastAsia="Arial" w:hAnsi="Arial"/>
                <w:sz w:val="18"/>
                <w:szCs w:val="18"/>
                <w:color w:val="4C4C4C"/>
              </w:rPr>
              <w:t>•</w:t>
            </w:r>
          </w:p>
        </w:tc>
        <w:tc>
          <w:tcPr>
            <w:tcW w:w="9040" w:type="dxa"/>
            <w:vAlign w:val="bottom"/>
          </w:tcPr>
          <w:p>
            <w:pPr>
              <w:ind w:left="60"/>
              <w:spacing w:after="0"/>
              <w:rPr>
                <w:sz w:val="20"/>
                <w:szCs w:val="20"/>
                <w:color w:val="auto"/>
              </w:rPr>
            </w:pPr>
            <w:r>
              <w:rPr>
                <w:rFonts w:ascii="Arial" w:cs="Arial" w:eastAsia="Arial" w:hAnsi="Arial"/>
                <w:sz w:val="18"/>
                <w:szCs w:val="18"/>
                <w:color w:val="4C4C4C"/>
              </w:rPr>
              <w:t>PSU metrics measure our achievement of two strategic goals over the 2020-2022 performance period</w:t>
            </w:r>
          </w:p>
        </w:tc>
      </w:tr>
      <w:tr>
        <w:trPr>
          <w:trHeight w:val="203"/>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tcPr>
          <w:p>
            <w:pPr>
              <w:ind w:left="80"/>
              <w:spacing w:after="0" w:line="202" w:lineRule="exact"/>
              <w:rPr>
                <w:sz w:val="20"/>
                <w:szCs w:val="20"/>
                <w:color w:val="auto"/>
              </w:rPr>
            </w:pPr>
            <w:r>
              <w:rPr>
                <w:rFonts w:ascii="Arial" w:cs="Arial" w:eastAsia="Arial" w:hAnsi="Arial"/>
                <w:sz w:val="18"/>
                <w:szCs w:val="18"/>
                <w:color w:val="4C4C4C"/>
              </w:rPr>
              <w:t>(weighting):</w:t>
            </w:r>
          </w:p>
        </w:tc>
      </w:tr>
    </w:tbl>
    <w:p>
      <w:pPr>
        <w:ind w:left="2360" w:right="480" w:hanging="188"/>
        <w:spacing w:after="0" w:line="234" w:lineRule="auto"/>
        <w:tabs>
          <w:tab w:leader="none" w:pos="2344" w:val="left"/>
        </w:tabs>
        <w:numPr>
          <w:ilvl w:val="0"/>
          <w:numId w:val="75"/>
        </w:numPr>
        <w:rPr>
          <w:rFonts w:ascii="Arial" w:cs="Arial" w:eastAsia="Arial" w:hAnsi="Arial"/>
          <w:sz w:val="18"/>
          <w:szCs w:val="18"/>
          <w:color w:val="4C4C4C"/>
        </w:rPr>
      </w:pPr>
      <w:r>
        <w:rPr>
          <w:rFonts w:ascii="Arial" w:cs="Arial" w:eastAsia="Arial" w:hAnsi="Arial"/>
          <w:sz w:val="18"/>
          <w:szCs w:val="18"/>
          <w:color w:val="4C4C4C"/>
        </w:rPr>
        <w:t>Statutory Expense Ratio (60%) – measures both expense management and sales growth, two of our key strategic drivers.</w:t>
      </w:r>
    </w:p>
    <w:p>
      <w:pPr>
        <w:spacing w:after="0" w:line="1" w:lineRule="exact"/>
        <w:rPr>
          <w:rFonts w:ascii="Arial" w:cs="Arial" w:eastAsia="Arial" w:hAnsi="Arial"/>
          <w:sz w:val="18"/>
          <w:szCs w:val="18"/>
          <w:color w:val="4C4C4C"/>
        </w:rPr>
      </w:pPr>
    </w:p>
    <w:p>
      <w:pPr>
        <w:ind w:left="2360" w:right="200" w:hanging="188"/>
        <w:spacing w:after="0" w:line="246" w:lineRule="auto"/>
        <w:tabs>
          <w:tab w:leader="none" w:pos="2344" w:val="left"/>
        </w:tabs>
        <w:numPr>
          <w:ilvl w:val="0"/>
          <w:numId w:val="75"/>
        </w:numPr>
        <w:rPr>
          <w:rFonts w:ascii="Arial" w:cs="Arial" w:eastAsia="Arial" w:hAnsi="Arial"/>
          <w:sz w:val="18"/>
          <w:szCs w:val="18"/>
          <w:color w:val="4C4C4C"/>
        </w:rPr>
      </w:pPr>
      <w:r>
        <w:rPr>
          <w:rFonts w:ascii="Arial" w:cs="Arial" w:eastAsia="Arial" w:hAnsi="Arial"/>
          <w:sz w:val="18"/>
          <w:szCs w:val="18"/>
          <w:color w:val="4C4C4C"/>
        </w:rPr>
        <w:t>Net Cash Flow to the Holding Company (weighted 40%) – measures our cash flow, which management may prudently deploy for various purposes, including return of capital to stockholders.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12 | 2021 Proxy Statement</w:t>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101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Proxy Summary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Executive Compensation Practices</w:t>
      </w:r>
    </w:p>
    <w:p>
      <w:pPr>
        <w:spacing w:after="0" w:line="1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4C4C4C"/>
        </w:rPr>
        <w:t>We are committed to building a compensation program with strong governance features that reflect best practices in the market and are responsive to stockholder feedback. The table below provides a summary of our executive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2737485</wp:posOffset>
            </wp:positionV>
            <wp:extent cx="91694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color w:val="00ADBB"/>
        </w:rPr>
        <w:t>What We Don’t Do</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3F3F3F"/>
        </w:rPr>
        <w:t xml:space="preserve">Pay-for-Performance. </w:t>
      </w:r>
      <w:r>
        <w:rPr>
          <w:rFonts w:ascii="Arial" w:cs="Arial" w:eastAsia="Arial" w:hAnsi="Arial"/>
          <w:sz w:val="18"/>
          <w:szCs w:val="18"/>
          <w:color w:val="4C4C4C"/>
        </w:rPr>
        <w:t>A substantial portion of our NEOs’ Target TDC is in the form of variable, at-risk elements</w:t>
      </w:r>
      <w:r>
        <w:rPr>
          <w:rFonts w:ascii="Arial" w:cs="Arial" w:eastAsia="Arial" w:hAnsi="Arial"/>
          <w:sz w:val="18"/>
          <w:szCs w:val="18"/>
          <w:b w:val="1"/>
          <w:bCs w:val="1"/>
          <w:color w:val="3F3F3F"/>
        </w:rPr>
        <w:t xml:space="preserve"> </w:t>
      </w:r>
      <w:r>
        <w:rPr>
          <w:rFonts w:ascii="Arial" w:cs="Arial" w:eastAsia="Arial" w:hAnsi="Arial"/>
          <w:sz w:val="18"/>
          <w:szCs w:val="18"/>
          <w:color w:val="4C4C4C"/>
        </w:rPr>
        <w:t>that reward our executives only if we achieve performance goals that we believe are linked to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-400685</wp:posOffset>
            </wp:positionV>
            <wp:extent cx="11176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14"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b w:val="1"/>
          <w:bCs w:val="1"/>
          <w:color w:val="3F3F3F"/>
        </w:rPr>
        <w:t xml:space="preserve">Stock Ownership Guidelines. </w:t>
      </w:r>
      <w:r>
        <w:rPr>
          <w:rFonts w:ascii="Arial" w:cs="Arial" w:eastAsia="Arial" w:hAnsi="Arial"/>
          <w:sz w:val="17"/>
          <w:szCs w:val="17"/>
          <w:color w:val="4C4C4C"/>
        </w:rPr>
        <w:t>We have established stock ownership and retention guidelines that call for our</w:t>
      </w:r>
      <w:r>
        <w:rPr>
          <w:rFonts w:ascii="Arial" w:cs="Arial" w:eastAsia="Arial" w:hAnsi="Arial"/>
          <w:sz w:val="17"/>
          <w:szCs w:val="17"/>
          <w:b w:val="1"/>
          <w:bCs w:val="1"/>
          <w:color w:val="3F3F3F"/>
        </w:rPr>
        <w:t xml:space="preserve"> </w:t>
      </w:r>
      <w:r>
        <w:rPr>
          <w:rFonts w:ascii="Arial" w:cs="Arial" w:eastAsia="Arial" w:hAnsi="Arial"/>
          <w:sz w:val="17"/>
          <w:szCs w:val="17"/>
          <w:color w:val="4C4C4C"/>
        </w:rPr>
        <w:t>NEOs to maintain significant stock ownership, thereby aligning their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-295910</wp:posOffset>
            </wp:positionV>
            <wp:extent cx="11176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ind w:right="400"/>
        <w:spacing w:after="0" w:line="253" w:lineRule="auto"/>
        <w:rPr>
          <w:sz w:val="20"/>
          <w:szCs w:val="20"/>
          <w:color w:val="auto"/>
        </w:rPr>
      </w:pPr>
      <w:r>
        <w:rPr>
          <w:rFonts w:ascii="Arial" w:cs="Arial" w:eastAsia="Arial" w:hAnsi="Arial"/>
          <w:sz w:val="18"/>
          <w:szCs w:val="18"/>
          <w:b w:val="1"/>
          <w:bCs w:val="1"/>
          <w:color w:val="3F3F3F"/>
        </w:rPr>
        <w:t xml:space="preserve">Clawback Policy. </w:t>
      </w:r>
      <w:r>
        <w:rPr>
          <w:rFonts w:ascii="Arial" w:cs="Arial" w:eastAsia="Arial" w:hAnsi="Arial"/>
          <w:sz w:val="18"/>
          <w:szCs w:val="18"/>
          <w:color w:val="4C4C4C"/>
        </w:rPr>
        <w:t>We adopted a robust clawback policy that allows the Company to recoup incentive</w:t>
      </w:r>
      <w:r>
        <w:rPr>
          <w:rFonts w:ascii="Arial" w:cs="Arial" w:eastAsia="Arial" w:hAnsi="Arial"/>
          <w:sz w:val="18"/>
          <w:szCs w:val="18"/>
          <w:b w:val="1"/>
          <w:bCs w:val="1"/>
          <w:color w:val="3F3F3F"/>
        </w:rPr>
        <w:t xml:space="preserve"> </w:t>
      </w:r>
      <w:r>
        <w:rPr>
          <w:rFonts w:ascii="Arial" w:cs="Arial" w:eastAsia="Arial" w:hAnsi="Arial"/>
          <w:sz w:val="18"/>
          <w:szCs w:val="18"/>
          <w:color w:val="4C4C4C"/>
        </w:rPr>
        <w:t>compensation earned by executive officers or other employees in the event of a material restatement of the Company’s financial statements or certain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-400685</wp:posOffset>
            </wp:positionV>
            <wp:extent cx="11176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3F3F3F"/>
        </w:rPr>
        <w:t xml:space="preserve">Minimum Vesting Periods. </w:t>
      </w:r>
      <w:r>
        <w:rPr>
          <w:rFonts w:ascii="Arial" w:cs="Arial" w:eastAsia="Arial" w:hAnsi="Arial"/>
          <w:sz w:val="18"/>
          <w:szCs w:val="18"/>
          <w:color w:val="4C4C4C"/>
        </w:rPr>
        <w:t>Equity awards that are subject to achievement of performance goals or that vest</w:t>
      </w:r>
      <w:r>
        <w:rPr>
          <w:rFonts w:ascii="Arial" w:cs="Arial" w:eastAsia="Arial" w:hAnsi="Arial"/>
          <w:sz w:val="18"/>
          <w:szCs w:val="18"/>
          <w:b w:val="1"/>
          <w:bCs w:val="1"/>
          <w:color w:val="3F3F3F"/>
        </w:rPr>
        <w:t xml:space="preserve"> </w:t>
      </w:r>
      <w:r>
        <w:rPr>
          <w:rFonts w:ascii="Arial" w:cs="Arial" w:eastAsia="Arial" w:hAnsi="Arial"/>
          <w:sz w:val="18"/>
          <w:szCs w:val="18"/>
          <w:color w:val="4C4C4C"/>
        </w:rPr>
        <w:t>based solely on continued service generally have three-year vesting periods (the latter at a rate not greater than one-third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-400685</wp:posOffset>
            </wp:positionV>
            <wp:extent cx="11176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3F3F3F"/>
        </w:rPr>
        <w:t xml:space="preserve">Stockholder Engagement. </w:t>
      </w:r>
      <w:r>
        <w:rPr>
          <w:rFonts w:ascii="Arial" w:cs="Arial" w:eastAsia="Arial" w:hAnsi="Arial"/>
          <w:sz w:val="18"/>
          <w:szCs w:val="18"/>
          <w:color w:val="4C4C4C"/>
        </w:rPr>
        <w:t>We actively engage with our stockholders on various topics, including our executive</w:t>
      </w:r>
      <w:r>
        <w:rPr>
          <w:rFonts w:ascii="Arial" w:cs="Arial" w:eastAsia="Arial" w:hAnsi="Arial"/>
          <w:sz w:val="18"/>
          <w:szCs w:val="18"/>
          <w:b w:val="1"/>
          <w:bCs w:val="1"/>
          <w:color w:val="3F3F3F"/>
        </w:rPr>
        <w:t xml:space="preserve"> </w:t>
      </w:r>
      <w:r>
        <w:rPr>
          <w:rFonts w:ascii="Arial" w:cs="Arial" w:eastAsia="Arial" w:hAnsi="Arial"/>
          <w:sz w:val="18"/>
          <w:szCs w:val="18"/>
          <w:color w:val="4C4C4C"/>
        </w:rPr>
        <w:t>compensation program. We recognize the importance of our stockholders’ perspectives in the compensation-setting process and consider their feedback in the design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-400685</wp:posOffset>
            </wp:positionV>
            <wp:extent cx="11176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3F3F3F"/>
        </w:rPr>
        <w:t xml:space="preserve">Independent Compensation Consultant. </w:t>
      </w:r>
      <w:r>
        <w:rPr>
          <w:rFonts w:ascii="Arial" w:cs="Arial" w:eastAsia="Arial" w:hAnsi="Arial"/>
          <w:sz w:val="18"/>
          <w:szCs w:val="18"/>
          <w:color w:val="4C4C4C"/>
        </w:rPr>
        <w:t>Our Compensation and Human Capital Committee has retained</w:t>
      </w:r>
      <w:r>
        <w:rPr>
          <w:rFonts w:ascii="Arial" w:cs="Arial" w:eastAsia="Arial" w:hAnsi="Arial"/>
          <w:sz w:val="18"/>
          <w:szCs w:val="18"/>
          <w:b w:val="1"/>
          <w:bCs w:val="1"/>
          <w:color w:val="3F3F3F"/>
        </w:rPr>
        <w:t xml:space="preserve"> </w:t>
      </w:r>
      <w:r>
        <w:rPr>
          <w:rFonts w:ascii="Arial" w:cs="Arial" w:eastAsia="Arial" w:hAnsi="Arial"/>
          <w:sz w:val="18"/>
          <w:szCs w:val="18"/>
          <w:color w:val="4C4C4C"/>
        </w:rPr>
        <w:t>Semler Brossy Consulting Group (“</w:t>
      </w:r>
      <w:r>
        <w:rPr>
          <w:rFonts w:ascii="Arial" w:cs="Arial" w:eastAsia="Arial" w:hAnsi="Arial"/>
          <w:sz w:val="18"/>
          <w:szCs w:val="18"/>
          <w:b w:val="1"/>
          <w:bCs w:val="1"/>
          <w:color w:val="00ADBB"/>
        </w:rPr>
        <w:t>SBCG</w:t>
      </w:r>
      <w:r>
        <w:rPr>
          <w:rFonts w:ascii="Arial" w:cs="Arial" w:eastAsia="Arial" w:hAnsi="Arial"/>
          <w:sz w:val="18"/>
          <w:szCs w:val="18"/>
          <w:color w:val="4C4C4C"/>
        </w:rPr>
        <w:t>”) as its independent compensation consultant to advise on all aspects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-400685</wp:posOffset>
            </wp:positionV>
            <wp:extent cx="11176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27"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b w:val="1"/>
          <w:bCs w:val="1"/>
          <w:color w:val="3F3F3F"/>
        </w:rPr>
        <w:t xml:space="preserve">Double-Trigger Vesting of Equity Awards Upon a Change of Control. </w:t>
      </w:r>
      <w:r>
        <w:rPr>
          <w:rFonts w:ascii="Arial" w:cs="Arial" w:eastAsia="Arial" w:hAnsi="Arial"/>
          <w:sz w:val="17"/>
          <w:szCs w:val="17"/>
          <w:color w:val="4C4C4C"/>
        </w:rPr>
        <w:t>Outstanding awards that are</w:t>
      </w:r>
      <w:r>
        <w:rPr>
          <w:rFonts w:ascii="Arial" w:cs="Arial" w:eastAsia="Arial" w:hAnsi="Arial"/>
          <w:sz w:val="17"/>
          <w:szCs w:val="17"/>
          <w:b w:val="1"/>
          <w:bCs w:val="1"/>
          <w:color w:val="3F3F3F"/>
        </w:rPr>
        <w:t xml:space="preserve"> </w:t>
      </w:r>
      <w:r>
        <w:rPr>
          <w:rFonts w:ascii="Arial" w:cs="Arial" w:eastAsia="Arial" w:hAnsi="Arial"/>
          <w:sz w:val="17"/>
          <w:szCs w:val="17"/>
          <w:color w:val="4C4C4C"/>
        </w:rPr>
        <w:t>substituted or assumed in a change of control only vest if the NEO is terminated or resigns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20320</wp:posOffset>
            </wp:positionV>
            <wp:extent cx="59321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32170" cy="17145"/>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-295910</wp:posOffset>
            </wp:positionV>
            <wp:extent cx="11176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5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3F3F3F"/>
        </w:rPr>
        <w:t xml:space="preserve">Gross-ups on Excise Taxes. </w:t>
      </w:r>
      <w:r>
        <w:rPr>
          <w:rFonts w:ascii="Arial" w:cs="Arial" w:eastAsia="Arial" w:hAnsi="Arial"/>
          <w:sz w:val="18"/>
          <w:szCs w:val="18"/>
          <w:color w:val="4C4C4C"/>
        </w:rPr>
        <w:t>We do not provide tax gross-up benefits in connection with payments upon a</w:t>
      </w:r>
      <w:r>
        <w:rPr>
          <w:rFonts w:ascii="Arial" w:cs="Arial" w:eastAsia="Arial" w:hAnsi="Arial"/>
          <w:sz w:val="18"/>
          <w:szCs w:val="18"/>
          <w:b w:val="1"/>
          <w:bCs w:val="1"/>
          <w:color w:val="3F3F3F"/>
        </w:rPr>
        <w:t xml:space="preserve"> </w:t>
      </w:r>
      <w:r>
        <w:rPr>
          <w:rFonts w:ascii="Arial" w:cs="Arial" w:eastAsia="Arial" w:hAnsi="Arial"/>
          <w:sz w:val="18"/>
          <w:szCs w:val="18"/>
          <w:color w:val="4C4C4C"/>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-281940</wp:posOffset>
            </wp:positionV>
            <wp:extent cx="102870"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b w:val="1"/>
          <w:bCs w:val="1"/>
          <w:color w:val="3F3F3F"/>
        </w:rPr>
        <w:t xml:space="preserve">Reprice Stock Options. </w:t>
      </w:r>
      <w:r>
        <w:rPr>
          <w:rFonts w:ascii="Arial" w:cs="Arial" w:eastAsia="Arial" w:hAnsi="Arial"/>
          <w:sz w:val="18"/>
          <w:szCs w:val="18"/>
          <w:color w:val="4C4C4C"/>
        </w:rPr>
        <w:t>Our equity incentive plans prohibit us from repricing stock options or stock</w:t>
      </w:r>
      <w:r>
        <w:rPr>
          <w:rFonts w:ascii="Arial" w:cs="Arial" w:eastAsia="Arial" w:hAnsi="Arial"/>
          <w:sz w:val="18"/>
          <w:szCs w:val="18"/>
          <w:b w:val="1"/>
          <w:bCs w:val="1"/>
          <w:color w:val="3F3F3F"/>
        </w:rPr>
        <w:t xml:space="preserve"> </w:t>
      </w:r>
      <w:r>
        <w:rPr>
          <w:rFonts w:ascii="Arial" w:cs="Arial" w:eastAsia="Arial" w:hAnsi="Arial"/>
          <w:sz w:val="18"/>
          <w:szCs w:val="18"/>
          <w:color w:val="4C4C4C"/>
        </w:rPr>
        <w:t>appreciation rights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-281940</wp:posOffset>
            </wp:positionV>
            <wp:extent cx="10287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3F3F3F"/>
        </w:rPr>
        <w:t xml:space="preserve">Excessive Perquisites. </w:t>
      </w:r>
      <w:r>
        <w:rPr>
          <w:rFonts w:ascii="Arial" w:cs="Arial" w:eastAsia="Arial" w:hAnsi="Arial"/>
          <w:sz w:val="18"/>
          <w:szCs w:val="18"/>
          <w:color w:val="4C4C4C"/>
        </w:rPr>
        <w:t>We provide limited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-116205</wp:posOffset>
            </wp:positionV>
            <wp:extent cx="10287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7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3F3F3F"/>
        </w:rPr>
        <w:t xml:space="preserve">Hedging and Pledging. </w:t>
      </w:r>
      <w:r>
        <w:rPr>
          <w:rFonts w:ascii="Arial" w:cs="Arial" w:eastAsia="Arial" w:hAnsi="Arial"/>
          <w:sz w:val="18"/>
          <w:szCs w:val="18"/>
          <w:color w:val="4C4C4C"/>
        </w:rPr>
        <w:t>Our insider trading policy prohibits all employees and Directors from engaging in</w:t>
      </w:r>
      <w:r>
        <w:rPr>
          <w:rFonts w:ascii="Arial" w:cs="Arial" w:eastAsia="Arial" w:hAnsi="Arial"/>
          <w:sz w:val="18"/>
          <w:szCs w:val="18"/>
          <w:b w:val="1"/>
          <w:bCs w:val="1"/>
          <w:color w:val="3F3F3F"/>
        </w:rPr>
        <w:t xml:space="preserve"> </w:t>
      </w:r>
      <w:r>
        <w:rPr>
          <w:rFonts w:ascii="Arial" w:cs="Arial" w:eastAsia="Arial" w:hAnsi="Arial"/>
          <w:sz w:val="18"/>
          <w:szCs w:val="18"/>
          <w:color w:val="4C4C4C"/>
        </w:rPr>
        <w:t>hedging or pledging transactions in Brighthouse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-281940</wp:posOffset>
            </wp:positionV>
            <wp:extent cx="10287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13</w:t>
      </w:r>
    </w:p>
    <w:p>
      <w:pPr>
        <w:sectPr>
          <w:pgSz w:w="11900" w:h="16838" w:orient="portrait"/>
          <w:cols w:equalWidth="0" w:num="2">
            <w:col w:w="1500" w:space="720"/>
            <w:col w:w="892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Proposal 1 – Election of Directors</w:t>
      </w:r>
      <w:r>
        <w:rPr>
          <w:sz w:val="20"/>
          <w:szCs w:val="20"/>
          <w:color w:val="auto"/>
        </w:rPr>
        <w:tab/>
      </w:r>
      <w:r>
        <w:rPr>
          <w:rFonts w:ascii="Arial" w:cs="Arial" w:eastAsia="Arial" w:hAnsi="Arial"/>
          <w:sz w:val="12"/>
          <w:szCs w:val="12"/>
          <w:b w:val="1"/>
          <w:bCs w:val="1"/>
          <w:color w:val="00ADBB"/>
        </w:rPr>
        <w:t>Brighthouse Financial, Inc.</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Proposal 1</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3"/>
          <w:szCs w:val="23"/>
          <w:color w:val="00ADBB"/>
        </w:rPr>
        <w:t>Election of eight (8) Directors to serve a one-year term ending at the 2022 Annual Meeting of Stockholders</w:t>
      </w:r>
    </w:p>
    <w:p>
      <w:pPr>
        <w:spacing w:after="0" w:line="265"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4C4C4C"/>
        </w:rPr>
        <w:t>Our Board has been carefully and thoughtfully built with a diverse mix of individuals who possess the necessary skills and experience to effectively oversee our business. The Board has nominated the following eight currently serving Directors for election at the Annual Meeting: Irene Chang Britt; C. Edward Chaplin; Stephen C. Hooley; Eileen A. Mallesch; Diane E. Offereins; Patrick J. Shouvlin; Eric T. Steigerwalt; and Paul M. Wetzel.</w:t>
      </w:r>
    </w:p>
    <w:p>
      <w:pPr>
        <w:spacing w:after="0" w:line="97"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4C4C4C"/>
        </w:rPr>
        <w:t>Pursuant to our mandatory retirement policy, William F. Wallace retired from the Board as of our 2020 annual meeting, and the Board reduced the size of the Board to eight Directors. On August 19, 2020, following a thorough search process which included consideration of a diverse slate of candidates, the Board increased the size of the Board to nine Directors and elected Mr. Hooley to serve on the Board based on his experience as a chief executive officer, expertise in technology and financial services, and public company board experience.</w:t>
      </w:r>
    </w:p>
    <w:p>
      <w:pPr>
        <w:spacing w:after="0" w:line="81" w:lineRule="exact"/>
        <w:rPr>
          <w:sz w:val="20"/>
          <w:szCs w:val="20"/>
          <w:color w:val="auto"/>
        </w:rPr>
      </w:pPr>
    </w:p>
    <w:p>
      <w:pPr>
        <w:ind w:left="120" w:right="80"/>
        <w:spacing w:after="0"/>
        <w:rPr>
          <w:sz w:val="20"/>
          <w:szCs w:val="20"/>
          <w:color w:val="auto"/>
        </w:rPr>
      </w:pPr>
      <w:r>
        <w:rPr>
          <w:rFonts w:ascii="Arial" w:cs="Arial" w:eastAsia="Arial" w:hAnsi="Arial"/>
          <w:sz w:val="18"/>
          <w:szCs w:val="18"/>
          <w:color w:val="4C4C4C"/>
        </w:rPr>
        <w:t>One currently serving Director, Margaret M. McCarthy, is not standing for reelection at the Annual Meeting. Ms. McCarthy’s decision not to stand for reelection is not due to any disagreement with the Company. The Board has reduced the size of the Board to eight Directors, effective as of the expiration of Ms. McCarthy’s term at the Annual Meeting.</w:t>
      </w:r>
    </w:p>
    <w:p>
      <w:pPr>
        <w:spacing w:after="0" w:line="95" w:lineRule="exact"/>
        <w:rPr>
          <w:sz w:val="20"/>
          <w:szCs w:val="20"/>
          <w:color w:val="auto"/>
        </w:rPr>
      </w:pPr>
    </w:p>
    <w:p>
      <w:pPr>
        <w:ind w:left="120" w:right="60"/>
        <w:spacing w:after="0"/>
        <w:rPr>
          <w:sz w:val="20"/>
          <w:szCs w:val="20"/>
          <w:color w:val="auto"/>
        </w:rPr>
      </w:pPr>
      <w:r>
        <w:rPr>
          <w:rFonts w:ascii="Arial" w:cs="Arial" w:eastAsia="Arial" w:hAnsi="Arial"/>
          <w:sz w:val="18"/>
          <w:szCs w:val="18"/>
          <w:color w:val="4C4C4C"/>
        </w:rPr>
        <w:t>Biographical information for each nominee, including a description of each Director’s skills and qualifications, follows this proposal. For information about our policies and practices relating to our Board, see “</w:t>
      </w:r>
      <w:r>
        <w:rPr>
          <w:rFonts w:ascii="Arial" w:cs="Arial" w:eastAsia="Arial" w:hAnsi="Arial"/>
          <w:sz w:val="18"/>
          <w:szCs w:val="18"/>
          <w:color w:val="4CC5CF"/>
        </w:rPr>
        <w:t>Board and Corporate Governance Practices</w:t>
      </w:r>
      <w:r>
        <w:rPr>
          <w:rFonts w:ascii="Arial" w:cs="Arial" w:eastAsia="Arial" w:hAnsi="Arial"/>
          <w:sz w:val="18"/>
          <w:szCs w:val="18"/>
          <w:color w:val="4C4C4C"/>
        </w:rPr>
        <w:t>.” All nominees serving at that time attended our 2020 annual meeting of stockholders.</w:t>
      </w:r>
    </w:p>
    <w:p>
      <w:pPr>
        <w:spacing w:after="0" w:line="95"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4C4C4C"/>
        </w:rPr>
        <w:t>If elected, all nominees will serve one-year terms that expire at the next annual meeting of stockholders. Unless otherwise instructed, the proxyholders will vote proxies “</w:t>
      </w:r>
      <w:r>
        <w:rPr>
          <w:rFonts w:ascii="Arial" w:cs="Arial" w:eastAsia="Arial" w:hAnsi="Arial"/>
          <w:sz w:val="18"/>
          <w:szCs w:val="18"/>
          <w:b w:val="1"/>
          <w:bCs w:val="1"/>
          <w:color w:val="00ADBB"/>
        </w:rPr>
        <w:t>FOR</w:t>
      </w:r>
      <w:r>
        <w:rPr>
          <w:rFonts w:ascii="Arial" w:cs="Arial" w:eastAsia="Arial" w:hAnsi="Arial"/>
          <w:sz w:val="18"/>
          <w:szCs w:val="18"/>
          <w:color w:val="4C4C4C"/>
        </w:rPr>
        <w:t>” the nominees of the Board. Each nominee has consented to being named in this Proxy Statement and agreed to serve if elected. The Board has no reason to believe that any of its nominees will be unable or unwilling to serve if elected. However, if any of the Board’s nominees is unable to serve as Director at any point before the Annual Meeting or any adjournment or postponement thereof, the Board may reduce the size of the Board or nominate another candidate for election. If the Board nominates a new candidate, unless otherwise provided, the form of proxy attached to this Proxy Statement permits the proxyholders to use their discretion to vote for that candidate.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00ADBB"/>
        </w:rPr>
        <w:t>The Board recommends that you vote “</w:t>
      </w:r>
      <w:r>
        <w:rPr>
          <w:rFonts w:ascii="Arial" w:cs="Arial" w:eastAsia="Arial" w:hAnsi="Arial"/>
          <w:sz w:val="18"/>
          <w:szCs w:val="18"/>
          <w:b w:val="1"/>
          <w:bCs w:val="1"/>
          <w:color w:val="3FC1CC"/>
        </w:rPr>
        <w:t>FOR</w:t>
      </w:r>
      <w:r>
        <w:rPr>
          <w:rFonts w:ascii="Arial" w:cs="Arial" w:eastAsia="Arial" w:hAnsi="Arial"/>
          <w:sz w:val="18"/>
          <w:szCs w:val="18"/>
          <w:color w:val="00ADBB"/>
        </w:rPr>
        <w:t>” the election of each of the Director nominees.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14 | 2021 Proxy Statement</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Board of Directors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ADBB"/>
        </w:rPr>
        <w:t>The Board of Directors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7"/>
          <w:szCs w:val="27"/>
          <w:color w:val="00ADBB"/>
        </w:rPr>
        <w:t>Nominees for Election as Directors for Terms Expiring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699516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-1259205</wp:posOffset>
            </wp:positionV>
            <wp:extent cx="805815" cy="10883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4C4C4C"/>
        </w:rPr>
        <w:t>Director since: 2017</w:t>
      </w:r>
    </w:p>
    <w:p>
      <w:pPr>
        <w:ind w:left="120"/>
        <w:spacing w:after="0" w:line="235" w:lineRule="auto"/>
        <w:rPr>
          <w:sz w:val="20"/>
          <w:szCs w:val="20"/>
          <w:color w:val="auto"/>
        </w:rPr>
      </w:pPr>
      <w:r>
        <w:rPr>
          <w:rFonts w:ascii="Arial" w:cs="Arial" w:eastAsia="Arial" w:hAnsi="Arial"/>
          <w:sz w:val="18"/>
          <w:szCs w:val="18"/>
          <w:color w:val="4C4C4C"/>
        </w:rPr>
        <w:t>Committees:</w:t>
      </w:r>
    </w:p>
    <w:p>
      <w:pPr>
        <w:spacing w:after="0" w:line="1" w:lineRule="exact"/>
        <w:rPr>
          <w:sz w:val="20"/>
          <w:szCs w:val="20"/>
          <w:color w:val="auto"/>
        </w:rPr>
      </w:pPr>
    </w:p>
    <w:p>
      <w:pPr>
        <w:ind w:left="380" w:right="340" w:hanging="174"/>
        <w:spacing w:after="0" w:line="234" w:lineRule="auto"/>
        <w:tabs>
          <w:tab w:leader="none" w:pos="364" w:val="left"/>
        </w:tabs>
        <w:numPr>
          <w:ilvl w:val="0"/>
          <w:numId w:val="76"/>
        </w:numPr>
        <w:rPr>
          <w:rFonts w:ascii="Arial" w:cs="Arial" w:eastAsia="Arial" w:hAnsi="Arial"/>
          <w:sz w:val="18"/>
          <w:szCs w:val="18"/>
          <w:color w:val="4C4C4C"/>
        </w:rPr>
      </w:pPr>
      <w:r>
        <w:rPr>
          <w:rFonts w:ascii="Arial" w:cs="Arial" w:eastAsia="Arial" w:hAnsi="Arial"/>
          <w:sz w:val="18"/>
          <w:szCs w:val="18"/>
          <w:color w:val="4C4C4C"/>
        </w:rPr>
        <w:t>Compensation and Human Capital</w:t>
      </w:r>
    </w:p>
    <w:p>
      <w:pPr>
        <w:spacing w:after="0" w:line="1" w:lineRule="exact"/>
        <w:rPr>
          <w:rFonts w:ascii="Arial" w:cs="Arial" w:eastAsia="Arial" w:hAnsi="Arial"/>
          <w:sz w:val="18"/>
          <w:szCs w:val="18"/>
          <w:color w:val="4C4C4C"/>
        </w:rPr>
      </w:pPr>
    </w:p>
    <w:p>
      <w:pPr>
        <w:ind w:left="380" w:hanging="174"/>
        <w:spacing w:after="0" w:line="234" w:lineRule="auto"/>
        <w:tabs>
          <w:tab w:leader="none" w:pos="380" w:val="left"/>
        </w:tabs>
        <w:numPr>
          <w:ilvl w:val="0"/>
          <w:numId w:val="76"/>
        </w:numPr>
        <w:rPr>
          <w:rFonts w:ascii="Arial" w:cs="Arial" w:eastAsia="Arial" w:hAnsi="Arial"/>
          <w:sz w:val="18"/>
          <w:szCs w:val="18"/>
          <w:color w:val="4C4C4C"/>
        </w:rPr>
      </w:pPr>
      <w:r>
        <w:rPr>
          <w:rFonts w:ascii="Arial" w:cs="Arial" w:eastAsia="Arial" w:hAnsi="Arial"/>
          <w:sz w:val="18"/>
          <w:szCs w:val="18"/>
          <w:color w:val="4C4C4C"/>
        </w:rPr>
        <w:t>Investment</w:t>
      </w:r>
    </w:p>
    <w:p>
      <w:pPr>
        <w:ind w:left="380" w:hanging="174"/>
        <w:spacing w:after="0"/>
        <w:tabs>
          <w:tab w:leader="none" w:pos="364" w:val="left"/>
        </w:tabs>
        <w:numPr>
          <w:ilvl w:val="0"/>
          <w:numId w:val="76"/>
        </w:numPr>
        <w:rPr>
          <w:rFonts w:ascii="Arial" w:cs="Arial" w:eastAsia="Arial" w:hAnsi="Arial"/>
          <w:sz w:val="18"/>
          <w:szCs w:val="18"/>
          <w:color w:val="4C4C4C"/>
        </w:rPr>
      </w:pPr>
      <w:r>
        <w:rPr>
          <w:rFonts w:ascii="Arial" w:cs="Arial" w:eastAsia="Arial" w:hAnsi="Arial"/>
          <w:sz w:val="18"/>
          <w:szCs w:val="18"/>
          <w:color w:val="4C4C4C"/>
        </w:rPr>
        <w:t>Nominating and Corporate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Irene Chang Britt</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420"/>
        <w:spacing w:after="0"/>
        <w:rPr>
          <w:sz w:val="20"/>
          <w:szCs w:val="20"/>
          <w:color w:val="auto"/>
        </w:rPr>
      </w:pPr>
      <w:r>
        <w:rPr>
          <w:rFonts w:ascii="Arial" w:cs="Arial" w:eastAsia="Arial" w:hAnsi="Arial"/>
          <w:sz w:val="18"/>
          <w:szCs w:val="18"/>
          <w:color w:val="4C4C4C"/>
        </w:rPr>
        <w:t>Ms. Chang Britt is qualified to serve on our Board on the basis of her brand and marketing expertise, corporate governance expertise, and her experience leading multibillion-dollar divisions of Fortune 500 companies.</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77"/>
        </w:numPr>
        <w:rPr>
          <w:rFonts w:ascii="Arial" w:cs="Arial" w:eastAsia="Arial" w:hAnsi="Arial"/>
          <w:sz w:val="18"/>
          <w:szCs w:val="18"/>
          <w:color w:val="4C4C4C"/>
        </w:rPr>
      </w:pPr>
      <w:r>
        <w:rPr>
          <w:rFonts w:ascii="Arial" w:cs="Arial" w:eastAsia="Arial" w:hAnsi="Arial"/>
          <w:sz w:val="18"/>
          <w:szCs w:val="18"/>
          <w:color w:val="4C4C4C"/>
        </w:rPr>
        <w:t>Campbell Soup Company, a food and beverage company (2005 – 2015)</w:t>
      </w:r>
    </w:p>
    <w:p>
      <w:pPr>
        <w:ind w:left="341" w:hanging="161"/>
        <w:spacing w:after="0" w:line="234" w:lineRule="auto"/>
        <w:tabs>
          <w:tab w:leader="none" w:pos="341" w:val="left"/>
        </w:tabs>
        <w:numPr>
          <w:ilvl w:val="1"/>
          <w:numId w:val="77"/>
        </w:numPr>
        <w:rPr>
          <w:rFonts w:ascii="Arial" w:cs="Arial" w:eastAsia="Arial" w:hAnsi="Arial"/>
          <w:sz w:val="18"/>
          <w:szCs w:val="18"/>
          <w:color w:val="4C4C4C"/>
        </w:rPr>
      </w:pPr>
      <w:r>
        <w:rPr>
          <w:rFonts w:ascii="Arial" w:cs="Arial" w:eastAsia="Arial" w:hAnsi="Arial"/>
          <w:sz w:val="18"/>
          <w:szCs w:val="18"/>
          <w:color w:val="4C4C4C"/>
        </w:rPr>
        <w:t>President, Pepperidge Farm Inc. &amp; Senior Vice President, Global Baking and Snacking (2012 – 2015)</w:t>
      </w:r>
    </w:p>
    <w:p>
      <w:pPr>
        <w:ind w:left="341" w:hanging="161"/>
        <w:spacing w:after="0" w:line="234" w:lineRule="auto"/>
        <w:tabs>
          <w:tab w:leader="none" w:pos="341" w:val="left"/>
        </w:tabs>
        <w:numPr>
          <w:ilvl w:val="1"/>
          <w:numId w:val="77"/>
        </w:numPr>
        <w:rPr>
          <w:rFonts w:ascii="Arial" w:cs="Arial" w:eastAsia="Arial" w:hAnsi="Arial"/>
          <w:sz w:val="18"/>
          <w:szCs w:val="18"/>
          <w:color w:val="4C4C4C"/>
        </w:rPr>
      </w:pPr>
      <w:r>
        <w:rPr>
          <w:rFonts w:ascii="Arial" w:cs="Arial" w:eastAsia="Arial" w:hAnsi="Arial"/>
          <w:sz w:val="18"/>
          <w:szCs w:val="18"/>
          <w:color w:val="4C4C4C"/>
        </w:rPr>
        <w:t>Global Chief Strategy Officer (2010 – 2012)</w:t>
      </w:r>
    </w:p>
    <w:p>
      <w:pPr>
        <w:ind w:left="361" w:right="340" w:hanging="181"/>
        <w:spacing w:after="0" w:line="234" w:lineRule="auto"/>
        <w:tabs>
          <w:tab w:leader="none" w:pos="345" w:val="left"/>
        </w:tabs>
        <w:numPr>
          <w:ilvl w:val="1"/>
          <w:numId w:val="77"/>
        </w:numPr>
        <w:rPr>
          <w:rFonts w:ascii="Arial" w:cs="Arial" w:eastAsia="Arial" w:hAnsi="Arial"/>
          <w:sz w:val="18"/>
          <w:szCs w:val="18"/>
          <w:color w:val="4C4C4C"/>
        </w:rPr>
      </w:pPr>
      <w:r>
        <w:rPr>
          <w:rFonts w:ascii="Arial" w:cs="Arial" w:eastAsia="Arial" w:hAnsi="Arial"/>
          <w:sz w:val="18"/>
          <w:szCs w:val="18"/>
          <w:color w:val="4C4C4C"/>
        </w:rPr>
        <w:t>President, North America Foodservice; General Manager, Sauces and Beverages; and other senior positions in multiple brand divisions (2005 – 2010)</w:t>
      </w:r>
    </w:p>
    <w:p>
      <w:pPr>
        <w:spacing w:after="0" w:line="1" w:lineRule="exact"/>
        <w:rPr>
          <w:rFonts w:ascii="Arial" w:cs="Arial" w:eastAsia="Arial" w:hAnsi="Arial"/>
          <w:sz w:val="18"/>
          <w:szCs w:val="18"/>
          <w:color w:val="4C4C4C"/>
        </w:rPr>
      </w:pPr>
    </w:p>
    <w:p>
      <w:pPr>
        <w:ind w:left="161" w:hanging="161"/>
        <w:spacing w:after="0" w:line="234" w:lineRule="auto"/>
        <w:tabs>
          <w:tab w:leader="none" w:pos="161" w:val="left"/>
        </w:tabs>
        <w:numPr>
          <w:ilvl w:val="0"/>
          <w:numId w:val="77"/>
        </w:numPr>
        <w:rPr>
          <w:rFonts w:ascii="Arial" w:cs="Arial" w:eastAsia="Arial" w:hAnsi="Arial"/>
          <w:sz w:val="18"/>
          <w:szCs w:val="18"/>
          <w:color w:val="4C4C4C"/>
        </w:rPr>
      </w:pPr>
      <w:r>
        <w:rPr>
          <w:rFonts w:ascii="Arial" w:cs="Arial" w:eastAsia="Arial" w:hAnsi="Arial"/>
          <w:sz w:val="18"/>
          <w:szCs w:val="18"/>
          <w:color w:val="4C4C4C"/>
        </w:rPr>
        <w:t>Kraft Foods and Kraft/Nabisco, a food and beverage company (1999 – 2005)</w:t>
      </w:r>
    </w:p>
    <w:p>
      <w:pPr>
        <w:ind w:left="161" w:hanging="161"/>
        <w:spacing w:after="0"/>
        <w:tabs>
          <w:tab w:leader="none" w:pos="161" w:val="left"/>
        </w:tabs>
        <w:numPr>
          <w:ilvl w:val="0"/>
          <w:numId w:val="77"/>
        </w:numPr>
        <w:rPr>
          <w:rFonts w:ascii="Arial" w:cs="Arial" w:eastAsia="Arial" w:hAnsi="Arial"/>
          <w:sz w:val="18"/>
          <w:szCs w:val="18"/>
          <w:color w:val="4C4C4C"/>
        </w:rPr>
      </w:pPr>
      <w:r>
        <w:rPr>
          <w:rFonts w:ascii="Arial" w:cs="Arial" w:eastAsia="Arial" w:hAnsi="Arial"/>
          <w:sz w:val="18"/>
          <w:szCs w:val="18"/>
          <w:color w:val="4C4C4C"/>
        </w:rPr>
        <w:t>Kimberly-Clark, a consumer products company (1986 – 1999)</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Transformational CPG Acquisition Corp., a blank check company (2021 – present)</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3" w:lineRule="exact"/>
        <w:rPr>
          <w:sz w:val="20"/>
          <w:szCs w:val="20"/>
          <w:color w:val="auto"/>
        </w:rPr>
      </w:pPr>
    </w:p>
    <w:p>
      <w:pPr>
        <w:ind w:left="161" w:hanging="161"/>
        <w:spacing w:after="0"/>
        <w:tabs>
          <w:tab w:leader="none" w:pos="161" w:val="left"/>
        </w:tabs>
        <w:numPr>
          <w:ilvl w:val="0"/>
          <w:numId w:val="78"/>
        </w:numPr>
        <w:rPr>
          <w:rFonts w:ascii="Arial" w:cs="Arial" w:eastAsia="Arial" w:hAnsi="Arial"/>
          <w:sz w:val="18"/>
          <w:szCs w:val="18"/>
          <w:color w:val="4C4C4C"/>
        </w:rPr>
      </w:pPr>
      <w:r>
        <w:rPr>
          <w:rFonts w:ascii="Arial" w:cs="Arial" w:eastAsia="Arial" w:hAnsi="Arial"/>
          <w:sz w:val="18"/>
          <w:szCs w:val="18"/>
          <w:color w:val="4C4C4C"/>
        </w:rPr>
        <w:t>Dunkin’ Brands Group, Inc. (2014 – 2020)</w:t>
      </w:r>
    </w:p>
    <w:p>
      <w:pPr>
        <w:ind w:left="161" w:hanging="161"/>
        <w:spacing w:after="0" w:line="234" w:lineRule="auto"/>
        <w:tabs>
          <w:tab w:leader="none" w:pos="161" w:val="left"/>
        </w:tabs>
        <w:numPr>
          <w:ilvl w:val="0"/>
          <w:numId w:val="78"/>
        </w:numPr>
        <w:rPr>
          <w:rFonts w:ascii="Arial" w:cs="Arial" w:eastAsia="Arial" w:hAnsi="Arial"/>
          <w:sz w:val="18"/>
          <w:szCs w:val="18"/>
          <w:color w:val="4C4C4C"/>
        </w:rPr>
      </w:pPr>
      <w:r>
        <w:rPr>
          <w:rFonts w:ascii="Arial" w:cs="Arial" w:eastAsia="Arial" w:hAnsi="Arial"/>
          <w:sz w:val="18"/>
          <w:szCs w:val="18"/>
          <w:color w:val="4C4C4C"/>
        </w:rPr>
        <w:t>Tailored Brands, Inc. (2015 – 2020)</w:t>
      </w:r>
    </w:p>
    <w:p>
      <w:pPr>
        <w:ind w:left="161" w:hanging="161"/>
        <w:spacing w:after="0"/>
        <w:tabs>
          <w:tab w:leader="none" w:pos="161" w:val="left"/>
        </w:tabs>
        <w:numPr>
          <w:ilvl w:val="0"/>
          <w:numId w:val="78"/>
        </w:numPr>
        <w:rPr>
          <w:rFonts w:ascii="Arial" w:cs="Arial" w:eastAsia="Arial" w:hAnsi="Arial"/>
          <w:sz w:val="18"/>
          <w:szCs w:val="18"/>
          <w:color w:val="4C4C4C"/>
        </w:rPr>
      </w:pPr>
      <w:r>
        <w:rPr>
          <w:rFonts w:ascii="Arial" w:cs="Arial" w:eastAsia="Arial" w:hAnsi="Arial"/>
          <w:sz w:val="18"/>
          <w:szCs w:val="18"/>
          <w:color w:val="4C4C4C"/>
        </w:rPr>
        <w:t>TerraVia Holdings, Inc. (2016 – 2018) (non-executive chairperson from 2017)</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3" w:lineRule="exact"/>
        <w:rPr>
          <w:sz w:val="20"/>
          <w:szCs w:val="20"/>
          <w:color w:val="auto"/>
        </w:rPr>
      </w:pPr>
    </w:p>
    <w:p>
      <w:pPr>
        <w:ind w:left="161" w:hanging="161"/>
        <w:spacing w:after="0"/>
        <w:tabs>
          <w:tab w:leader="none" w:pos="161"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National Association of Corporate Directors (“NACD”) Board Leadership Fellow</w:t>
      </w:r>
    </w:p>
    <w:p>
      <w:pPr>
        <w:ind w:left="161" w:hanging="161"/>
        <w:spacing w:after="0"/>
        <w:tabs>
          <w:tab w:leader="none" w:pos="161" w:val="left"/>
        </w:tabs>
        <w:numPr>
          <w:ilvl w:val="0"/>
          <w:numId w:val="79"/>
        </w:numPr>
        <w:rPr>
          <w:rFonts w:ascii="Arial" w:cs="Arial" w:eastAsia="Arial" w:hAnsi="Arial"/>
          <w:sz w:val="18"/>
          <w:szCs w:val="18"/>
          <w:color w:val="4C4C4C"/>
        </w:rPr>
      </w:pPr>
      <w:r>
        <w:rPr>
          <w:rFonts w:ascii="Arial" w:cs="Arial" w:eastAsia="Arial" w:hAnsi="Arial"/>
          <w:sz w:val="18"/>
          <w:szCs w:val="18"/>
          <w:color w:val="4C4C4C"/>
        </w:rPr>
        <w:t>Peloton Capital Management, Limited Partner and member of the Advisory Board</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3" w:lineRule="exact"/>
        <w:rPr>
          <w:sz w:val="20"/>
          <w:szCs w:val="20"/>
          <w:color w:val="auto"/>
        </w:rPr>
      </w:pPr>
    </w:p>
    <w:p>
      <w:pPr>
        <w:ind w:left="161" w:hanging="161"/>
        <w:spacing w:after="0"/>
        <w:tabs>
          <w:tab w:leader="none" w:pos="161" w:val="left"/>
        </w:tabs>
        <w:numPr>
          <w:ilvl w:val="0"/>
          <w:numId w:val="80"/>
        </w:numPr>
        <w:rPr>
          <w:rFonts w:ascii="Arial" w:cs="Arial" w:eastAsia="Arial" w:hAnsi="Arial"/>
          <w:sz w:val="18"/>
          <w:szCs w:val="18"/>
          <w:color w:val="4C4C4C"/>
        </w:rPr>
      </w:pPr>
      <w:r>
        <w:rPr>
          <w:rFonts w:ascii="Arial" w:cs="Arial" w:eastAsia="Arial" w:hAnsi="Arial"/>
          <w:sz w:val="18"/>
          <w:szCs w:val="18"/>
          <w:color w:val="4C4C4C"/>
        </w:rPr>
        <w:t>BA, University of Toronto</w:t>
      </w:r>
    </w:p>
    <w:p>
      <w:pPr>
        <w:ind w:left="161" w:hanging="161"/>
        <w:spacing w:after="0"/>
        <w:tabs>
          <w:tab w:leader="none" w:pos="161" w:val="left"/>
        </w:tabs>
        <w:numPr>
          <w:ilvl w:val="0"/>
          <w:numId w:val="80"/>
        </w:numPr>
        <w:rPr>
          <w:rFonts w:ascii="Arial" w:cs="Arial" w:eastAsia="Arial" w:hAnsi="Arial"/>
          <w:sz w:val="18"/>
          <w:szCs w:val="18"/>
          <w:color w:val="4C4C4C"/>
        </w:rPr>
      </w:pPr>
      <w:r>
        <w:rPr>
          <w:rFonts w:ascii="Arial" w:cs="Arial" w:eastAsia="Arial" w:hAnsi="Arial"/>
          <w:sz w:val="18"/>
          <w:szCs w:val="18"/>
          <w:color w:val="4C4C4C"/>
        </w:rPr>
        <w:t>MBA, Ivey Business School – Western University, University of Western Ontario</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15</w:t>
      </w:r>
    </w:p>
    <w:p>
      <w:pPr>
        <w:sectPr>
          <w:pgSz w:w="11900" w:h="16838" w:orient="portrait"/>
          <w:cols w:equalWidth="0" w:num="2">
            <w:col w:w="2220" w:space="339"/>
            <w:col w:w="8581"/>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Board of Directors</w:t>
      </w:r>
      <w:r>
        <w:rPr>
          <w:sz w:val="20"/>
          <w:szCs w:val="20"/>
          <w:color w:val="auto"/>
        </w:rPr>
        <w:tab/>
      </w: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699516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-1259205</wp:posOffset>
            </wp:positionV>
            <wp:extent cx="805815" cy="10883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4C4C4C"/>
        </w:rPr>
        <w:t>Director since: 2017</w:t>
      </w:r>
    </w:p>
    <w:p>
      <w:pPr>
        <w:ind w:left="120"/>
        <w:spacing w:after="0" w:line="235" w:lineRule="auto"/>
        <w:rPr>
          <w:sz w:val="20"/>
          <w:szCs w:val="20"/>
          <w:color w:val="auto"/>
        </w:rPr>
      </w:pPr>
      <w:r>
        <w:rPr>
          <w:rFonts w:ascii="Arial" w:cs="Arial" w:eastAsia="Arial" w:hAnsi="Arial"/>
          <w:sz w:val="18"/>
          <w:szCs w:val="18"/>
          <w:color w:val="4C4C4C"/>
        </w:rPr>
        <w:t>Committees:</w:t>
      </w:r>
    </w:p>
    <w:p>
      <w:pPr>
        <w:ind w:left="360" w:hanging="154"/>
        <w:spacing w:after="0" w:line="235" w:lineRule="auto"/>
        <w:tabs>
          <w:tab w:leader="none" w:pos="360" w:val="left"/>
        </w:tabs>
        <w:numPr>
          <w:ilvl w:val="0"/>
          <w:numId w:val="81"/>
        </w:numPr>
        <w:rPr>
          <w:rFonts w:ascii="Arial" w:cs="Arial" w:eastAsia="Arial" w:hAnsi="Arial"/>
          <w:sz w:val="18"/>
          <w:szCs w:val="18"/>
          <w:color w:val="4C4C4C"/>
        </w:rPr>
      </w:pPr>
      <w:r>
        <w:rPr>
          <w:rFonts w:ascii="Arial" w:cs="Arial" w:eastAsia="Arial" w:hAnsi="Arial"/>
          <w:sz w:val="18"/>
          <w:szCs w:val="18"/>
          <w:color w:val="4C4C4C"/>
        </w:rPr>
        <w:t>Audit</w:t>
      </w:r>
    </w:p>
    <w:p>
      <w:pPr>
        <w:ind w:left="380" w:hanging="174"/>
        <w:spacing w:after="0" w:line="234" w:lineRule="auto"/>
        <w:tabs>
          <w:tab w:leader="none" w:pos="380" w:val="left"/>
        </w:tabs>
        <w:numPr>
          <w:ilvl w:val="0"/>
          <w:numId w:val="81"/>
        </w:numPr>
        <w:rPr>
          <w:rFonts w:ascii="Arial" w:cs="Arial" w:eastAsia="Arial" w:hAnsi="Arial"/>
          <w:sz w:val="18"/>
          <w:szCs w:val="18"/>
          <w:color w:val="4C4C4C"/>
        </w:rPr>
      </w:pPr>
      <w:r>
        <w:rPr>
          <w:rFonts w:ascii="Arial" w:cs="Arial" w:eastAsia="Arial" w:hAnsi="Arial"/>
          <w:sz w:val="18"/>
          <w:szCs w:val="18"/>
          <w:color w:val="4C4C4C"/>
        </w:rPr>
        <w:t>Executive</w:t>
      </w:r>
    </w:p>
    <w:p>
      <w:pPr>
        <w:ind w:left="380" w:hanging="174"/>
        <w:spacing w:after="0"/>
        <w:tabs>
          <w:tab w:leader="none" w:pos="380" w:val="left"/>
        </w:tabs>
        <w:numPr>
          <w:ilvl w:val="0"/>
          <w:numId w:val="81"/>
        </w:numPr>
        <w:rPr>
          <w:rFonts w:ascii="Arial" w:cs="Arial" w:eastAsia="Arial" w:hAnsi="Arial"/>
          <w:sz w:val="17"/>
          <w:szCs w:val="17"/>
          <w:color w:val="4C4C4C"/>
        </w:rPr>
      </w:pPr>
      <w:r>
        <w:rPr>
          <w:rFonts w:ascii="Arial" w:cs="Arial" w:eastAsia="Arial" w:hAnsi="Arial"/>
          <w:sz w:val="17"/>
          <w:szCs w:val="17"/>
          <w:color w:val="4C4C4C"/>
        </w:rPr>
        <w:t>Finance and Risk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16 | 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C. Edward (“Chuck”) Chaplin</w:t>
      </w:r>
    </w:p>
    <w:p>
      <w:pPr>
        <w:spacing w:after="0" w:line="116" w:lineRule="exact"/>
        <w:rPr>
          <w:sz w:val="20"/>
          <w:szCs w:val="20"/>
          <w:color w:val="auto"/>
        </w:rPr>
      </w:pPr>
    </w:p>
    <w:p>
      <w:pPr>
        <w:ind w:left="1"/>
        <w:spacing w:after="0"/>
        <w:rPr>
          <w:sz w:val="20"/>
          <w:szCs w:val="20"/>
          <w:color w:val="auto"/>
        </w:rPr>
      </w:pPr>
      <w:r>
        <w:rPr>
          <w:rFonts w:ascii="Arial" w:cs="Arial" w:eastAsia="Arial" w:hAnsi="Arial"/>
          <w:sz w:val="18"/>
          <w:szCs w:val="18"/>
          <w:color w:val="00ADBB"/>
        </w:rPr>
        <w:t>Chairman of the Board</w:t>
      </w: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220"/>
        <w:spacing w:after="0" w:line="246" w:lineRule="auto"/>
        <w:rPr>
          <w:sz w:val="20"/>
          <w:szCs w:val="20"/>
          <w:color w:val="auto"/>
        </w:rPr>
      </w:pPr>
      <w:r>
        <w:rPr>
          <w:rFonts w:ascii="Arial" w:cs="Arial" w:eastAsia="Arial" w:hAnsi="Arial"/>
          <w:sz w:val="18"/>
          <w:szCs w:val="18"/>
          <w:color w:val="4C4C4C"/>
        </w:rPr>
        <w:t>Mr. Chaplin is qualified to serve on our Board on the basis of his leadership skills, financial expertise, and knowledge of the insurance industry.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82"/>
        </w:numPr>
        <w:rPr>
          <w:rFonts w:ascii="Arial" w:cs="Arial" w:eastAsia="Arial" w:hAnsi="Arial"/>
          <w:sz w:val="18"/>
          <w:szCs w:val="18"/>
          <w:color w:val="4C4C4C"/>
        </w:rPr>
      </w:pPr>
      <w:r>
        <w:rPr>
          <w:rFonts w:ascii="Arial" w:cs="Arial" w:eastAsia="Arial" w:hAnsi="Arial"/>
          <w:sz w:val="18"/>
          <w:szCs w:val="18"/>
          <w:color w:val="4C4C4C"/>
        </w:rPr>
        <w:t>MBIA, Inc., a provider of financial guarantee insurance (2006 – 2017)</w:t>
      </w:r>
    </w:p>
    <w:p>
      <w:pPr>
        <w:ind w:left="341" w:hanging="161"/>
        <w:spacing w:after="0" w:line="234" w:lineRule="auto"/>
        <w:tabs>
          <w:tab w:leader="none" w:pos="341" w:val="left"/>
        </w:tabs>
        <w:numPr>
          <w:ilvl w:val="1"/>
          <w:numId w:val="82"/>
        </w:numPr>
        <w:rPr>
          <w:rFonts w:ascii="Arial" w:cs="Arial" w:eastAsia="Arial" w:hAnsi="Arial"/>
          <w:sz w:val="18"/>
          <w:szCs w:val="18"/>
          <w:color w:val="4C4C4C"/>
        </w:rPr>
      </w:pPr>
      <w:r>
        <w:rPr>
          <w:rFonts w:ascii="Arial" w:cs="Arial" w:eastAsia="Arial" w:hAnsi="Arial"/>
          <w:sz w:val="18"/>
          <w:szCs w:val="18"/>
          <w:color w:val="4C4C4C"/>
        </w:rPr>
        <w:t>President, Chief Financial Officer, and Chief Administrative Officer (2008 – 2016)</w:t>
      </w:r>
    </w:p>
    <w:p>
      <w:pPr>
        <w:ind w:left="341" w:hanging="161"/>
        <w:spacing w:after="0" w:line="234" w:lineRule="auto"/>
        <w:tabs>
          <w:tab w:leader="none" w:pos="341" w:val="left"/>
        </w:tabs>
        <w:numPr>
          <w:ilvl w:val="1"/>
          <w:numId w:val="82"/>
        </w:numPr>
        <w:rPr>
          <w:rFonts w:ascii="Arial" w:cs="Arial" w:eastAsia="Arial" w:hAnsi="Arial"/>
          <w:sz w:val="18"/>
          <w:szCs w:val="18"/>
          <w:color w:val="4C4C4C"/>
        </w:rPr>
      </w:pPr>
      <w:r>
        <w:rPr>
          <w:rFonts w:ascii="Arial" w:cs="Arial" w:eastAsia="Arial" w:hAnsi="Arial"/>
          <w:sz w:val="18"/>
          <w:szCs w:val="18"/>
          <w:color w:val="4C4C4C"/>
        </w:rPr>
        <w:t>Vice President and Chief Financial Officer (2006 – 2008)</w:t>
      </w:r>
    </w:p>
    <w:p>
      <w:pPr>
        <w:ind w:left="161" w:hanging="161"/>
        <w:spacing w:after="0" w:line="234" w:lineRule="auto"/>
        <w:tabs>
          <w:tab w:leader="none" w:pos="161" w:val="left"/>
        </w:tabs>
        <w:numPr>
          <w:ilvl w:val="0"/>
          <w:numId w:val="82"/>
        </w:numPr>
        <w:rPr>
          <w:rFonts w:ascii="Arial" w:cs="Arial" w:eastAsia="Arial" w:hAnsi="Arial"/>
          <w:sz w:val="18"/>
          <w:szCs w:val="18"/>
          <w:color w:val="4C4C4C"/>
        </w:rPr>
      </w:pPr>
      <w:r>
        <w:rPr>
          <w:rFonts w:ascii="Arial" w:cs="Arial" w:eastAsia="Arial" w:hAnsi="Arial"/>
          <w:sz w:val="18"/>
          <w:szCs w:val="18"/>
          <w:color w:val="4C4C4C"/>
        </w:rPr>
        <w:t>Prudential Financial, Inc., a global insurance and financial services firm (1983 – 2006)</w:t>
      </w:r>
    </w:p>
    <w:p>
      <w:pPr>
        <w:ind w:left="341" w:hanging="161"/>
        <w:spacing w:after="0"/>
        <w:tabs>
          <w:tab w:leader="none" w:pos="341" w:val="left"/>
        </w:tabs>
        <w:numPr>
          <w:ilvl w:val="1"/>
          <w:numId w:val="82"/>
        </w:numPr>
        <w:rPr>
          <w:rFonts w:ascii="Arial" w:cs="Arial" w:eastAsia="Arial" w:hAnsi="Arial"/>
          <w:sz w:val="18"/>
          <w:szCs w:val="18"/>
          <w:color w:val="4C4C4C"/>
        </w:rPr>
      </w:pPr>
      <w:r>
        <w:rPr>
          <w:rFonts w:ascii="Arial" w:cs="Arial" w:eastAsia="Arial" w:hAnsi="Arial"/>
          <w:sz w:val="18"/>
          <w:szCs w:val="18"/>
          <w:color w:val="4C4C4C"/>
        </w:rPr>
        <w:t>Positions of increasing responsibility culminating with Senior Vice President and Treasurer</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MGIC Investment Corp. (2014 – present)</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3" w:lineRule="exact"/>
        <w:rPr>
          <w:sz w:val="20"/>
          <w:szCs w:val="20"/>
          <w:color w:val="auto"/>
        </w:rPr>
      </w:pPr>
    </w:p>
    <w:p>
      <w:pPr>
        <w:ind w:left="161" w:hanging="161"/>
        <w:spacing w:after="0"/>
        <w:tabs>
          <w:tab w:leader="none" w:pos="161" w:val="left"/>
        </w:tabs>
        <w:numPr>
          <w:ilvl w:val="0"/>
          <w:numId w:val="83"/>
        </w:numPr>
        <w:rPr>
          <w:rFonts w:ascii="Arial" w:cs="Arial" w:eastAsia="Arial" w:hAnsi="Arial"/>
          <w:sz w:val="18"/>
          <w:szCs w:val="18"/>
          <w:color w:val="4C4C4C"/>
        </w:rPr>
      </w:pPr>
      <w:r>
        <w:rPr>
          <w:rFonts w:ascii="Arial" w:cs="Arial" w:eastAsia="Arial" w:hAnsi="Arial"/>
          <w:sz w:val="18"/>
          <w:szCs w:val="18"/>
          <w:color w:val="4C4C4C"/>
        </w:rPr>
        <w:t>Vice Chair of the Board of Directors, Rutgers University Foundation</w:t>
      </w:r>
    </w:p>
    <w:p>
      <w:pPr>
        <w:ind w:left="161" w:hanging="161"/>
        <w:spacing w:after="0"/>
        <w:tabs>
          <w:tab w:leader="none" w:pos="161" w:val="left"/>
        </w:tabs>
        <w:numPr>
          <w:ilvl w:val="0"/>
          <w:numId w:val="83"/>
        </w:numPr>
        <w:rPr>
          <w:rFonts w:ascii="Arial" w:cs="Arial" w:eastAsia="Arial" w:hAnsi="Arial"/>
          <w:sz w:val="18"/>
          <w:szCs w:val="18"/>
          <w:color w:val="4C4C4C"/>
        </w:rPr>
      </w:pPr>
      <w:r>
        <w:rPr>
          <w:rFonts w:ascii="Arial" w:cs="Arial" w:eastAsia="Arial" w:hAnsi="Arial"/>
          <w:sz w:val="18"/>
          <w:szCs w:val="18"/>
          <w:color w:val="4C4C4C"/>
        </w:rPr>
        <w:t>Member, Executive Leadership Council</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3" w:lineRule="exact"/>
        <w:rPr>
          <w:sz w:val="20"/>
          <w:szCs w:val="20"/>
          <w:color w:val="auto"/>
        </w:rPr>
      </w:pPr>
    </w:p>
    <w:p>
      <w:pPr>
        <w:ind w:left="161" w:hanging="161"/>
        <w:spacing w:after="0"/>
        <w:tabs>
          <w:tab w:leader="none" w:pos="161" w:val="left"/>
        </w:tabs>
        <w:numPr>
          <w:ilvl w:val="0"/>
          <w:numId w:val="84"/>
        </w:numPr>
        <w:rPr>
          <w:rFonts w:ascii="Arial" w:cs="Arial" w:eastAsia="Arial" w:hAnsi="Arial"/>
          <w:sz w:val="18"/>
          <w:szCs w:val="18"/>
          <w:color w:val="4C4C4C"/>
        </w:rPr>
      </w:pPr>
      <w:r>
        <w:rPr>
          <w:rFonts w:ascii="Arial" w:cs="Arial" w:eastAsia="Arial" w:hAnsi="Arial"/>
          <w:sz w:val="18"/>
          <w:szCs w:val="18"/>
          <w:color w:val="4C4C4C"/>
        </w:rPr>
        <w:t>BA, Rutgers College</w:t>
      </w:r>
    </w:p>
    <w:p>
      <w:pPr>
        <w:ind w:left="161" w:hanging="161"/>
        <w:spacing w:after="0"/>
        <w:tabs>
          <w:tab w:leader="none" w:pos="161" w:val="left"/>
        </w:tabs>
        <w:numPr>
          <w:ilvl w:val="0"/>
          <w:numId w:val="84"/>
        </w:numPr>
        <w:rPr>
          <w:rFonts w:ascii="Arial" w:cs="Arial" w:eastAsia="Arial" w:hAnsi="Arial"/>
          <w:sz w:val="18"/>
          <w:szCs w:val="18"/>
          <w:color w:val="4C4C4C"/>
        </w:rPr>
      </w:pPr>
      <w:r>
        <w:rPr>
          <w:rFonts w:ascii="Arial" w:cs="Arial" w:eastAsia="Arial" w:hAnsi="Arial"/>
          <w:sz w:val="18"/>
          <w:szCs w:val="18"/>
          <w:color w:val="4C4C4C"/>
        </w:rPr>
        <w:t>Master of City and Regional Planning, Harvard University</w:t>
      </w:r>
    </w:p>
    <w:p>
      <w:pPr>
        <w:sectPr>
          <w:pgSz w:w="11900" w:h="16838" w:orient="portrait"/>
          <w:cols w:equalWidth="0" w:num="2">
            <w:col w:w="2360" w:space="199"/>
            <w:col w:w="8581"/>
          </w:cols>
          <w:pgMar w:left="320" w:top="459" w:right="4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492125</wp:posOffset>
            </wp:positionV>
            <wp:extent cx="805815" cy="10883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58</w:t>
      </w:r>
    </w:p>
    <w:p>
      <w:pPr>
        <w:ind w:left="120"/>
        <w:spacing w:after="0"/>
        <w:rPr>
          <w:sz w:val="20"/>
          <w:szCs w:val="20"/>
          <w:color w:val="auto"/>
        </w:rPr>
      </w:pPr>
      <w:r>
        <w:rPr>
          <w:rFonts w:ascii="Arial" w:cs="Arial" w:eastAsia="Arial" w:hAnsi="Arial"/>
          <w:sz w:val="17"/>
          <w:szCs w:val="17"/>
          <w:color w:val="4C4C4C"/>
        </w:rPr>
        <w:t>Director since: 2020</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Committees:</w:t>
      </w:r>
    </w:p>
    <w:p>
      <w:pPr>
        <w:ind w:left="360" w:hanging="154"/>
        <w:spacing w:after="0" w:line="234" w:lineRule="auto"/>
        <w:tabs>
          <w:tab w:leader="none" w:pos="360" w:val="left"/>
        </w:tabs>
        <w:numPr>
          <w:ilvl w:val="0"/>
          <w:numId w:val="85"/>
        </w:numPr>
        <w:rPr>
          <w:rFonts w:ascii="Arial" w:cs="Arial" w:eastAsia="Arial" w:hAnsi="Arial"/>
          <w:sz w:val="18"/>
          <w:szCs w:val="18"/>
          <w:color w:val="4C4C4C"/>
        </w:rPr>
      </w:pPr>
      <w:r>
        <w:rPr>
          <w:rFonts w:ascii="Arial" w:cs="Arial" w:eastAsia="Arial" w:hAnsi="Arial"/>
          <w:sz w:val="18"/>
          <w:szCs w:val="18"/>
          <w:color w:val="4C4C4C"/>
        </w:rPr>
        <w:t>Audit</w:t>
      </w:r>
    </w:p>
    <w:p>
      <w:pPr>
        <w:ind w:left="380" w:hanging="174"/>
        <w:spacing w:after="0"/>
        <w:tabs>
          <w:tab w:leader="none" w:pos="380" w:val="left"/>
        </w:tabs>
        <w:numPr>
          <w:ilvl w:val="0"/>
          <w:numId w:val="85"/>
        </w:numPr>
        <w:rPr>
          <w:rFonts w:ascii="Arial" w:cs="Arial" w:eastAsia="Arial" w:hAnsi="Arial"/>
          <w:sz w:val="18"/>
          <w:szCs w:val="18"/>
          <w:color w:val="4C4C4C"/>
        </w:rPr>
      </w:pPr>
      <w:r>
        <w:rPr>
          <w:rFonts w:ascii="Arial" w:cs="Arial" w:eastAsia="Arial" w:hAnsi="Arial"/>
          <w:sz w:val="18"/>
          <w:szCs w:val="18"/>
          <w:color w:val="4C4C4C"/>
        </w:rPr>
        <w:t>Investment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7201"/>
        <w:spacing w:after="0"/>
        <w:rPr>
          <w:sz w:val="20"/>
          <w:szCs w:val="20"/>
          <w:color w:val="auto"/>
        </w:rPr>
      </w:pPr>
      <w:r>
        <w:rPr>
          <w:rFonts w:ascii="Arial" w:cs="Arial" w:eastAsia="Arial" w:hAnsi="Arial"/>
          <w:sz w:val="12"/>
          <w:szCs w:val="12"/>
          <w:b w:val="1"/>
          <w:bCs w:val="1"/>
          <w:color w:val="00ADBB"/>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243205</wp:posOffset>
            </wp:positionV>
            <wp:extent cx="699516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Stephen C. (“Steve”) Hooley</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400"/>
        <w:spacing w:after="0" w:line="246" w:lineRule="auto"/>
        <w:rPr>
          <w:sz w:val="20"/>
          <w:szCs w:val="20"/>
          <w:color w:val="auto"/>
        </w:rPr>
      </w:pPr>
      <w:r>
        <w:rPr>
          <w:rFonts w:ascii="Arial" w:cs="Arial" w:eastAsia="Arial" w:hAnsi="Arial"/>
          <w:sz w:val="18"/>
          <w:szCs w:val="18"/>
          <w:color w:val="4C4C4C"/>
        </w:rPr>
        <w:t>Mr. Hooley is qualified to serve on our Board on the basis of his experience as a chief executive officer, expertise in technology and financial services, and public company board experience.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86"/>
        </w:numPr>
        <w:rPr>
          <w:rFonts w:ascii="Arial" w:cs="Arial" w:eastAsia="Arial" w:hAnsi="Arial"/>
          <w:sz w:val="18"/>
          <w:szCs w:val="18"/>
          <w:color w:val="4C4C4C"/>
        </w:rPr>
      </w:pPr>
      <w:r>
        <w:rPr>
          <w:rFonts w:ascii="Arial" w:cs="Arial" w:eastAsia="Arial" w:hAnsi="Arial"/>
          <w:sz w:val="18"/>
          <w:szCs w:val="18"/>
          <w:color w:val="4C4C4C"/>
        </w:rPr>
        <w:t>DST Systems, Inc., a provider of information processing software and services (2009 – 2018)</w:t>
      </w:r>
    </w:p>
    <w:p>
      <w:pPr>
        <w:ind w:left="341" w:hanging="161"/>
        <w:spacing w:after="0" w:line="234" w:lineRule="auto"/>
        <w:tabs>
          <w:tab w:leader="none" w:pos="341" w:val="left"/>
        </w:tabs>
        <w:numPr>
          <w:ilvl w:val="1"/>
          <w:numId w:val="86"/>
        </w:numPr>
        <w:rPr>
          <w:rFonts w:ascii="Arial" w:cs="Arial" w:eastAsia="Arial" w:hAnsi="Arial"/>
          <w:sz w:val="18"/>
          <w:szCs w:val="18"/>
          <w:color w:val="4C4C4C"/>
        </w:rPr>
      </w:pPr>
      <w:r>
        <w:rPr>
          <w:rFonts w:ascii="Arial" w:cs="Arial" w:eastAsia="Arial" w:hAnsi="Arial"/>
          <w:sz w:val="18"/>
          <w:szCs w:val="18"/>
          <w:color w:val="4C4C4C"/>
        </w:rPr>
        <w:t>Chairman, Chief Executive Officer and President (2014 – 2018)</w:t>
      </w:r>
    </w:p>
    <w:p>
      <w:pPr>
        <w:ind w:left="341" w:hanging="161"/>
        <w:spacing w:after="0" w:line="234" w:lineRule="auto"/>
        <w:tabs>
          <w:tab w:leader="none" w:pos="341" w:val="left"/>
        </w:tabs>
        <w:numPr>
          <w:ilvl w:val="1"/>
          <w:numId w:val="86"/>
        </w:numPr>
        <w:rPr>
          <w:rFonts w:ascii="Arial" w:cs="Arial" w:eastAsia="Arial" w:hAnsi="Arial"/>
          <w:sz w:val="18"/>
          <w:szCs w:val="18"/>
          <w:color w:val="4C4C4C"/>
        </w:rPr>
      </w:pPr>
      <w:r>
        <w:rPr>
          <w:rFonts w:ascii="Arial" w:cs="Arial" w:eastAsia="Arial" w:hAnsi="Arial"/>
          <w:sz w:val="18"/>
          <w:szCs w:val="18"/>
          <w:color w:val="4C4C4C"/>
        </w:rPr>
        <w:t>President and Chief Executive Officer (2012 – 2014)</w:t>
      </w:r>
    </w:p>
    <w:p>
      <w:pPr>
        <w:ind w:left="341" w:hanging="161"/>
        <w:spacing w:after="0" w:line="234" w:lineRule="auto"/>
        <w:tabs>
          <w:tab w:leader="none" w:pos="341" w:val="left"/>
        </w:tabs>
        <w:numPr>
          <w:ilvl w:val="1"/>
          <w:numId w:val="86"/>
        </w:numPr>
        <w:rPr>
          <w:rFonts w:ascii="Arial" w:cs="Arial" w:eastAsia="Arial" w:hAnsi="Arial"/>
          <w:sz w:val="18"/>
          <w:szCs w:val="18"/>
          <w:color w:val="4C4C4C"/>
        </w:rPr>
      </w:pPr>
      <w:r>
        <w:rPr>
          <w:rFonts w:ascii="Arial" w:cs="Arial" w:eastAsia="Arial" w:hAnsi="Arial"/>
          <w:sz w:val="18"/>
          <w:szCs w:val="18"/>
          <w:color w:val="4C4C4C"/>
        </w:rPr>
        <w:t>President, Chief Operating Officer (2009 – 2012)</w:t>
      </w:r>
    </w:p>
    <w:p>
      <w:pPr>
        <w:ind w:left="181" w:right="420" w:hanging="181"/>
        <w:spacing w:after="0" w:line="238" w:lineRule="auto"/>
        <w:tabs>
          <w:tab w:leader="none" w:pos="165" w:val="left"/>
        </w:tabs>
        <w:numPr>
          <w:ilvl w:val="0"/>
          <w:numId w:val="86"/>
        </w:numPr>
        <w:rPr>
          <w:rFonts w:ascii="Arial" w:cs="Arial" w:eastAsia="Arial" w:hAnsi="Arial"/>
          <w:sz w:val="18"/>
          <w:szCs w:val="18"/>
          <w:color w:val="4C4C4C"/>
        </w:rPr>
      </w:pPr>
      <w:r>
        <w:rPr>
          <w:rFonts w:ascii="Arial" w:cs="Arial" w:eastAsia="Arial" w:hAnsi="Arial"/>
          <w:sz w:val="18"/>
          <w:szCs w:val="18"/>
          <w:color w:val="4C4C4C"/>
        </w:rPr>
        <w:t>State Street Corporation, a financial services company (1992 – 2009), various leadership positions, culminating as Chief Executive Officer and President, Boston Financial Data Services Corporation, a financial services company which was a joint venture between State Street Corporation and DST Systems (2004 – 2009)</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3" w:lineRule="exact"/>
        <w:rPr>
          <w:sz w:val="20"/>
          <w:szCs w:val="20"/>
          <w:color w:val="auto"/>
        </w:rPr>
      </w:pPr>
    </w:p>
    <w:p>
      <w:pPr>
        <w:ind w:left="161" w:hanging="161"/>
        <w:spacing w:after="0"/>
        <w:tabs>
          <w:tab w:leader="none" w:pos="161" w:val="left"/>
        </w:tabs>
        <w:numPr>
          <w:ilvl w:val="0"/>
          <w:numId w:val="87"/>
        </w:numPr>
        <w:rPr>
          <w:rFonts w:ascii="Arial" w:cs="Arial" w:eastAsia="Arial" w:hAnsi="Arial"/>
          <w:sz w:val="18"/>
          <w:szCs w:val="18"/>
          <w:color w:val="4C4C4C"/>
        </w:rPr>
      </w:pPr>
      <w:r>
        <w:rPr>
          <w:rFonts w:ascii="Arial" w:cs="Arial" w:eastAsia="Arial" w:hAnsi="Arial"/>
          <w:sz w:val="18"/>
          <w:szCs w:val="18"/>
          <w:color w:val="4C4C4C"/>
        </w:rPr>
        <w:t>Q2 Holdings, Inc. (2020 – present)</w:t>
      </w:r>
    </w:p>
    <w:p>
      <w:pPr>
        <w:ind w:left="161" w:hanging="161"/>
        <w:spacing w:after="0"/>
        <w:tabs>
          <w:tab w:leader="none" w:pos="161" w:val="left"/>
        </w:tabs>
        <w:numPr>
          <w:ilvl w:val="0"/>
          <w:numId w:val="87"/>
        </w:numPr>
        <w:rPr>
          <w:rFonts w:ascii="Arial" w:cs="Arial" w:eastAsia="Arial" w:hAnsi="Arial"/>
          <w:sz w:val="18"/>
          <w:szCs w:val="18"/>
          <w:color w:val="4C4C4C"/>
        </w:rPr>
      </w:pPr>
      <w:r>
        <w:rPr>
          <w:rFonts w:ascii="Arial" w:cs="Arial" w:eastAsia="Arial" w:hAnsi="Arial"/>
          <w:sz w:val="18"/>
          <w:szCs w:val="18"/>
          <w:color w:val="4C4C4C"/>
        </w:rPr>
        <w:t>Stericycle Inc. (2019 – present)</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3" w:lineRule="exact"/>
        <w:rPr>
          <w:sz w:val="20"/>
          <w:szCs w:val="20"/>
          <w:color w:val="auto"/>
        </w:rPr>
      </w:pPr>
    </w:p>
    <w:p>
      <w:pPr>
        <w:ind w:left="161" w:hanging="161"/>
        <w:spacing w:after="0"/>
        <w:tabs>
          <w:tab w:leader="none" w:pos="161" w:val="left"/>
        </w:tabs>
        <w:numPr>
          <w:ilvl w:val="0"/>
          <w:numId w:val="88"/>
        </w:numPr>
        <w:rPr>
          <w:rFonts w:ascii="Arial" w:cs="Arial" w:eastAsia="Arial" w:hAnsi="Arial"/>
          <w:sz w:val="18"/>
          <w:szCs w:val="18"/>
          <w:color w:val="4C4C4C"/>
        </w:rPr>
      </w:pPr>
      <w:r>
        <w:rPr>
          <w:rFonts w:ascii="Arial" w:cs="Arial" w:eastAsia="Arial" w:hAnsi="Arial"/>
          <w:sz w:val="18"/>
          <w:szCs w:val="18"/>
          <w:color w:val="4C4C4C"/>
        </w:rPr>
        <w:t>Legg Mason Inc. (2019 – 2020)</w:t>
      </w:r>
    </w:p>
    <w:p>
      <w:pPr>
        <w:ind w:left="161" w:hanging="161"/>
        <w:spacing w:after="0"/>
        <w:tabs>
          <w:tab w:leader="none" w:pos="161" w:val="left"/>
        </w:tabs>
        <w:numPr>
          <w:ilvl w:val="0"/>
          <w:numId w:val="88"/>
        </w:numPr>
        <w:rPr>
          <w:rFonts w:ascii="Arial" w:cs="Arial" w:eastAsia="Arial" w:hAnsi="Arial"/>
          <w:sz w:val="18"/>
          <w:szCs w:val="18"/>
          <w:color w:val="4C4C4C"/>
        </w:rPr>
      </w:pPr>
      <w:r>
        <w:rPr>
          <w:rFonts w:ascii="Arial" w:cs="Arial" w:eastAsia="Arial" w:hAnsi="Arial"/>
          <w:sz w:val="18"/>
          <w:szCs w:val="18"/>
          <w:color w:val="4C4C4C"/>
        </w:rPr>
        <w:t>DST Systems, Inc. (2012 – 2018)</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BS, Mechanical Engineering, Worcester Polytechnic Institute, USA</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17</w:t>
      </w:r>
    </w:p>
    <w:p>
      <w:pPr>
        <w:sectPr>
          <w:pgSz w:w="11900" w:h="16838" w:orient="portrait"/>
          <w:cols w:equalWidth="0" w:num="2">
            <w:col w:w="1839" w:space="720"/>
            <w:col w:w="8581"/>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Board of Directors</w:t>
      </w:r>
      <w:r>
        <w:rPr>
          <w:sz w:val="20"/>
          <w:szCs w:val="20"/>
          <w:color w:val="auto"/>
        </w:rPr>
        <w:tab/>
      </w: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699516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-1259205</wp:posOffset>
            </wp:positionV>
            <wp:extent cx="805815" cy="10883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4C4C4C"/>
        </w:rPr>
        <w:t>Director since: 2018</w:t>
      </w:r>
    </w:p>
    <w:p>
      <w:pPr>
        <w:ind w:left="120"/>
        <w:spacing w:after="0" w:line="235" w:lineRule="auto"/>
        <w:rPr>
          <w:sz w:val="20"/>
          <w:szCs w:val="20"/>
          <w:color w:val="auto"/>
        </w:rPr>
      </w:pPr>
      <w:r>
        <w:rPr>
          <w:rFonts w:ascii="Arial" w:cs="Arial" w:eastAsia="Arial" w:hAnsi="Arial"/>
          <w:sz w:val="18"/>
          <w:szCs w:val="18"/>
          <w:color w:val="4C4C4C"/>
        </w:rPr>
        <w:t>Committees:</w:t>
      </w:r>
    </w:p>
    <w:p>
      <w:pPr>
        <w:spacing w:after="0" w:line="1" w:lineRule="exact"/>
        <w:rPr>
          <w:sz w:val="20"/>
          <w:szCs w:val="20"/>
          <w:color w:val="auto"/>
        </w:rPr>
      </w:pPr>
    </w:p>
    <w:p>
      <w:pPr>
        <w:ind w:left="380" w:right="340" w:hanging="174"/>
        <w:spacing w:after="0" w:line="234" w:lineRule="auto"/>
        <w:tabs>
          <w:tab w:leader="none" w:pos="364" w:val="left"/>
        </w:tabs>
        <w:numPr>
          <w:ilvl w:val="0"/>
          <w:numId w:val="89"/>
        </w:numPr>
        <w:rPr>
          <w:rFonts w:ascii="Arial" w:cs="Arial" w:eastAsia="Arial" w:hAnsi="Arial"/>
          <w:sz w:val="18"/>
          <w:szCs w:val="18"/>
          <w:color w:val="4C4C4C"/>
        </w:rPr>
      </w:pPr>
      <w:r>
        <w:rPr>
          <w:rFonts w:ascii="Arial" w:cs="Arial" w:eastAsia="Arial" w:hAnsi="Arial"/>
          <w:sz w:val="18"/>
          <w:szCs w:val="18"/>
          <w:color w:val="4C4C4C"/>
        </w:rPr>
        <w:t>Compensation and Human Capital</w:t>
      </w:r>
    </w:p>
    <w:p>
      <w:pPr>
        <w:spacing w:after="0" w:line="1" w:lineRule="exact"/>
        <w:rPr>
          <w:rFonts w:ascii="Arial" w:cs="Arial" w:eastAsia="Arial" w:hAnsi="Arial"/>
          <w:sz w:val="18"/>
          <w:szCs w:val="18"/>
          <w:color w:val="4C4C4C"/>
        </w:rPr>
      </w:pPr>
    </w:p>
    <w:p>
      <w:pPr>
        <w:ind w:left="380" w:hanging="174"/>
        <w:spacing w:after="0" w:line="234" w:lineRule="auto"/>
        <w:tabs>
          <w:tab w:leader="none" w:pos="380" w:val="left"/>
        </w:tabs>
        <w:numPr>
          <w:ilvl w:val="0"/>
          <w:numId w:val="89"/>
        </w:numPr>
        <w:rPr>
          <w:rFonts w:ascii="Arial" w:cs="Arial" w:eastAsia="Arial" w:hAnsi="Arial"/>
          <w:sz w:val="18"/>
          <w:szCs w:val="18"/>
          <w:color w:val="4C4C4C"/>
        </w:rPr>
      </w:pPr>
      <w:r>
        <w:rPr>
          <w:rFonts w:ascii="Arial" w:cs="Arial" w:eastAsia="Arial" w:hAnsi="Arial"/>
          <w:sz w:val="18"/>
          <w:szCs w:val="18"/>
          <w:color w:val="4C4C4C"/>
        </w:rPr>
        <w:t>Investment (Chair)</w:t>
      </w:r>
    </w:p>
    <w:p>
      <w:pPr>
        <w:ind w:left="380" w:hanging="174"/>
        <w:spacing w:after="0" w:line="246" w:lineRule="auto"/>
        <w:tabs>
          <w:tab w:leader="none" w:pos="364" w:val="left"/>
        </w:tabs>
        <w:numPr>
          <w:ilvl w:val="0"/>
          <w:numId w:val="89"/>
        </w:numPr>
        <w:rPr>
          <w:rFonts w:ascii="Arial" w:cs="Arial" w:eastAsia="Arial" w:hAnsi="Arial"/>
          <w:sz w:val="18"/>
          <w:szCs w:val="18"/>
          <w:color w:val="4C4C4C"/>
        </w:rPr>
      </w:pPr>
      <w:r>
        <w:rPr>
          <w:rFonts w:ascii="Arial" w:cs="Arial" w:eastAsia="Arial" w:hAnsi="Arial"/>
          <w:sz w:val="18"/>
          <w:szCs w:val="18"/>
          <w:color w:val="4C4C4C"/>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18 | 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Eileen A. Mallesch</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360"/>
        <w:spacing w:after="0" w:line="246" w:lineRule="auto"/>
        <w:rPr>
          <w:sz w:val="20"/>
          <w:szCs w:val="20"/>
          <w:color w:val="auto"/>
        </w:rPr>
      </w:pPr>
      <w:r>
        <w:rPr>
          <w:rFonts w:ascii="Arial" w:cs="Arial" w:eastAsia="Arial" w:hAnsi="Arial"/>
          <w:sz w:val="18"/>
          <w:szCs w:val="18"/>
          <w:color w:val="4C4C4C"/>
        </w:rPr>
        <w:t>Ms. Mallesch is qualified to serve on our Board on the basis of her financial expertise, experience in the insurance industry, and public company board experience.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Nationwide Mutual Insurance Company, a U.S. insurance and financial services company (2005 – 2009)</w:t>
      </w:r>
    </w:p>
    <w:p>
      <w:pPr>
        <w:ind w:left="341" w:hanging="161"/>
        <w:spacing w:after="0" w:line="234" w:lineRule="auto"/>
        <w:tabs>
          <w:tab w:leader="none" w:pos="341" w:val="left"/>
        </w:tabs>
        <w:numPr>
          <w:ilvl w:val="1"/>
          <w:numId w:val="90"/>
        </w:numPr>
        <w:rPr>
          <w:rFonts w:ascii="Arial" w:cs="Arial" w:eastAsia="Arial" w:hAnsi="Arial"/>
          <w:sz w:val="18"/>
          <w:szCs w:val="18"/>
          <w:color w:val="4C4C4C"/>
        </w:rPr>
      </w:pPr>
      <w:r>
        <w:rPr>
          <w:rFonts w:ascii="Arial" w:cs="Arial" w:eastAsia="Arial" w:hAnsi="Arial"/>
          <w:sz w:val="18"/>
          <w:szCs w:val="18"/>
          <w:color w:val="4C4C4C"/>
        </w:rPr>
        <w:t>Senior Vice President and Chief Financial Officer of property and casualty insurance business</w:t>
      </w:r>
    </w:p>
    <w:p>
      <w:pPr>
        <w:ind w:left="161" w:hanging="161"/>
        <w:spacing w:after="0" w:line="234" w:lineRule="auto"/>
        <w:tabs>
          <w:tab w:leader="none" w:pos="161"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General Electric, a multinational conglomerate (1998 – 2005)</w:t>
      </w:r>
    </w:p>
    <w:p>
      <w:pPr>
        <w:ind w:left="341" w:hanging="161"/>
        <w:spacing w:after="0"/>
        <w:tabs>
          <w:tab w:leader="none" w:pos="341" w:val="left"/>
        </w:tabs>
        <w:numPr>
          <w:ilvl w:val="1"/>
          <w:numId w:val="90"/>
        </w:numPr>
        <w:rPr>
          <w:rFonts w:ascii="Arial" w:cs="Arial" w:eastAsia="Arial" w:hAnsi="Arial"/>
          <w:sz w:val="17"/>
          <w:szCs w:val="17"/>
          <w:color w:val="4C4C4C"/>
        </w:rPr>
      </w:pPr>
      <w:r>
        <w:rPr>
          <w:rFonts w:ascii="Arial" w:cs="Arial" w:eastAsia="Arial" w:hAnsi="Arial"/>
          <w:sz w:val="17"/>
          <w:szCs w:val="17"/>
          <w:color w:val="4C4C4C"/>
        </w:rPr>
        <w:t>Senior Vice President and Chief Financial Officer of Genworth Financial Life Insurance Company (2003</w:t>
      </w:r>
    </w:p>
    <w:p>
      <w:pPr>
        <w:spacing w:after="0" w:line="7" w:lineRule="exact"/>
        <w:rPr>
          <w:rFonts w:ascii="Arial" w:cs="Arial" w:eastAsia="Arial" w:hAnsi="Arial"/>
          <w:sz w:val="17"/>
          <w:szCs w:val="17"/>
          <w:color w:val="4C4C4C"/>
        </w:rPr>
      </w:pPr>
    </w:p>
    <w:p>
      <w:pPr>
        <w:ind w:left="361"/>
        <w:spacing w:after="0" w:line="234" w:lineRule="auto"/>
        <w:rPr>
          <w:rFonts w:ascii="Arial" w:cs="Arial" w:eastAsia="Arial" w:hAnsi="Arial"/>
          <w:sz w:val="17"/>
          <w:szCs w:val="17"/>
          <w:color w:val="4C4C4C"/>
        </w:rPr>
      </w:pPr>
      <w:r>
        <w:rPr>
          <w:rFonts w:ascii="Arial" w:cs="Arial" w:eastAsia="Arial" w:hAnsi="Arial"/>
          <w:sz w:val="18"/>
          <w:szCs w:val="18"/>
          <w:color w:val="4C4C4C"/>
        </w:rPr>
        <w:t>– 2005)</w:t>
      </w:r>
    </w:p>
    <w:p>
      <w:pPr>
        <w:ind w:left="341" w:hanging="161"/>
        <w:spacing w:after="0" w:line="234" w:lineRule="auto"/>
        <w:tabs>
          <w:tab w:leader="none" w:pos="341" w:val="left"/>
        </w:tabs>
        <w:numPr>
          <w:ilvl w:val="1"/>
          <w:numId w:val="90"/>
        </w:numPr>
        <w:rPr>
          <w:rFonts w:ascii="Arial" w:cs="Arial" w:eastAsia="Arial" w:hAnsi="Arial"/>
          <w:sz w:val="18"/>
          <w:szCs w:val="18"/>
          <w:color w:val="4C4C4C"/>
        </w:rPr>
      </w:pPr>
      <w:r>
        <w:rPr>
          <w:rFonts w:ascii="Arial" w:cs="Arial" w:eastAsia="Arial" w:hAnsi="Arial"/>
          <w:sz w:val="18"/>
          <w:szCs w:val="18"/>
          <w:color w:val="4C4C4C"/>
        </w:rPr>
        <w:t>Vice President and Chief Financial Officer of GE Financial Employer Services Group (2000 – 2003)</w:t>
      </w:r>
    </w:p>
    <w:p>
      <w:pPr>
        <w:ind w:left="341" w:hanging="161"/>
        <w:spacing w:after="0" w:line="234" w:lineRule="auto"/>
        <w:tabs>
          <w:tab w:leader="none" w:pos="341" w:val="left"/>
        </w:tabs>
        <w:numPr>
          <w:ilvl w:val="1"/>
          <w:numId w:val="90"/>
        </w:numPr>
        <w:rPr>
          <w:rFonts w:ascii="Arial" w:cs="Arial" w:eastAsia="Arial" w:hAnsi="Arial"/>
          <w:sz w:val="18"/>
          <w:szCs w:val="18"/>
          <w:color w:val="4C4C4C"/>
        </w:rPr>
      </w:pPr>
      <w:r>
        <w:rPr>
          <w:rFonts w:ascii="Arial" w:cs="Arial" w:eastAsia="Arial" w:hAnsi="Arial"/>
          <w:sz w:val="18"/>
          <w:szCs w:val="18"/>
          <w:color w:val="4C4C4C"/>
        </w:rPr>
        <w:t>Controller, GE Americom (1998 – 2000)</w:t>
      </w:r>
    </w:p>
    <w:p>
      <w:pPr>
        <w:ind w:left="161" w:hanging="161"/>
        <w:spacing w:after="0" w:line="234" w:lineRule="auto"/>
        <w:tabs>
          <w:tab w:leader="none" w:pos="161"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Asea Brown Boveri, Inc., a multinational power and automation technologies company (1993 – 1998)</w:t>
      </w:r>
    </w:p>
    <w:p>
      <w:pPr>
        <w:ind w:left="341" w:hanging="161"/>
        <w:spacing w:after="0" w:line="234" w:lineRule="auto"/>
        <w:tabs>
          <w:tab w:leader="none" w:pos="341" w:val="left"/>
        </w:tabs>
        <w:numPr>
          <w:ilvl w:val="1"/>
          <w:numId w:val="90"/>
        </w:numPr>
        <w:rPr>
          <w:rFonts w:ascii="Arial" w:cs="Arial" w:eastAsia="Arial" w:hAnsi="Arial"/>
          <w:sz w:val="18"/>
          <w:szCs w:val="18"/>
          <w:color w:val="4C4C4C"/>
        </w:rPr>
      </w:pPr>
      <w:r>
        <w:rPr>
          <w:rFonts w:ascii="Arial" w:cs="Arial" w:eastAsia="Arial" w:hAnsi="Arial"/>
          <w:sz w:val="18"/>
          <w:szCs w:val="18"/>
          <w:color w:val="4C4C4C"/>
        </w:rPr>
        <w:t>International Business Area Controller, Energy Ventures</w:t>
      </w:r>
    </w:p>
    <w:p>
      <w:pPr>
        <w:ind w:left="161" w:hanging="161"/>
        <w:spacing w:after="0" w:line="234" w:lineRule="auto"/>
        <w:tabs>
          <w:tab w:leader="none" w:pos="161"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PepsiCo, Inc., a multinational food and beverage company (1988 – 1993)</w:t>
      </w:r>
    </w:p>
    <w:p>
      <w:pPr>
        <w:ind w:left="161" w:hanging="161"/>
        <w:spacing w:after="0"/>
        <w:tabs>
          <w:tab w:leader="none" w:pos="161" w:val="left"/>
        </w:tabs>
        <w:numPr>
          <w:ilvl w:val="0"/>
          <w:numId w:val="90"/>
        </w:numPr>
        <w:rPr>
          <w:rFonts w:ascii="Arial" w:cs="Arial" w:eastAsia="Arial" w:hAnsi="Arial"/>
          <w:sz w:val="18"/>
          <w:szCs w:val="18"/>
          <w:color w:val="4C4C4C"/>
        </w:rPr>
      </w:pPr>
      <w:r>
        <w:rPr>
          <w:rFonts w:ascii="Arial" w:cs="Arial" w:eastAsia="Arial" w:hAnsi="Arial"/>
          <w:sz w:val="18"/>
          <w:szCs w:val="18"/>
          <w:color w:val="4C4C4C"/>
        </w:rPr>
        <w:t>Arthur Andersen, a professional services firm (1985 – 1988)</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3" w:lineRule="exact"/>
        <w:rPr>
          <w:sz w:val="20"/>
          <w:szCs w:val="20"/>
          <w:color w:val="auto"/>
        </w:rPr>
      </w:pPr>
    </w:p>
    <w:p>
      <w:pPr>
        <w:ind w:left="161" w:hanging="161"/>
        <w:spacing w:after="0"/>
        <w:tabs>
          <w:tab w:leader="none" w:pos="161" w:val="left"/>
        </w:tabs>
        <w:numPr>
          <w:ilvl w:val="0"/>
          <w:numId w:val="91"/>
        </w:numPr>
        <w:rPr>
          <w:rFonts w:ascii="Arial" w:cs="Arial" w:eastAsia="Arial" w:hAnsi="Arial"/>
          <w:sz w:val="18"/>
          <w:szCs w:val="18"/>
          <w:color w:val="4C4C4C"/>
        </w:rPr>
      </w:pPr>
      <w:r>
        <w:rPr>
          <w:rFonts w:ascii="Arial" w:cs="Arial" w:eastAsia="Arial" w:hAnsi="Arial"/>
          <w:sz w:val="18"/>
          <w:szCs w:val="18"/>
          <w:color w:val="4C4C4C"/>
        </w:rPr>
        <w:t>State Auto Financial Corporation (2010 – present)</w:t>
      </w:r>
    </w:p>
    <w:p>
      <w:pPr>
        <w:ind w:left="161" w:hanging="161"/>
        <w:spacing w:after="0"/>
        <w:tabs>
          <w:tab w:leader="none" w:pos="161" w:val="left"/>
        </w:tabs>
        <w:numPr>
          <w:ilvl w:val="0"/>
          <w:numId w:val="91"/>
        </w:numPr>
        <w:rPr>
          <w:rFonts w:ascii="Arial" w:cs="Arial" w:eastAsia="Arial" w:hAnsi="Arial"/>
          <w:sz w:val="18"/>
          <w:szCs w:val="18"/>
          <w:color w:val="4C4C4C"/>
        </w:rPr>
      </w:pPr>
      <w:r>
        <w:rPr>
          <w:rFonts w:ascii="Arial" w:cs="Arial" w:eastAsia="Arial" w:hAnsi="Arial"/>
          <w:sz w:val="18"/>
          <w:szCs w:val="18"/>
          <w:color w:val="4C4C4C"/>
        </w:rPr>
        <w:t>Fifth Third Bancorp (2016 – present)</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3" w:lineRule="exact"/>
        <w:rPr>
          <w:sz w:val="20"/>
          <w:szCs w:val="20"/>
          <w:color w:val="auto"/>
        </w:rPr>
      </w:pPr>
    </w:p>
    <w:p>
      <w:pPr>
        <w:ind w:left="161" w:hanging="161"/>
        <w:spacing w:after="0"/>
        <w:tabs>
          <w:tab w:leader="none" w:pos="161" w:val="left"/>
        </w:tabs>
        <w:numPr>
          <w:ilvl w:val="0"/>
          <w:numId w:val="92"/>
        </w:numPr>
        <w:rPr>
          <w:rFonts w:ascii="Arial" w:cs="Arial" w:eastAsia="Arial" w:hAnsi="Arial"/>
          <w:sz w:val="18"/>
          <w:szCs w:val="18"/>
          <w:color w:val="4C4C4C"/>
        </w:rPr>
      </w:pPr>
      <w:r>
        <w:rPr>
          <w:rFonts w:ascii="Arial" w:cs="Arial" w:eastAsia="Arial" w:hAnsi="Arial"/>
          <w:sz w:val="18"/>
          <w:szCs w:val="18"/>
          <w:color w:val="4C4C4C"/>
        </w:rPr>
        <w:t>Libbey Inc. (2016 – 2020)</w:t>
      </w:r>
    </w:p>
    <w:p>
      <w:pPr>
        <w:ind w:left="161" w:hanging="161"/>
        <w:spacing w:after="0"/>
        <w:tabs>
          <w:tab w:leader="none" w:pos="161" w:val="left"/>
        </w:tabs>
        <w:numPr>
          <w:ilvl w:val="0"/>
          <w:numId w:val="92"/>
        </w:numPr>
        <w:rPr>
          <w:rFonts w:ascii="Arial" w:cs="Arial" w:eastAsia="Arial" w:hAnsi="Arial"/>
          <w:sz w:val="18"/>
          <w:szCs w:val="18"/>
          <w:color w:val="4C4C4C"/>
        </w:rPr>
      </w:pPr>
      <w:r>
        <w:rPr>
          <w:rFonts w:ascii="Arial" w:cs="Arial" w:eastAsia="Arial" w:hAnsi="Arial"/>
          <w:sz w:val="18"/>
          <w:szCs w:val="18"/>
          <w:color w:val="4C4C4C"/>
        </w:rPr>
        <w:t>Bob Evans Farms, Inc. (2008 – 2018)</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3" w:lineRule="exact"/>
        <w:rPr>
          <w:sz w:val="20"/>
          <w:szCs w:val="20"/>
          <w:color w:val="auto"/>
        </w:rPr>
      </w:pPr>
    </w:p>
    <w:p>
      <w:pPr>
        <w:ind w:left="161" w:hanging="161"/>
        <w:spacing w:after="0"/>
        <w:tabs>
          <w:tab w:leader="none" w:pos="161" w:val="left"/>
        </w:tabs>
        <w:numPr>
          <w:ilvl w:val="0"/>
          <w:numId w:val="93"/>
        </w:numPr>
        <w:rPr>
          <w:rFonts w:ascii="Arial" w:cs="Arial" w:eastAsia="Arial" w:hAnsi="Arial"/>
          <w:sz w:val="18"/>
          <w:szCs w:val="18"/>
          <w:color w:val="4C4C4C"/>
        </w:rPr>
      </w:pPr>
      <w:r>
        <w:rPr>
          <w:rFonts w:ascii="Arial" w:cs="Arial" w:eastAsia="Arial" w:hAnsi="Arial"/>
          <w:sz w:val="18"/>
          <w:szCs w:val="18"/>
          <w:color w:val="4C4C4C"/>
        </w:rPr>
        <w:t>Certified Public Accountant (“CPA”)</w:t>
      </w:r>
    </w:p>
    <w:p>
      <w:pPr>
        <w:ind w:left="161" w:hanging="161"/>
        <w:spacing w:after="0"/>
        <w:tabs>
          <w:tab w:leader="none" w:pos="161" w:val="left"/>
        </w:tabs>
        <w:numPr>
          <w:ilvl w:val="0"/>
          <w:numId w:val="93"/>
        </w:numPr>
        <w:rPr>
          <w:rFonts w:ascii="Arial" w:cs="Arial" w:eastAsia="Arial" w:hAnsi="Arial"/>
          <w:sz w:val="18"/>
          <w:szCs w:val="18"/>
          <w:color w:val="4C4C4C"/>
        </w:rPr>
      </w:pPr>
      <w:r>
        <w:rPr>
          <w:rFonts w:ascii="Arial" w:cs="Arial" w:eastAsia="Arial" w:hAnsi="Arial"/>
          <w:sz w:val="18"/>
          <w:szCs w:val="18"/>
          <w:color w:val="4C4C4C"/>
        </w:rPr>
        <w:t>Member, American Institute of Certified Public Accounts (“AICPA”)</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BS, Accounting, City University of New York (CUNY)</w:t>
      </w:r>
    </w:p>
    <w:p>
      <w:pPr>
        <w:sectPr>
          <w:pgSz w:w="11900" w:h="16838" w:orient="portrait"/>
          <w:cols w:equalWidth="0" w:num="2">
            <w:col w:w="2220" w:space="339"/>
            <w:col w:w="8581"/>
          </w:cols>
          <w:pgMar w:left="32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699516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-1259205</wp:posOffset>
            </wp:positionV>
            <wp:extent cx="805815" cy="10883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4C4C4C"/>
        </w:rPr>
        <w:t>Director since: 2017</w:t>
      </w:r>
    </w:p>
    <w:p>
      <w:pPr>
        <w:ind w:left="120"/>
        <w:spacing w:after="0" w:line="235" w:lineRule="auto"/>
        <w:rPr>
          <w:sz w:val="20"/>
          <w:szCs w:val="20"/>
          <w:color w:val="auto"/>
        </w:rPr>
      </w:pPr>
      <w:r>
        <w:rPr>
          <w:rFonts w:ascii="Arial" w:cs="Arial" w:eastAsia="Arial" w:hAnsi="Arial"/>
          <w:sz w:val="18"/>
          <w:szCs w:val="18"/>
          <w:color w:val="4C4C4C"/>
        </w:rPr>
        <w:t>Committees:</w:t>
      </w:r>
    </w:p>
    <w:p>
      <w:pPr>
        <w:spacing w:after="0" w:line="1" w:lineRule="exact"/>
        <w:rPr>
          <w:sz w:val="20"/>
          <w:szCs w:val="20"/>
          <w:color w:val="auto"/>
        </w:rPr>
      </w:pPr>
    </w:p>
    <w:p>
      <w:pPr>
        <w:ind w:left="380" w:right="40" w:hanging="174"/>
        <w:spacing w:after="0" w:line="234" w:lineRule="auto"/>
        <w:tabs>
          <w:tab w:leader="none" w:pos="364" w:val="left"/>
        </w:tabs>
        <w:numPr>
          <w:ilvl w:val="0"/>
          <w:numId w:val="94"/>
        </w:numPr>
        <w:rPr>
          <w:rFonts w:ascii="Arial" w:cs="Arial" w:eastAsia="Arial" w:hAnsi="Arial"/>
          <w:sz w:val="18"/>
          <w:szCs w:val="18"/>
          <w:color w:val="4C4C4C"/>
        </w:rPr>
      </w:pPr>
      <w:r>
        <w:rPr>
          <w:rFonts w:ascii="Arial" w:cs="Arial" w:eastAsia="Arial" w:hAnsi="Arial"/>
          <w:sz w:val="18"/>
          <w:szCs w:val="18"/>
          <w:color w:val="4C4C4C"/>
        </w:rPr>
        <w:t>Compensation and Human Capital (Chair)</w:t>
      </w:r>
    </w:p>
    <w:p>
      <w:pPr>
        <w:spacing w:after="0" w:line="1" w:lineRule="exact"/>
        <w:rPr>
          <w:rFonts w:ascii="Arial" w:cs="Arial" w:eastAsia="Arial" w:hAnsi="Arial"/>
          <w:sz w:val="18"/>
          <w:szCs w:val="18"/>
          <w:color w:val="4C4C4C"/>
        </w:rPr>
      </w:pPr>
    </w:p>
    <w:p>
      <w:pPr>
        <w:ind w:left="380" w:hanging="174"/>
        <w:spacing w:after="0" w:line="234" w:lineRule="auto"/>
        <w:tabs>
          <w:tab w:leader="none" w:pos="380" w:val="left"/>
        </w:tabs>
        <w:numPr>
          <w:ilvl w:val="0"/>
          <w:numId w:val="94"/>
        </w:numPr>
        <w:rPr>
          <w:rFonts w:ascii="Arial" w:cs="Arial" w:eastAsia="Arial" w:hAnsi="Arial"/>
          <w:sz w:val="18"/>
          <w:szCs w:val="18"/>
          <w:color w:val="4C4C4C"/>
        </w:rPr>
      </w:pPr>
      <w:r>
        <w:rPr>
          <w:rFonts w:ascii="Arial" w:cs="Arial" w:eastAsia="Arial" w:hAnsi="Arial"/>
          <w:sz w:val="18"/>
          <w:szCs w:val="18"/>
          <w:color w:val="4C4C4C"/>
        </w:rPr>
        <w:t>Finance and Risk</w:t>
      </w:r>
    </w:p>
    <w:p>
      <w:pPr>
        <w:ind w:left="380" w:hanging="174"/>
        <w:spacing w:after="0" w:line="246" w:lineRule="auto"/>
        <w:tabs>
          <w:tab w:leader="none" w:pos="364" w:val="left"/>
        </w:tabs>
        <w:numPr>
          <w:ilvl w:val="0"/>
          <w:numId w:val="94"/>
        </w:numPr>
        <w:rPr>
          <w:rFonts w:ascii="Arial" w:cs="Arial" w:eastAsia="Arial" w:hAnsi="Arial"/>
          <w:sz w:val="18"/>
          <w:szCs w:val="18"/>
          <w:color w:val="4C4C4C"/>
        </w:rPr>
      </w:pPr>
      <w:r>
        <w:rPr>
          <w:rFonts w:ascii="Arial" w:cs="Arial" w:eastAsia="Arial" w:hAnsi="Arial"/>
          <w:sz w:val="18"/>
          <w:szCs w:val="18"/>
          <w:color w:val="4C4C4C"/>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Diane E. Offereins</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140"/>
        <w:spacing w:after="0"/>
        <w:rPr>
          <w:sz w:val="20"/>
          <w:szCs w:val="20"/>
          <w:color w:val="auto"/>
        </w:rPr>
      </w:pPr>
      <w:r>
        <w:rPr>
          <w:rFonts w:ascii="Arial" w:cs="Arial" w:eastAsia="Arial" w:hAnsi="Arial"/>
          <w:sz w:val="18"/>
          <w:szCs w:val="18"/>
          <w:color w:val="4C4C4C"/>
        </w:rPr>
        <w:t>Ms. Offereins is qualified to serve on our Board on the basis of her financial services industry experience and her information technology and cybersecurity expertise. Ms. Offereins also brings valuable experience gained as a senior officer of Discover during its spinoff from Morgan Stanley.</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95"/>
        </w:numPr>
        <w:rPr>
          <w:rFonts w:ascii="Arial" w:cs="Arial" w:eastAsia="Arial" w:hAnsi="Arial"/>
          <w:sz w:val="18"/>
          <w:szCs w:val="18"/>
          <w:color w:val="4C4C4C"/>
        </w:rPr>
      </w:pPr>
      <w:r>
        <w:rPr>
          <w:rFonts w:ascii="Arial" w:cs="Arial" w:eastAsia="Arial" w:hAnsi="Arial"/>
          <w:sz w:val="18"/>
          <w:szCs w:val="18"/>
          <w:color w:val="4C4C4C"/>
        </w:rPr>
        <w:t>Discover Financial Services, a direct banking and payment services company (1998 –present)</w:t>
      </w:r>
    </w:p>
    <w:p>
      <w:pPr>
        <w:ind w:left="341" w:hanging="161"/>
        <w:spacing w:after="0" w:line="234" w:lineRule="auto"/>
        <w:tabs>
          <w:tab w:leader="none" w:pos="341" w:val="left"/>
        </w:tabs>
        <w:numPr>
          <w:ilvl w:val="1"/>
          <w:numId w:val="95"/>
        </w:numPr>
        <w:rPr>
          <w:rFonts w:ascii="Arial" w:cs="Arial" w:eastAsia="Arial" w:hAnsi="Arial"/>
          <w:sz w:val="18"/>
          <w:szCs w:val="18"/>
          <w:color w:val="4C4C4C"/>
        </w:rPr>
      </w:pPr>
      <w:r>
        <w:rPr>
          <w:rFonts w:ascii="Arial" w:cs="Arial" w:eastAsia="Arial" w:hAnsi="Arial"/>
          <w:sz w:val="18"/>
          <w:szCs w:val="18"/>
          <w:color w:val="4C4C4C"/>
        </w:rPr>
        <w:t>Executive Vice President and President – Payment Services (April 2010 – present)</w:t>
      </w:r>
    </w:p>
    <w:p>
      <w:pPr>
        <w:ind w:left="341" w:hanging="161"/>
        <w:spacing w:after="0" w:line="234" w:lineRule="auto"/>
        <w:tabs>
          <w:tab w:leader="none" w:pos="341" w:val="left"/>
        </w:tabs>
        <w:numPr>
          <w:ilvl w:val="1"/>
          <w:numId w:val="95"/>
        </w:numPr>
        <w:rPr>
          <w:rFonts w:ascii="Arial" w:cs="Arial" w:eastAsia="Arial" w:hAnsi="Arial"/>
          <w:sz w:val="18"/>
          <w:szCs w:val="18"/>
          <w:color w:val="4C4C4C"/>
        </w:rPr>
      </w:pPr>
      <w:r>
        <w:rPr>
          <w:rFonts w:ascii="Arial" w:cs="Arial" w:eastAsia="Arial" w:hAnsi="Arial"/>
          <w:sz w:val="18"/>
          <w:szCs w:val="18"/>
          <w:color w:val="4C4C4C"/>
        </w:rPr>
        <w:t>Executive Vice President, Payment Services (2008 – 2010)</w:t>
      </w:r>
    </w:p>
    <w:p>
      <w:pPr>
        <w:ind w:left="341" w:hanging="161"/>
        <w:spacing w:after="0"/>
        <w:tabs>
          <w:tab w:leader="none" w:pos="341" w:val="left"/>
        </w:tabs>
        <w:numPr>
          <w:ilvl w:val="1"/>
          <w:numId w:val="95"/>
        </w:numPr>
        <w:rPr>
          <w:rFonts w:ascii="Arial" w:cs="Arial" w:eastAsia="Arial" w:hAnsi="Arial"/>
          <w:sz w:val="18"/>
          <w:szCs w:val="18"/>
          <w:color w:val="4C4C4C"/>
        </w:rPr>
      </w:pPr>
      <w:r>
        <w:rPr>
          <w:rFonts w:ascii="Arial" w:cs="Arial" w:eastAsia="Arial" w:hAnsi="Arial"/>
          <w:sz w:val="18"/>
          <w:szCs w:val="18"/>
          <w:color w:val="4C4C4C"/>
        </w:rPr>
        <w:t>Executive Vice President and Chief Technology Officer, Discover (1998 – 2008)</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West Corporation (2015 – 2017)</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3" w:lineRule="exact"/>
        <w:rPr>
          <w:sz w:val="20"/>
          <w:szCs w:val="20"/>
          <w:color w:val="auto"/>
        </w:rPr>
      </w:pPr>
    </w:p>
    <w:p>
      <w:pPr>
        <w:ind w:left="161" w:hanging="161"/>
        <w:spacing w:after="0"/>
        <w:tabs>
          <w:tab w:leader="none" w:pos="161" w:val="left"/>
        </w:tabs>
        <w:numPr>
          <w:ilvl w:val="0"/>
          <w:numId w:val="96"/>
        </w:numPr>
        <w:rPr>
          <w:rFonts w:ascii="Arial" w:cs="Arial" w:eastAsia="Arial" w:hAnsi="Arial"/>
          <w:sz w:val="18"/>
          <w:szCs w:val="18"/>
          <w:color w:val="4C4C4C"/>
        </w:rPr>
      </w:pPr>
      <w:r>
        <w:rPr>
          <w:rFonts w:ascii="Arial" w:cs="Arial" w:eastAsia="Arial" w:hAnsi="Arial"/>
          <w:sz w:val="18"/>
          <w:szCs w:val="18"/>
          <w:color w:val="4C4C4C"/>
        </w:rPr>
        <w:t>Former Chair, The Chicago Network</w:t>
      </w:r>
    </w:p>
    <w:p>
      <w:pPr>
        <w:ind w:left="161" w:hanging="161"/>
        <w:spacing w:after="0"/>
        <w:tabs>
          <w:tab w:leader="none" w:pos="161" w:val="left"/>
        </w:tabs>
        <w:numPr>
          <w:ilvl w:val="0"/>
          <w:numId w:val="96"/>
        </w:numPr>
        <w:rPr>
          <w:rFonts w:ascii="Arial" w:cs="Arial" w:eastAsia="Arial" w:hAnsi="Arial"/>
          <w:sz w:val="18"/>
          <w:szCs w:val="18"/>
          <w:color w:val="4C4C4C"/>
        </w:rPr>
      </w:pPr>
      <w:r>
        <w:rPr>
          <w:rFonts w:ascii="Arial" w:cs="Arial" w:eastAsia="Arial" w:hAnsi="Arial"/>
          <w:sz w:val="18"/>
          <w:szCs w:val="18"/>
          <w:color w:val="4C4C4C"/>
        </w:rPr>
        <w:t>Member, Board of Trustees, Children’s Home + Aid</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BBA, Loyola University Maryland</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19</w:t>
      </w:r>
    </w:p>
    <w:p>
      <w:pPr>
        <w:sectPr>
          <w:pgSz w:w="11900" w:h="16838" w:orient="portrait"/>
          <w:cols w:equalWidth="0" w:num="2">
            <w:col w:w="2220" w:space="339"/>
            <w:col w:w="8581"/>
          </w:cols>
          <w:pgMar w:left="320" w:top="459" w:right="4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484505</wp:posOffset>
            </wp:positionV>
            <wp:extent cx="805815" cy="10883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70</w:t>
      </w:r>
    </w:p>
    <w:p>
      <w:pPr>
        <w:ind w:left="120"/>
        <w:spacing w:after="0" w:line="234" w:lineRule="auto"/>
        <w:rPr>
          <w:sz w:val="20"/>
          <w:szCs w:val="20"/>
          <w:color w:val="auto"/>
        </w:rPr>
      </w:pPr>
      <w:r>
        <w:rPr>
          <w:rFonts w:ascii="Arial" w:cs="Arial" w:eastAsia="Arial" w:hAnsi="Arial"/>
          <w:sz w:val="18"/>
          <w:szCs w:val="18"/>
          <w:color w:val="4C4C4C"/>
        </w:rPr>
        <w:t>Director since: 2017</w:t>
      </w:r>
    </w:p>
    <w:p>
      <w:pPr>
        <w:ind w:left="120"/>
        <w:spacing w:after="0" w:line="235" w:lineRule="auto"/>
        <w:rPr>
          <w:sz w:val="20"/>
          <w:szCs w:val="20"/>
          <w:color w:val="auto"/>
        </w:rPr>
      </w:pPr>
      <w:r>
        <w:rPr>
          <w:rFonts w:ascii="Arial" w:cs="Arial" w:eastAsia="Arial" w:hAnsi="Arial"/>
          <w:sz w:val="18"/>
          <w:szCs w:val="18"/>
          <w:color w:val="4C4C4C"/>
        </w:rPr>
        <w:t>Committees:</w:t>
      </w:r>
    </w:p>
    <w:p>
      <w:pPr>
        <w:ind w:left="360" w:hanging="154"/>
        <w:spacing w:after="0" w:line="235" w:lineRule="auto"/>
        <w:tabs>
          <w:tab w:leader="none" w:pos="360" w:val="left"/>
        </w:tabs>
        <w:numPr>
          <w:ilvl w:val="0"/>
          <w:numId w:val="97"/>
        </w:numPr>
        <w:rPr>
          <w:rFonts w:ascii="Arial" w:cs="Arial" w:eastAsia="Arial" w:hAnsi="Arial"/>
          <w:sz w:val="18"/>
          <w:szCs w:val="18"/>
          <w:color w:val="4C4C4C"/>
        </w:rPr>
      </w:pPr>
      <w:r>
        <w:rPr>
          <w:rFonts w:ascii="Arial" w:cs="Arial" w:eastAsia="Arial" w:hAnsi="Arial"/>
          <w:sz w:val="18"/>
          <w:szCs w:val="18"/>
          <w:color w:val="4C4C4C"/>
        </w:rPr>
        <w:t>Audit (Chair)</w:t>
      </w:r>
    </w:p>
    <w:p>
      <w:pPr>
        <w:ind w:left="380" w:hanging="174"/>
        <w:spacing w:after="0" w:line="234" w:lineRule="auto"/>
        <w:tabs>
          <w:tab w:leader="none" w:pos="380" w:val="left"/>
        </w:tabs>
        <w:numPr>
          <w:ilvl w:val="0"/>
          <w:numId w:val="97"/>
        </w:numPr>
        <w:rPr>
          <w:rFonts w:ascii="Arial" w:cs="Arial" w:eastAsia="Arial" w:hAnsi="Arial"/>
          <w:sz w:val="18"/>
          <w:szCs w:val="18"/>
          <w:color w:val="4C4C4C"/>
        </w:rPr>
      </w:pPr>
      <w:r>
        <w:rPr>
          <w:rFonts w:ascii="Arial" w:cs="Arial" w:eastAsia="Arial" w:hAnsi="Arial"/>
          <w:sz w:val="18"/>
          <w:szCs w:val="18"/>
          <w:color w:val="4C4C4C"/>
        </w:rPr>
        <w:t>Executive</w:t>
      </w:r>
    </w:p>
    <w:p>
      <w:pPr>
        <w:ind w:left="380" w:hanging="174"/>
        <w:spacing w:after="0"/>
        <w:tabs>
          <w:tab w:leader="none" w:pos="380" w:val="left"/>
        </w:tabs>
        <w:numPr>
          <w:ilvl w:val="0"/>
          <w:numId w:val="97"/>
        </w:numPr>
        <w:rPr>
          <w:rFonts w:ascii="Arial" w:cs="Arial" w:eastAsia="Arial" w:hAnsi="Arial"/>
          <w:sz w:val="18"/>
          <w:szCs w:val="18"/>
          <w:color w:val="4C4C4C"/>
        </w:rPr>
      </w:pPr>
      <w:r>
        <w:rPr>
          <w:rFonts w:ascii="Arial" w:cs="Arial" w:eastAsia="Arial" w:hAnsi="Arial"/>
          <w:sz w:val="18"/>
          <w:szCs w:val="18"/>
          <w:color w:val="4C4C4C"/>
        </w:rPr>
        <w:t>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20 | 2021 Proxy Statement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236220</wp:posOffset>
            </wp:positionV>
            <wp:extent cx="699516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Patrick J. (“Pat”) Shouvlin</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640"/>
        <w:spacing w:after="0" w:line="246" w:lineRule="auto"/>
        <w:rPr>
          <w:sz w:val="20"/>
          <w:szCs w:val="20"/>
          <w:color w:val="auto"/>
        </w:rPr>
      </w:pPr>
      <w:r>
        <w:rPr>
          <w:rFonts w:ascii="Arial" w:cs="Arial" w:eastAsia="Arial" w:hAnsi="Arial"/>
          <w:sz w:val="18"/>
          <w:szCs w:val="18"/>
          <w:color w:val="4C4C4C"/>
        </w:rPr>
        <w:t>Mr. Shouvlin is qualified to serve on our Board on the basis of his extensive accounting and auditing experience, as well as his knowledge of the insurance industry.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98"/>
        </w:numPr>
        <w:rPr>
          <w:rFonts w:ascii="Arial" w:cs="Arial" w:eastAsia="Arial" w:hAnsi="Arial"/>
          <w:sz w:val="18"/>
          <w:szCs w:val="18"/>
          <w:color w:val="4C4C4C"/>
        </w:rPr>
      </w:pPr>
      <w:r>
        <w:rPr>
          <w:rFonts w:ascii="Arial" w:cs="Arial" w:eastAsia="Arial" w:hAnsi="Arial"/>
          <w:sz w:val="18"/>
          <w:szCs w:val="18"/>
          <w:color w:val="4C4C4C"/>
        </w:rPr>
        <w:t>PricewaterhouseCoopers LLP (“</w:t>
      </w:r>
      <w:r>
        <w:rPr>
          <w:rFonts w:ascii="Arial" w:cs="Arial" w:eastAsia="Arial" w:hAnsi="Arial"/>
          <w:sz w:val="18"/>
          <w:szCs w:val="18"/>
          <w:b w:val="1"/>
          <w:bCs w:val="1"/>
          <w:color w:val="3FC1CC"/>
        </w:rPr>
        <w:t>PwC</w:t>
      </w:r>
      <w:r>
        <w:rPr>
          <w:rFonts w:ascii="Arial" w:cs="Arial" w:eastAsia="Arial" w:hAnsi="Arial"/>
          <w:sz w:val="18"/>
          <w:szCs w:val="18"/>
          <w:color w:val="4C4C4C"/>
        </w:rPr>
        <w:t>”), an accounting and professional services firm (1977 – 2012)</w:t>
      </w:r>
    </w:p>
    <w:p>
      <w:pPr>
        <w:ind w:left="341" w:hanging="161"/>
        <w:spacing w:after="0" w:line="234" w:lineRule="auto"/>
        <w:tabs>
          <w:tab w:leader="none" w:pos="341" w:val="left"/>
        </w:tabs>
        <w:numPr>
          <w:ilvl w:val="1"/>
          <w:numId w:val="98"/>
        </w:numPr>
        <w:rPr>
          <w:rFonts w:ascii="Arial" w:cs="Arial" w:eastAsia="Arial" w:hAnsi="Arial"/>
          <w:sz w:val="18"/>
          <w:szCs w:val="18"/>
          <w:color w:val="4C4C4C"/>
        </w:rPr>
      </w:pPr>
      <w:r>
        <w:rPr>
          <w:rFonts w:ascii="Arial" w:cs="Arial" w:eastAsia="Arial" w:hAnsi="Arial"/>
          <w:sz w:val="18"/>
          <w:szCs w:val="18"/>
          <w:color w:val="4C4C4C"/>
        </w:rPr>
        <w:t>Global Engagement Partner for large, global insurance and financial services companies</w:t>
      </w:r>
    </w:p>
    <w:p>
      <w:pPr>
        <w:ind w:left="341" w:hanging="161"/>
        <w:spacing w:after="0" w:line="234" w:lineRule="auto"/>
        <w:tabs>
          <w:tab w:leader="none" w:pos="341" w:val="left"/>
        </w:tabs>
        <w:numPr>
          <w:ilvl w:val="1"/>
          <w:numId w:val="98"/>
        </w:numPr>
        <w:rPr>
          <w:rFonts w:ascii="Arial" w:cs="Arial" w:eastAsia="Arial" w:hAnsi="Arial"/>
          <w:sz w:val="18"/>
          <w:szCs w:val="18"/>
          <w:color w:val="4C4C4C"/>
        </w:rPr>
      </w:pPr>
      <w:r>
        <w:rPr>
          <w:rFonts w:ascii="Arial" w:cs="Arial" w:eastAsia="Arial" w:hAnsi="Arial"/>
          <w:sz w:val="18"/>
          <w:szCs w:val="18"/>
          <w:color w:val="4C4C4C"/>
        </w:rPr>
        <w:t>U.S. Board of Partners, Finance Committee Chair (2005 – 2011)</w:t>
      </w:r>
    </w:p>
    <w:p>
      <w:pPr>
        <w:ind w:left="341" w:hanging="161"/>
        <w:spacing w:after="0" w:line="234" w:lineRule="auto"/>
        <w:tabs>
          <w:tab w:leader="none" w:pos="341" w:val="left"/>
        </w:tabs>
        <w:numPr>
          <w:ilvl w:val="1"/>
          <w:numId w:val="98"/>
        </w:numPr>
        <w:rPr>
          <w:rFonts w:ascii="Arial" w:cs="Arial" w:eastAsia="Arial" w:hAnsi="Arial"/>
          <w:sz w:val="18"/>
          <w:szCs w:val="18"/>
          <w:color w:val="4C4C4C"/>
        </w:rPr>
      </w:pPr>
      <w:r>
        <w:rPr>
          <w:rFonts w:ascii="Arial" w:cs="Arial" w:eastAsia="Arial" w:hAnsi="Arial"/>
          <w:sz w:val="18"/>
          <w:szCs w:val="18"/>
          <w:color w:val="4C4C4C"/>
        </w:rPr>
        <w:t>Member of Governance Committee (2005 – 2011)</w:t>
      </w:r>
    </w:p>
    <w:p>
      <w:pPr>
        <w:ind w:left="341" w:hanging="161"/>
        <w:spacing w:after="0"/>
        <w:tabs>
          <w:tab w:leader="none" w:pos="341" w:val="left"/>
        </w:tabs>
        <w:numPr>
          <w:ilvl w:val="1"/>
          <w:numId w:val="98"/>
        </w:numPr>
        <w:rPr>
          <w:rFonts w:ascii="Arial" w:cs="Arial" w:eastAsia="Arial" w:hAnsi="Arial"/>
          <w:sz w:val="18"/>
          <w:szCs w:val="18"/>
          <w:color w:val="4C4C4C"/>
        </w:rPr>
      </w:pPr>
      <w:r>
        <w:rPr>
          <w:rFonts w:ascii="Arial" w:cs="Arial" w:eastAsia="Arial" w:hAnsi="Arial"/>
          <w:sz w:val="18"/>
          <w:szCs w:val="18"/>
          <w:color w:val="4C4C4C"/>
        </w:rPr>
        <w:t>U.S. Insurance Group leader (1996 – 2003)</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3" w:lineRule="exact"/>
        <w:rPr>
          <w:sz w:val="20"/>
          <w:szCs w:val="20"/>
          <w:color w:val="auto"/>
        </w:rPr>
      </w:pPr>
    </w:p>
    <w:p>
      <w:pPr>
        <w:ind w:left="161" w:hanging="161"/>
        <w:spacing w:after="0"/>
        <w:tabs>
          <w:tab w:leader="none" w:pos="161" w:val="left"/>
        </w:tabs>
        <w:numPr>
          <w:ilvl w:val="0"/>
          <w:numId w:val="99"/>
        </w:numPr>
        <w:rPr>
          <w:rFonts w:ascii="Arial" w:cs="Arial" w:eastAsia="Arial" w:hAnsi="Arial"/>
          <w:sz w:val="18"/>
          <w:szCs w:val="18"/>
          <w:color w:val="4C4C4C"/>
        </w:rPr>
      </w:pPr>
      <w:r>
        <w:rPr>
          <w:rFonts w:ascii="Arial" w:cs="Arial" w:eastAsia="Arial" w:hAnsi="Arial"/>
          <w:sz w:val="18"/>
          <w:szCs w:val="18"/>
          <w:color w:val="4C4C4C"/>
        </w:rPr>
        <w:t>Certified Public Accountant, retired (“CPA”)</w:t>
      </w:r>
    </w:p>
    <w:p>
      <w:pPr>
        <w:ind w:left="161" w:hanging="161"/>
        <w:spacing w:after="0" w:line="234" w:lineRule="auto"/>
        <w:tabs>
          <w:tab w:leader="none" w:pos="161" w:val="left"/>
        </w:tabs>
        <w:numPr>
          <w:ilvl w:val="0"/>
          <w:numId w:val="99"/>
        </w:numPr>
        <w:rPr>
          <w:rFonts w:ascii="Arial" w:cs="Arial" w:eastAsia="Arial" w:hAnsi="Arial"/>
          <w:sz w:val="18"/>
          <w:szCs w:val="18"/>
          <w:color w:val="4C4C4C"/>
        </w:rPr>
      </w:pPr>
      <w:r>
        <w:rPr>
          <w:rFonts w:ascii="Arial" w:cs="Arial" w:eastAsia="Arial" w:hAnsi="Arial"/>
          <w:sz w:val="18"/>
          <w:szCs w:val="18"/>
          <w:color w:val="4C4C4C"/>
        </w:rPr>
        <w:t>Member, American Institute of Certified Public Accountants (“AICPA”)</w:t>
      </w:r>
    </w:p>
    <w:p>
      <w:pPr>
        <w:jc w:val="both"/>
        <w:ind w:left="181" w:right="80" w:hanging="181"/>
        <w:spacing w:after="0" w:line="234" w:lineRule="auto"/>
        <w:tabs>
          <w:tab w:leader="none" w:pos="165" w:val="left"/>
        </w:tabs>
        <w:numPr>
          <w:ilvl w:val="0"/>
          <w:numId w:val="99"/>
        </w:numPr>
        <w:rPr>
          <w:rFonts w:ascii="Arial" w:cs="Arial" w:eastAsia="Arial" w:hAnsi="Arial"/>
          <w:sz w:val="18"/>
          <w:szCs w:val="18"/>
          <w:color w:val="4C4C4C"/>
        </w:rPr>
      </w:pPr>
      <w:r>
        <w:rPr>
          <w:rFonts w:ascii="Arial" w:cs="Arial" w:eastAsia="Arial" w:hAnsi="Arial"/>
          <w:sz w:val="18"/>
          <w:szCs w:val="18"/>
          <w:color w:val="4C4C4C"/>
        </w:rPr>
        <w:t>L&amp;F Holdings Limited and L&amp;F Indemnity Limited (PwC’s global captive reinsurance companies) (2015 – present), member of Investment Advisory Committee (2019 – present) and Chairman of the Board, Chair of the Governance, Nominations and Remuneration Committee, and member of the Investment Advisory Committee (2015 – 2019)</w:t>
      </w:r>
    </w:p>
    <w:p>
      <w:pPr>
        <w:spacing w:after="0" w:line="2" w:lineRule="exact"/>
        <w:rPr>
          <w:rFonts w:ascii="Arial" w:cs="Arial" w:eastAsia="Arial" w:hAnsi="Arial"/>
          <w:sz w:val="18"/>
          <w:szCs w:val="18"/>
          <w:color w:val="4C4C4C"/>
        </w:rPr>
      </w:pPr>
    </w:p>
    <w:p>
      <w:pPr>
        <w:ind w:left="181" w:right="500" w:hanging="181"/>
        <w:spacing w:after="0" w:line="246" w:lineRule="auto"/>
        <w:tabs>
          <w:tab w:leader="none" w:pos="165" w:val="left"/>
        </w:tabs>
        <w:numPr>
          <w:ilvl w:val="0"/>
          <w:numId w:val="99"/>
        </w:numPr>
        <w:rPr>
          <w:rFonts w:ascii="Arial" w:cs="Arial" w:eastAsia="Arial" w:hAnsi="Arial"/>
          <w:sz w:val="18"/>
          <w:szCs w:val="18"/>
          <w:color w:val="4C4C4C"/>
        </w:rPr>
      </w:pPr>
      <w:r>
        <w:rPr>
          <w:rFonts w:ascii="Arial" w:cs="Arial" w:eastAsia="Arial" w:hAnsi="Arial"/>
          <w:sz w:val="18"/>
          <w:szCs w:val="18"/>
          <w:color w:val="4C4C4C"/>
        </w:rPr>
        <w:t>Cunningham Lindsey, a privately owned global claims management outsourcing firm (2013 – 2018), member of the Board and Chair of the Audit Committee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3" w:lineRule="exact"/>
        <w:rPr>
          <w:sz w:val="20"/>
          <w:szCs w:val="20"/>
          <w:color w:val="auto"/>
        </w:rPr>
      </w:pPr>
    </w:p>
    <w:p>
      <w:pPr>
        <w:ind w:left="161" w:hanging="161"/>
        <w:spacing w:after="0"/>
        <w:tabs>
          <w:tab w:leader="none" w:pos="161" w:val="left"/>
        </w:tabs>
        <w:numPr>
          <w:ilvl w:val="0"/>
          <w:numId w:val="100"/>
        </w:numPr>
        <w:rPr>
          <w:rFonts w:ascii="Arial" w:cs="Arial" w:eastAsia="Arial" w:hAnsi="Arial"/>
          <w:sz w:val="18"/>
          <w:szCs w:val="18"/>
          <w:color w:val="4C4C4C"/>
        </w:rPr>
      </w:pPr>
      <w:r>
        <w:rPr>
          <w:rFonts w:ascii="Arial" w:cs="Arial" w:eastAsia="Arial" w:hAnsi="Arial"/>
          <w:sz w:val="18"/>
          <w:szCs w:val="18"/>
          <w:color w:val="4C4C4C"/>
        </w:rPr>
        <w:t>BA, History, Denison University</w:t>
      </w:r>
    </w:p>
    <w:p>
      <w:pPr>
        <w:ind w:left="161" w:hanging="161"/>
        <w:spacing w:after="0"/>
        <w:tabs>
          <w:tab w:leader="none" w:pos="161" w:val="left"/>
        </w:tabs>
        <w:numPr>
          <w:ilvl w:val="0"/>
          <w:numId w:val="100"/>
        </w:numPr>
        <w:rPr>
          <w:rFonts w:ascii="Arial" w:cs="Arial" w:eastAsia="Arial" w:hAnsi="Arial"/>
          <w:sz w:val="18"/>
          <w:szCs w:val="18"/>
          <w:color w:val="4C4C4C"/>
        </w:rPr>
      </w:pPr>
      <w:r>
        <w:rPr>
          <w:rFonts w:ascii="Arial" w:cs="Arial" w:eastAsia="Arial" w:hAnsi="Arial"/>
          <w:sz w:val="18"/>
          <w:szCs w:val="18"/>
          <w:color w:val="4C4C4C"/>
        </w:rPr>
        <w:t>MBA, Accounting and Finance, Wharton School of the University of Pennsylvania</w:t>
      </w:r>
    </w:p>
    <w:p>
      <w:pPr>
        <w:sectPr>
          <w:pgSz w:w="11900" w:h="16838" w:orient="portrait"/>
          <w:cols w:equalWidth="0" w:num="2">
            <w:col w:w="1839" w:space="720"/>
            <w:col w:w="8581"/>
          </w:cols>
          <w:pgMar w:left="320" w:top="459" w:right="4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492125</wp:posOffset>
            </wp:positionV>
            <wp:extent cx="805815" cy="1088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59</w:t>
      </w:r>
    </w:p>
    <w:p>
      <w:pPr>
        <w:ind w:left="120"/>
        <w:spacing w:after="0" w:line="234" w:lineRule="auto"/>
        <w:rPr>
          <w:sz w:val="20"/>
          <w:szCs w:val="20"/>
          <w:color w:val="auto"/>
        </w:rPr>
      </w:pPr>
      <w:r>
        <w:rPr>
          <w:rFonts w:ascii="Arial" w:cs="Arial" w:eastAsia="Arial" w:hAnsi="Arial"/>
          <w:sz w:val="18"/>
          <w:szCs w:val="18"/>
          <w:color w:val="4C4C4C"/>
        </w:rPr>
        <w:t>Director since: 2016</w:t>
      </w:r>
    </w:p>
    <w:p>
      <w:pPr>
        <w:ind w:left="120"/>
        <w:spacing w:after="0" w:line="235" w:lineRule="auto"/>
        <w:rPr>
          <w:sz w:val="20"/>
          <w:szCs w:val="20"/>
          <w:color w:val="auto"/>
        </w:rPr>
      </w:pPr>
      <w:r>
        <w:rPr>
          <w:rFonts w:ascii="Arial" w:cs="Arial" w:eastAsia="Arial" w:hAnsi="Arial"/>
          <w:sz w:val="18"/>
          <w:szCs w:val="18"/>
          <w:color w:val="4C4C4C"/>
        </w:rPr>
        <w:t>Committees: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4C4C4C"/>
        </w:rPr>
        <w:t>• Executive (Chair)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7201"/>
        <w:spacing w:after="0"/>
        <w:rPr>
          <w:sz w:val="20"/>
          <w:szCs w:val="20"/>
          <w:color w:val="auto"/>
        </w:rPr>
      </w:pPr>
      <w:r>
        <w:rPr>
          <w:rFonts w:ascii="Arial" w:cs="Arial" w:eastAsia="Arial" w:hAnsi="Arial"/>
          <w:sz w:val="12"/>
          <w:szCs w:val="12"/>
          <w:b w:val="1"/>
          <w:bCs w:val="1"/>
          <w:color w:val="00ADBB"/>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243205</wp:posOffset>
            </wp:positionV>
            <wp:extent cx="699516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Eric T. Steigerwalt</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President and Chief Executive Officer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520"/>
        <w:spacing w:after="0"/>
        <w:rPr>
          <w:sz w:val="20"/>
          <w:szCs w:val="20"/>
          <w:color w:val="auto"/>
        </w:rPr>
      </w:pPr>
      <w:r>
        <w:rPr>
          <w:rFonts w:ascii="Arial" w:cs="Arial" w:eastAsia="Arial" w:hAnsi="Arial"/>
          <w:sz w:val="18"/>
          <w:szCs w:val="18"/>
          <w:color w:val="4C4C4C"/>
        </w:rPr>
        <w:t>Mr. Steigerwalt is qualified to serve on our Board on the basis of his deep knowledge of our business, extensive experience in the insurance industry, leadership skills, and broad knowledge of corporate strategy, finance, and investments.</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3" w:lineRule="exact"/>
        <w:rPr>
          <w:sz w:val="20"/>
          <w:szCs w:val="20"/>
          <w:color w:val="auto"/>
        </w:rPr>
      </w:pPr>
    </w:p>
    <w:p>
      <w:pPr>
        <w:ind w:left="161" w:hanging="161"/>
        <w:spacing w:after="0"/>
        <w:tabs>
          <w:tab w:leader="none" w:pos="161" w:val="left"/>
        </w:tabs>
        <w:numPr>
          <w:ilvl w:val="0"/>
          <w:numId w:val="101"/>
        </w:numPr>
        <w:rPr>
          <w:rFonts w:ascii="Arial" w:cs="Arial" w:eastAsia="Arial" w:hAnsi="Arial"/>
          <w:sz w:val="18"/>
          <w:szCs w:val="18"/>
          <w:color w:val="4C4C4C"/>
        </w:rPr>
      </w:pPr>
      <w:r>
        <w:rPr>
          <w:rFonts w:ascii="Arial" w:cs="Arial" w:eastAsia="Arial" w:hAnsi="Arial"/>
          <w:sz w:val="18"/>
          <w:szCs w:val="18"/>
          <w:color w:val="4C4C4C"/>
        </w:rPr>
        <w:t>Brighthouse Financial, Inc. (2016 – present)</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President and Chief Executive Officer</w:t>
      </w:r>
    </w:p>
    <w:p>
      <w:pPr>
        <w:ind w:left="161" w:hanging="161"/>
        <w:spacing w:after="0" w:line="234" w:lineRule="auto"/>
        <w:tabs>
          <w:tab w:leader="none" w:pos="161" w:val="left"/>
        </w:tabs>
        <w:numPr>
          <w:ilvl w:val="0"/>
          <w:numId w:val="101"/>
        </w:numPr>
        <w:rPr>
          <w:rFonts w:ascii="Arial" w:cs="Arial" w:eastAsia="Arial" w:hAnsi="Arial"/>
          <w:sz w:val="18"/>
          <w:szCs w:val="18"/>
          <w:color w:val="4C4C4C"/>
        </w:rPr>
      </w:pPr>
      <w:r>
        <w:rPr>
          <w:rFonts w:ascii="Arial" w:cs="Arial" w:eastAsia="Arial" w:hAnsi="Arial"/>
          <w:sz w:val="18"/>
          <w:szCs w:val="18"/>
          <w:color w:val="4C4C4C"/>
        </w:rPr>
        <w:t>MetLife, Inc., a global insurance and financial services company (1998 – 2017)</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Executive Vice President, U.S. Retail (2012 – 2017)</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Executive Vice President and Interim Chief Financial Officer (2011 – 2012)</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Executive Vice President, Chief Financial Officer of U.S. Business (2010 – 2011)</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Senior Vice President and Chief Financial Officer of U.S. Business (2009 – 2010)</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Senior Vice President and Treasurer (2007 – 2009)</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Senior Vice President and Chief Financial Officer of Individual Business (2003 – 2007)</w:t>
      </w:r>
    </w:p>
    <w:p>
      <w:pPr>
        <w:ind w:left="341" w:hanging="161"/>
        <w:spacing w:after="0" w:line="234" w:lineRule="auto"/>
        <w:tabs>
          <w:tab w:leader="none" w:pos="341" w:val="left"/>
        </w:tabs>
        <w:numPr>
          <w:ilvl w:val="1"/>
          <w:numId w:val="101"/>
        </w:numPr>
        <w:rPr>
          <w:rFonts w:ascii="Arial" w:cs="Arial" w:eastAsia="Arial" w:hAnsi="Arial"/>
          <w:sz w:val="18"/>
          <w:szCs w:val="18"/>
          <w:color w:val="4C4C4C"/>
        </w:rPr>
      </w:pPr>
      <w:r>
        <w:rPr>
          <w:rFonts w:ascii="Arial" w:cs="Arial" w:eastAsia="Arial" w:hAnsi="Arial"/>
          <w:sz w:val="18"/>
          <w:szCs w:val="18"/>
          <w:color w:val="4C4C4C"/>
        </w:rPr>
        <w:t>Vice President, Financial Management (1998 – 2003)</w:t>
      </w:r>
    </w:p>
    <w:p>
      <w:pPr>
        <w:ind w:left="161" w:hanging="161"/>
        <w:spacing w:after="0"/>
        <w:tabs>
          <w:tab w:leader="none" w:pos="161" w:val="left"/>
        </w:tabs>
        <w:numPr>
          <w:ilvl w:val="0"/>
          <w:numId w:val="101"/>
        </w:numPr>
        <w:rPr>
          <w:rFonts w:ascii="Arial" w:cs="Arial" w:eastAsia="Arial" w:hAnsi="Arial"/>
          <w:sz w:val="18"/>
          <w:szCs w:val="18"/>
          <w:color w:val="4C4C4C"/>
        </w:rPr>
      </w:pPr>
      <w:r>
        <w:rPr>
          <w:rFonts w:ascii="Arial" w:cs="Arial" w:eastAsia="Arial" w:hAnsi="Arial"/>
          <w:sz w:val="18"/>
          <w:szCs w:val="18"/>
          <w:color w:val="4C4C4C"/>
        </w:rPr>
        <w:t>AXA S.A., a financial services and insurance company (1993 – 1998)</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Member, Board of Directors, American Council of Life Insurers (2018 – present)</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 BA, Drew University</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21</w:t>
      </w:r>
    </w:p>
    <w:p>
      <w:pPr>
        <w:sectPr>
          <w:pgSz w:w="11900" w:h="16838" w:orient="portrait"/>
          <w:cols w:equalWidth="0" w:num="2">
            <w:col w:w="1839" w:space="720"/>
            <w:col w:w="8581"/>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Board of Directors</w:t>
      </w:r>
      <w:r>
        <w:rPr>
          <w:sz w:val="20"/>
          <w:szCs w:val="20"/>
          <w:color w:val="auto"/>
        </w:rPr>
        <w:tab/>
      </w: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699516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-1259205</wp:posOffset>
            </wp:positionV>
            <wp:extent cx="805815" cy="10883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05815" cy="108839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4C4C4C"/>
        </w:rPr>
        <w:t>Director since: 2017</w:t>
      </w:r>
    </w:p>
    <w:p>
      <w:pPr>
        <w:ind w:left="120"/>
        <w:spacing w:after="0" w:line="235" w:lineRule="auto"/>
        <w:rPr>
          <w:sz w:val="20"/>
          <w:szCs w:val="20"/>
          <w:color w:val="auto"/>
        </w:rPr>
      </w:pPr>
      <w:r>
        <w:rPr>
          <w:rFonts w:ascii="Arial" w:cs="Arial" w:eastAsia="Arial" w:hAnsi="Arial"/>
          <w:sz w:val="18"/>
          <w:szCs w:val="18"/>
          <w:color w:val="4C4C4C"/>
        </w:rPr>
        <w:t>Committees:</w:t>
      </w:r>
    </w:p>
    <w:p>
      <w:pPr>
        <w:spacing w:after="0" w:line="1" w:lineRule="exact"/>
        <w:rPr>
          <w:sz w:val="20"/>
          <w:szCs w:val="20"/>
          <w:color w:val="auto"/>
        </w:rPr>
      </w:pPr>
    </w:p>
    <w:p>
      <w:pPr>
        <w:ind w:left="380" w:right="340" w:hanging="174"/>
        <w:spacing w:after="0" w:line="234" w:lineRule="auto"/>
        <w:tabs>
          <w:tab w:leader="none" w:pos="364" w:val="left"/>
        </w:tabs>
        <w:numPr>
          <w:ilvl w:val="0"/>
          <w:numId w:val="102"/>
        </w:numPr>
        <w:rPr>
          <w:rFonts w:ascii="Arial" w:cs="Arial" w:eastAsia="Arial" w:hAnsi="Arial"/>
          <w:sz w:val="18"/>
          <w:szCs w:val="18"/>
          <w:color w:val="4C4C4C"/>
        </w:rPr>
      </w:pPr>
      <w:r>
        <w:rPr>
          <w:rFonts w:ascii="Arial" w:cs="Arial" w:eastAsia="Arial" w:hAnsi="Arial"/>
          <w:sz w:val="18"/>
          <w:szCs w:val="18"/>
          <w:color w:val="4C4C4C"/>
        </w:rPr>
        <w:t>Compensation and Human Capital</w:t>
      </w:r>
    </w:p>
    <w:p>
      <w:pPr>
        <w:spacing w:after="0" w:line="1" w:lineRule="exact"/>
        <w:rPr>
          <w:rFonts w:ascii="Arial" w:cs="Arial" w:eastAsia="Arial" w:hAnsi="Arial"/>
          <w:sz w:val="18"/>
          <w:szCs w:val="18"/>
          <w:color w:val="4C4C4C"/>
        </w:rPr>
      </w:pPr>
    </w:p>
    <w:p>
      <w:pPr>
        <w:ind w:left="380" w:hanging="174"/>
        <w:spacing w:after="0" w:line="234" w:lineRule="auto"/>
        <w:tabs>
          <w:tab w:leader="none" w:pos="380" w:val="left"/>
        </w:tabs>
        <w:numPr>
          <w:ilvl w:val="0"/>
          <w:numId w:val="102"/>
        </w:numPr>
        <w:rPr>
          <w:rFonts w:ascii="Arial" w:cs="Arial" w:eastAsia="Arial" w:hAnsi="Arial"/>
          <w:sz w:val="18"/>
          <w:szCs w:val="18"/>
          <w:color w:val="4C4C4C"/>
        </w:rPr>
      </w:pPr>
      <w:r>
        <w:rPr>
          <w:rFonts w:ascii="Arial" w:cs="Arial" w:eastAsia="Arial" w:hAnsi="Arial"/>
          <w:sz w:val="18"/>
          <w:szCs w:val="18"/>
          <w:color w:val="4C4C4C"/>
        </w:rPr>
        <w:t>Finance and Risk</w:t>
      </w:r>
    </w:p>
    <w:p>
      <w:pPr>
        <w:ind w:left="380" w:hanging="174"/>
        <w:spacing w:after="0" w:line="246" w:lineRule="auto"/>
        <w:tabs>
          <w:tab w:leader="none" w:pos="364" w:val="left"/>
        </w:tabs>
        <w:numPr>
          <w:ilvl w:val="0"/>
          <w:numId w:val="102"/>
        </w:numPr>
        <w:rPr>
          <w:rFonts w:ascii="Arial" w:cs="Arial" w:eastAsia="Arial" w:hAnsi="Arial"/>
          <w:sz w:val="18"/>
          <w:szCs w:val="18"/>
          <w:color w:val="4C4C4C"/>
        </w:rPr>
      </w:pPr>
      <w:r>
        <w:rPr>
          <w:rFonts w:ascii="Arial" w:cs="Arial" w:eastAsia="Arial" w:hAnsi="Arial"/>
          <w:sz w:val="18"/>
          <w:szCs w:val="18"/>
          <w:color w:val="4C4C4C"/>
        </w:rPr>
        <w:t>Nominating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22 | 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spacing w:after="0"/>
        <w:rPr>
          <w:sz w:val="20"/>
          <w:szCs w:val="20"/>
          <w:color w:val="auto"/>
        </w:rPr>
      </w:pPr>
      <w:r>
        <w:rPr>
          <w:rFonts w:ascii="Arial" w:cs="Arial" w:eastAsia="Arial" w:hAnsi="Arial"/>
          <w:sz w:val="25"/>
          <w:szCs w:val="25"/>
          <w:b w:val="1"/>
          <w:bCs w:val="1"/>
          <w:color w:val="00ADBB"/>
        </w:rPr>
        <w:t>Paul M. Wetzel</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8"/>
          <w:szCs w:val="18"/>
          <w:color w:val="00ADBB"/>
        </w:rPr>
        <w:t>Independent Director</w:t>
      </w:r>
    </w:p>
    <w:p>
      <w:pPr>
        <w:spacing w:after="0" w:line="9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Skills and Qualifications</w:t>
      </w:r>
    </w:p>
    <w:p>
      <w:pPr>
        <w:spacing w:after="0" w:line="18" w:lineRule="exact"/>
        <w:rPr>
          <w:sz w:val="20"/>
          <w:szCs w:val="20"/>
          <w:color w:val="auto"/>
        </w:rPr>
      </w:pPr>
    </w:p>
    <w:p>
      <w:pPr>
        <w:ind w:left="1" w:right="400"/>
        <w:spacing w:after="0" w:line="246" w:lineRule="auto"/>
        <w:rPr>
          <w:sz w:val="20"/>
          <w:szCs w:val="20"/>
          <w:color w:val="auto"/>
        </w:rPr>
      </w:pPr>
      <w:r>
        <w:rPr>
          <w:rFonts w:ascii="Arial" w:cs="Arial" w:eastAsia="Arial" w:hAnsi="Arial"/>
          <w:sz w:val="18"/>
          <w:szCs w:val="18"/>
          <w:color w:val="4C4C4C"/>
        </w:rPr>
        <w:t>Mr. Wetzel is qualified to serve on our Board on the basis of his extensive experience advising financial services firms and knowledge of investment banking and corporate strategy.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Career Highlights</w:t>
      </w:r>
    </w:p>
    <w:p>
      <w:pPr>
        <w:spacing w:after="0" w:line="18" w:lineRule="exact"/>
        <w:rPr>
          <w:sz w:val="20"/>
          <w:szCs w:val="20"/>
          <w:color w:val="auto"/>
        </w:rPr>
      </w:pPr>
    </w:p>
    <w:p>
      <w:pPr>
        <w:ind w:left="181" w:right="740" w:hanging="181"/>
        <w:spacing w:after="0" w:line="234" w:lineRule="auto"/>
        <w:tabs>
          <w:tab w:leader="none" w:pos="165" w:val="left"/>
        </w:tabs>
        <w:numPr>
          <w:ilvl w:val="0"/>
          <w:numId w:val="103"/>
        </w:numPr>
        <w:rPr>
          <w:rFonts w:ascii="Arial" w:cs="Arial" w:eastAsia="Arial" w:hAnsi="Arial"/>
          <w:sz w:val="18"/>
          <w:szCs w:val="18"/>
          <w:color w:val="4C4C4C"/>
        </w:rPr>
      </w:pPr>
      <w:r>
        <w:rPr>
          <w:rFonts w:ascii="Arial" w:cs="Arial" w:eastAsia="Arial" w:hAnsi="Arial"/>
          <w:sz w:val="18"/>
          <w:szCs w:val="18"/>
          <w:color w:val="4C4C4C"/>
        </w:rPr>
        <w:t>Deutsche Bank Securities Inc., a subsidiary of global investment bank and financial services firm Deutsche Bank AG (“Deutsche Bank”) (2009 – 2016)</w:t>
      </w:r>
    </w:p>
    <w:p>
      <w:pPr>
        <w:spacing w:after="0" w:line="1" w:lineRule="exact"/>
        <w:rPr>
          <w:rFonts w:ascii="Arial" w:cs="Arial" w:eastAsia="Arial" w:hAnsi="Arial"/>
          <w:sz w:val="18"/>
          <w:szCs w:val="18"/>
          <w:color w:val="4C4C4C"/>
        </w:rPr>
      </w:pPr>
    </w:p>
    <w:p>
      <w:pPr>
        <w:ind w:left="341" w:hanging="161"/>
        <w:spacing w:after="0" w:line="234" w:lineRule="auto"/>
        <w:tabs>
          <w:tab w:leader="none" w:pos="341" w:val="left"/>
        </w:tabs>
        <w:numPr>
          <w:ilvl w:val="1"/>
          <w:numId w:val="103"/>
        </w:numPr>
        <w:rPr>
          <w:rFonts w:ascii="Arial" w:cs="Arial" w:eastAsia="Arial" w:hAnsi="Arial"/>
          <w:sz w:val="18"/>
          <w:szCs w:val="18"/>
          <w:color w:val="4C4C4C"/>
        </w:rPr>
      </w:pPr>
      <w:r>
        <w:rPr>
          <w:rFonts w:ascii="Arial" w:cs="Arial" w:eastAsia="Arial" w:hAnsi="Arial"/>
          <w:sz w:val="18"/>
          <w:szCs w:val="18"/>
          <w:color w:val="4C4C4C"/>
        </w:rPr>
        <w:t>Chairman, Global Financial Institutions Group (2013 – 2016)</w:t>
      </w:r>
    </w:p>
    <w:p>
      <w:pPr>
        <w:ind w:left="341" w:hanging="161"/>
        <w:spacing w:after="0" w:line="234" w:lineRule="auto"/>
        <w:tabs>
          <w:tab w:leader="none" w:pos="341" w:val="left"/>
        </w:tabs>
        <w:numPr>
          <w:ilvl w:val="1"/>
          <w:numId w:val="103"/>
        </w:numPr>
        <w:rPr>
          <w:rFonts w:ascii="Arial" w:cs="Arial" w:eastAsia="Arial" w:hAnsi="Arial"/>
          <w:sz w:val="18"/>
          <w:szCs w:val="18"/>
          <w:color w:val="4C4C4C"/>
        </w:rPr>
      </w:pPr>
      <w:r>
        <w:rPr>
          <w:rFonts w:ascii="Arial" w:cs="Arial" w:eastAsia="Arial" w:hAnsi="Arial"/>
          <w:sz w:val="18"/>
          <w:szCs w:val="18"/>
          <w:color w:val="4C4C4C"/>
        </w:rPr>
        <w:t>Head of the Japan Investment Banking Coverage and Advisory Group (2011 – 2013)</w:t>
      </w:r>
    </w:p>
    <w:p>
      <w:pPr>
        <w:ind w:left="341" w:hanging="161"/>
        <w:spacing w:after="0" w:line="234" w:lineRule="auto"/>
        <w:tabs>
          <w:tab w:leader="none" w:pos="341" w:val="left"/>
        </w:tabs>
        <w:numPr>
          <w:ilvl w:val="1"/>
          <w:numId w:val="103"/>
        </w:numPr>
        <w:rPr>
          <w:rFonts w:ascii="Arial" w:cs="Arial" w:eastAsia="Arial" w:hAnsi="Arial"/>
          <w:sz w:val="18"/>
          <w:szCs w:val="18"/>
          <w:color w:val="4C4C4C"/>
        </w:rPr>
      </w:pPr>
      <w:r>
        <w:rPr>
          <w:rFonts w:ascii="Arial" w:cs="Arial" w:eastAsia="Arial" w:hAnsi="Arial"/>
          <w:sz w:val="18"/>
          <w:szCs w:val="18"/>
          <w:color w:val="4C4C4C"/>
        </w:rPr>
        <w:t>Other positions of increasing responsibility at Deutsche Bank or its subsidiaries</w:t>
      </w:r>
    </w:p>
    <w:p>
      <w:pPr>
        <w:ind w:left="161" w:hanging="161"/>
        <w:spacing w:after="0" w:line="234" w:lineRule="auto"/>
        <w:tabs>
          <w:tab w:leader="none" w:pos="161" w:val="left"/>
        </w:tabs>
        <w:numPr>
          <w:ilvl w:val="0"/>
          <w:numId w:val="103"/>
        </w:numPr>
        <w:rPr>
          <w:rFonts w:ascii="Arial" w:cs="Arial" w:eastAsia="Arial" w:hAnsi="Arial"/>
          <w:sz w:val="18"/>
          <w:szCs w:val="18"/>
          <w:color w:val="4C4C4C"/>
        </w:rPr>
      </w:pPr>
      <w:r>
        <w:rPr>
          <w:rFonts w:ascii="Arial" w:cs="Arial" w:eastAsia="Arial" w:hAnsi="Arial"/>
          <w:sz w:val="18"/>
          <w:szCs w:val="18"/>
          <w:color w:val="4C4C4C"/>
        </w:rPr>
        <w:t>Merrill Lynch &amp; Co., Inc., a global investment bank and financial services firm (1992 –2009)</w:t>
      </w:r>
    </w:p>
    <w:p>
      <w:pPr>
        <w:ind w:left="341" w:hanging="161"/>
        <w:spacing w:after="0"/>
        <w:tabs>
          <w:tab w:leader="none" w:pos="341" w:val="left"/>
        </w:tabs>
        <w:numPr>
          <w:ilvl w:val="1"/>
          <w:numId w:val="103"/>
        </w:numPr>
        <w:rPr>
          <w:rFonts w:ascii="Arial" w:cs="Arial" w:eastAsia="Arial" w:hAnsi="Arial"/>
          <w:sz w:val="18"/>
          <w:szCs w:val="18"/>
          <w:color w:val="4C4C4C"/>
        </w:rPr>
      </w:pPr>
      <w:r>
        <w:rPr>
          <w:rFonts w:ascii="Arial" w:cs="Arial" w:eastAsia="Arial" w:hAnsi="Arial"/>
          <w:sz w:val="18"/>
          <w:szCs w:val="18"/>
          <w:color w:val="4C4C4C"/>
        </w:rPr>
        <w:t>Positions of increasing responsibility in investment banking with a focus on financial institutions</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Past Public Company Directorships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4C4C4C"/>
        </w:rPr>
        <w:t>None</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Other Experience and Service</w:t>
      </w:r>
    </w:p>
    <w:p>
      <w:pPr>
        <w:spacing w:after="0" w:line="18" w:lineRule="exact"/>
        <w:rPr>
          <w:sz w:val="20"/>
          <w:szCs w:val="20"/>
          <w:color w:val="auto"/>
        </w:rPr>
      </w:pPr>
    </w:p>
    <w:p>
      <w:pPr>
        <w:ind w:left="181" w:right="180" w:hanging="181"/>
        <w:spacing w:after="0" w:line="234" w:lineRule="auto"/>
        <w:tabs>
          <w:tab w:leader="none" w:pos="165" w:val="left"/>
        </w:tabs>
        <w:numPr>
          <w:ilvl w:val="0"/>
          <w:numId w:val="104"/>
        </w:numPr>
        <w:rPr>
          <w:rFonts w:ascii="Arial" w:cs="Arial" w:eastAsia="Arial" w:hAnsi="Arial"/>
          <w:sz w:val="18"/>
          <w:szCs w:val="18"/>
          <w:color w:val="4C4C4C"/>
        </w:rPr>
      </w:pPr>
      <w:r>
        <w:rPr>
          <w:rFonts w:ascii="Arial" w:cs="Arial" w:eastAsia="Arial" w:hAnsi="Arial"/>
          <w:sz w:val="18"/>
          <w:szCs w:val="18"/>
          <w:color w:val="4C4C4C"/>
        </w:rPr>
        <w:t>Consultant, Eleven Canterbury, an agency representing former executives for consulting and placement opportunities (2021 – present)</w:t>
      </w:r>
    </w:p>
    <w:p>
      <w:pPr>
        <w:spacing w:after="0" w:line="1" w:lineRule="exact"/>
        <w:rPr>
          <w:rFonts w:ascii="Arial" w:cs="Arial" w:eastAsia="Arial" w:hAnsi="Arial"/>
          <w:sz w:val="18"/>
          <w:szCs w:val="18"/>
          <w:color w:val="4C4C4C"/>
        </w:rPr>
      </w:pPr>
    </w:p>
    <w:p>
      <w:pPr>
        <w:ind w:left="161" w:hanging="161"/>
        <w:spacing w:after="0" w:line="234" w:lineRule="auto"/>
        <w:tabs>
          <w:tab w:leader="none" w:pos="161" w:val="left"/>
        </w:tabs>
        <w:numPr>
          <w:ilvl w:val="0"/>
          <w:numId w:val="104"/>
        </w:numPr>
        <w:rPr>
          <w:rFonts w:ascii="Arial" w:cs="Arial" w:eastAsia="Arial" w:hAnsi="Arial"/>
          <w:sz w:val="18"/>
          <w:szCs w:val="18"/>
          <w:color w:val="4C4C4C"/>
        </w:rPr>
      </w:pPr>
      <w:r>
        <w:rPr>
          <w:rFonts w:ascii="Arial" w:cs="Arial" w:eastAsia="Arial" w:hAnsi="Arial"/>
          <w:sz w:val="18"/>
          <w:szCs w:val="18"/>
          <w:color w:val="4C4C4C"/>
        </w:rPr>
        <w:t>Consultant, Rockefeller Capital Management, a financial services firm (2018 – present)</w:t>
      </w:r>
    </w:p>
    <w:p>
      <w:pPr>
        <w:ind w:left="161" w:hanging="161"/>
        <w:spacing w:after="0"/>
        <w:tabs>
          <w:tab w:leader="none" w:pos="161" w:val="left"/>
        </w:tabs>
        <w:numPr>
          <w:ilvl w:val="0"/>
          <w:numId w:val="104"/>
        </w:numPr>
        <w:rPr>
          <w:rFonts w:ascii="Arial" w:cs="Arial" w:eastAsia="Arial" w:hAnsi="Arial"/>
          <w:sz w:val="18"/>
          <w:szCs w:val="18"/>
          <w:color w:val="4C4C4C"/>
        </w:rPr>
      </w:pPr>
      <w:r>
        <w:rPr>
          <w:rFonts w:ascii="Arial" w:cs="Arial" w:eastAsia="Arial" w:hAnsi="Arial"/>
          <w:sz w:val="18"/>
          <w:szCs w:val="18"/>
          <w:color w:val="4C4C4C"/>
        </w:rPr>
        <w:t>National Association of Corporate Directors (“NACD”) Board Leadership Fellow</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C4C4C"/>
        </w:rPr>
        <w:t>Education</w:t>
      </w:r>
    </w:p>
    <w:p>
      <w:pPr>
        <w:spacing w:after="0" w:line="13" w:lineRule="exact"/>
        <w:rPr>
          <w:sz w:val="20"/>
          <w:szCs w:val="20"/>
          <w:color w:val="auto"/>
        </w:rPr>
      </w:pPr>
    </w:p>
    <w:p>
      <w:pPr>
        <w:ind w:left="161" w:hanging="161"/>
        <w:spacing w:after="0"/>
        <w:tabs>
          <w:tab w:leader="none" w:pos="161" w:val="left"/>
        </w:tabs>
        <w:numPr>
          <w:ilvl w:val="0"/>
          <w:numId w:val="105"/>
        </w:numPr>
        <w:rPr>
          <w:rFonts w:ascii="Arial" w:cs="Arial" w:eastAsia="Arial" w:hAnsi="Arial"/>
          <w:sz w:val="18"/>
          <w:szCs w:val="18"/>
          <w:color w:val="4C4C4C"/>
        </w:rPr>
      </w:pPr>
      <w:r>
        <w:rPr>
          <w:rFonts w:ascii="Arial" w:cs="Arial" w:eastAsia="Arial" w:hAnsi="Arial"/>
          <w:sz w:val="18"/>
          <w:szCs w:val="18"/>
          <w:color w:val="4C4C4C"/>
        </w:rPr>
        <w:t>BS, Business Administration, State University of New York at Buffalo</w:t>
      </w:r>
    </w:p>
    <w:p>
      <w:pPr>
        <w:ind w:left="161" w:hanging="161"/>
        <w:spacing w:after="0"/>
        <w:tabs>
          <w:tab w:leader="none" w:pos="161" w:val="left"/>
        </w:tabs>
        <w:numPr>
          <w:ilvl w:val="0"/>
          <w:numId w:val="105"/>
        </w:numPr>
        <w:rPr>
          <w:rFonts w:ascii="Arial" w:cs="Arial" w:eastAsia="Arial" w:hAnsi="Arial"/>
          <w:sz w:val="18"/>
          <w:szCs w:val="18"/>
          <w:color w:val="4C4C4C"/>
        </w:rPr>
      </w:pPr>
      <w:r>
        <w:rPr>
          <w:rFonts w:ascii="Arial" w:cs="Arial" w:eastAsia="Arial" w:hAnsi="Arial"/>
          <w:sz w:val="18"/>
          <w:szCs w:val="18"/>
          <w:color w:val="4C4C4C"/>
        </w:rPr>
        <w:t>MBA, Finance and Accounting, University of Chicago Graduate School of Business</w:t>
      </w:r>
    </w:p>
    <w:p>
      <w:pPr>
        <w:sectPr>
          <w:pgSz w:w="11900" w:h="16838" w:orient="portrait"/>
          <w:cols w:equalWidth="0" w:num="2">
            <w:col w:w="2220" w:space="339"/>
            <w:col w:w="8581"/>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Board and Corporate Governance Practices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Investor Stewardship Group Principles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Board and Corporate Governance Practices</w:t>
      </w:r>
    </w:p>
    <w:p>
      <w:pPr>
        <w:spacing w:after="0" w:line="366" w:lineRule="exact"/>
        <w:rPr>
          <w:sz w:val="20"/>
          <w:szCs w:val="20"/>
          <w:color w:val="auto"/>
        </w:rPr>
      </w:pPr>
    </w:p>
    <w:p>
      <w:pPr>
        <w:ind w:left="120" w:right="240"/>
        <w:spacing w:after="0" w:line="277" w:lineRule="auto"/>
        <w:rPr>
          <w:sz w:val="20"/>
          <w:szCs w:val="20"/>
          <w:color w:val="auto"/>
        </w:rPr>
      </w:pPr>
      <w:r>
        <w:rPr>
          <w:rFonts w:ascii="Arial" w:cs="Arial" w:eastAsia="Arial" w:hAnsi="Arial"/>
          <w:sz w:val="25"/>
          <w:szCs w:val="25"/>
          <w:color w:val="00ADBB"/>
        </w:rPr>
        <w:t>We believe effective corporate governance policies and practices will help Brighthouse deliver sustainable, long-term value for our stockholders.</w:t>
      </w:r>
    </w:p>
    <w:p>
      <w:pPr>
        <w:spacing w:after="0" w:line="16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4C4C4C"/>
        </w:rPr>
        <w:t>These policies and practices are contained in our governance documents, including our Certificate of Incorporation, Amended and Restated Bylaws (the “</w:t>
      </w:r>
      <w:r>
        <w:rPr>
          <w:rFonts w:ascii="Arial" w:cs="Arial" w:eastAsia="Arial" w:hAnsi="Arial"/>
          <w:sz w:val="18"/>
          <w:szCs w:val="18"/>
          <w:b w:val="1"/>
          <w:bCs w:val="1"/>
          <w:color w:val="00ADBB"/>
        </w:rPr>
        <w:t>Bylaws</w:t>
      </w:r>
      <w:r>
        <w:rPr>
          <w:rFonts w:ascii="Arial" w:cs="Arial" w:eastAsia="Arial" w:hAnsi="Arial"/>
          <w:sz w:val="18"/>
          <w:szCs w:val="18"/>
          <w:color w:val="4C4C4C"/>
        </w:rPr>
        <w:t>”), Corporate Governance Principles, and Committee charters. This section describes the key features of our Board practices and corporate governance program. The Board believes a balanced governance profile will help the Company deliver long-term value for our stockholders. The Board continually assesses our governance profile to ensure it remains appropriate as we continue to evolve over time.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Investor Stewardship Group Principles</w:t>
      </w:r>
    </w:p>
    <w:p>
      <w:pPr>
        <w:spacing w:after="0" w:line="10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4C4C4C"/>
        </w:rPr>
        <w:t>Brighthouse’s practices align with the Investor Stewardship Group’s (“</w:t>
      </w:r>
      <w:r>
        <w:rPr>
          <w:rFonts w:ascii="Arial" w:cs="Arial" w:eastAsia="Arial" w:hAnsi="Arial"/>
          <w:sz w:val="18"/>
          <w:szCs w:val="18"/>
          <w:b w:val="1"/>
          <w:bCs w:val="1"/>
          <w:color w:val="00ADBB"/>
        </w:rPr>
        <w:t>ISG</w:t>
      </w:r>
      <w:r>
        <w:rPr>
          <w:rFonts w:ascii="Arial" w:cs="Arial" w:eastAsia="Arial" w:hAnsi="Arial"/>
          <w:sz w:val="18"/>
          <w:szCs w:val="18"/>
          <w:color w:val="4C4C4C"/>
        </w:rPr>
        <w:t>”) corporate governance framework for U.S.-listed companies,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52070</wp:posOffset>
            </wp:positionV>
            <wp:extent cx="8890" cy="2311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231140"/>
                    </a:xfrm>
                    <a:prstGeom prst="rect">
                      <a:avLst/>
                    </a:prstGeom>
                    <a:noFill/>
                  </pic:spPr>
                </pic:pic>
              </a:graphicData>
            </a:graphic>
          </wp:anchor>
        </w:drawing>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2340" w:type="dxa"/>
            <w:vAlign w:val="bottom"/>
            <w:shd w:val="clear" w:color="auto" w:fill="00ADBB"/>
          </w:tcPr>
          <w:p>
            <w:pPr>
              <w:ind w:left="140"/>
              <w:spacing w:after="0"/>
              <w:rPr>
                <w:sz w:val="20"/>
                <w:szCs w:val="20"/>
                <w:color w:val="auto"/>
              </w:rPr>
            </w:pPr>
            <w:r>
              <w:rPr>
                <w:rFonts w:ascii="Arial" w:cs="Arial" w:eastAsia="Arial" w:hAnsi="Arial"/>
                <w:sz w:val="18"/>
                <w:szCs w:val="18"/>
                <w:b w:val="1"/>
                <w:bCs w:val="1"/>
                <w:color w:val="FFFFFF"/>
              </w:rPr>
              <w:t>ISG Principle</w:t>
            </w:r>
          </w:p>
        </w:tc>
        <w:tc>
          <w:tcPr>
            <w:tcW w:w="8680" w:type="dxa"/>
            <w:vAlign w:val="bottom"/>
            <w:gridSpan w:val="2"/>
            <w:shd w:val="clear" w:color="auto" w:fill="00ADBB"/>
          </w:tcPr>
          <w:p>
            <w:pPr>
              <w:ind w:left="120"/>
              <w:spacing w:after="0"/>
              <w:rPr>
                <w:sz w:val="20"/>
                <w:szCs w:val="20"/>
                <w:color w:val="auto"/>
              </w:rPr>
            </w:pPr>
            <w:r>
              <w:rPr>
                <w:rFonts w:ascii="Arial" w:cs="Arial" w:eastAsia="Arial" w:hAnsi="Arial"/>
                <w:sz w:val="18"/>
                <w:szCs w:val="18"/>
                <w:b w:val="1"/>
                <w:bCs w:val="1"/>
                <w:color w:val="FFFFFF"/>
              </w:rPr>
              <w:t>Brighthouse Practice</w:t>
            </w:r>
          </w:p>
        </w:tc>
      </w:tr>
      <w:tr>
        <w:trPr>
          <w:trHeight w:val="81"/>
        </w:trPr>
        <w:tc>
          <w:tcPr>
            <w:tcW w:w="2340" w:type="dxa"/>
            <w:vAlign w:val="bottom"/>
            <w:shd w:val="clear" w:color="auto" w:fill="00ADBB"/>
          </w:tcPr>
          <w:p>
            <w:pPr>
              <w:spacing w:after="0"/>
              <w:rPr>
                <w:sz w:val="7"/>
                <w:szCs w:val="7"/>
                <w:color w:val="auto"/>
              </w:rPr>
            </w:pPr>
          </w:p>
        </w:tc>
        <w:tc>
          <w:tcPr>
            <w:tcW w:w="240" w:type="dxa"/>
            <w:vAlign w:val="bottom"/>
            <w:shd w:val="clear" w:color="auto" w:fill="00ADBB"/>
          </w:tcPr>
          <w:p>
            <w:pPr>
              <w:spacing w:after="0"/>
              <w:rPr>
                <w:sz w:val="7"/>
                <w:szCs w:val="7"/>
                <w:color w:val="auto"/>
              </w:rPr>
            </w:pPr>
          </w:p>
        </w:tc>
        <w:tc>
          <w:tcPr>
            <w:tcW w:w="8440" w:type="dxa"/>
            <w:vAlign w:val="bottom"/>
            <w:shd w:val="clear" w:color="auto" w:fill="00ADBB"/>
          </w:tcPr>
          <w:p>
            <w:pPr>
              <w:spacing w:after="0"/>
              <w:rPr>
                <w:sz w:val="7"/>
                <w:szCs w:val="7"/>
                <w:color w:val="auto"/>
              </w:rPr>
            </w:pPr>
          </w:p>
        </w:tc>
      </w:tr>
      <w:tr>
        <w:trPr>
          <w:trHeight w:val="202"/>
        </w:trPr>
        <w:tc>
          <w:tcPr>
            <w:tcW w:w="2340" w:type="dxa"/>
            <w:vAlign w:val="bottom"/>
          </w:tcPr>
          <w:p>
            <w:pPr>
              <w:ind w:left="100"/>
              <w:spacing w:after="0" w:line="202" w:lineRule="exact"/>
              <w:rPr>
                <w:sz w:val="20"/>
                <w:szCs w:val="20"/>
                <w:color w:val="auto"/>
              </w:rPr>
            </w:pPr>
            <w:r>
              <w:rPr>
                <w:rFonts w:ascii="Arial" w:cs="Arial" w:eastAsia="Arial" w:hAnsi="Arial"/>
                <w:sz w:val="20"/>
                <w:szCs w:val="20"/>
                <w:b w:val="1"/>
                <w:bCs w:val="1"/>
                <w:color w:val="00ADBB"/>
              </w:rPr>
              <w:t>Principle 1:</w:t>
            </w: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4C4C4C"/>
              </w:rPr>
              <w:t>•</w:t>
            </w:r>
          </w:p>
        </w:tc>
        <w:tc>
          <w:tcPr>
            <w:tcW w:w="8440" w:type="dxa"/>
            <w:vAlign w:val="bottom"/>
          </w:tcPr>
          <w:p>
            <w:pPr>
              <w:ind w:left="40"/>
              <w:spacing w:after="0" w:line="201" w:lineRule="exact"/>
              <w:rPr>
                <w:sz w:val="20"/>
                <w:szCs w:val="20"/>
                <w:color w:val="auto"/>
              </w:rPr>
            </w:pPr>
            <w:r>
              <w:rPr>
                <w:rFonts w:ascii="Arial" w:cs="Arial" w:eastAsia="Arial" w:hAnsi="Arial"/>
                <w:sz w:val="18"/>
                <w:szCs w:val="18"/>
                <w:color w:val="4C4C4C"/>
              </w:rPr>
              <w:t>All Directors are elected annually for one-year terms.</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Boards are accountable to</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Our majority voting policy for Director elections requires Director nominees who do not receive a majority</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shareholders</w:t>
            </w:r>
          </w:p>
        </w:tc>
        <w:tc>
          <w:tcPr>
            <w:tcW w:w="240" w:type="dxa"/>
            <w:vAlign w:val="bottom"/>
          </w:tcPr>
          <w:p>
            <w:pPr>
              <w:spacing w:after="0"/>
              <w:rPr>
                <w:sz w:val="17"/>
                <w:szCs w:val="17"/>
                <w:color w:val="auto"/>
              </w:rPr>
            </w:pP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of the votes cast to tender their resignation.</w:t>
            </w:r>
          </w:p>
        </w:tc>
      </w:tr>
      <w:tr>
        <w:trPr>
          <w:trHeight w:val="203"/>
        </w:trPr>
        <w:tc>
          <w:tcPr>
            <w:tcW w:w="234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440" w:type="dxa"/>
            <w:vAlign w:val="bottom"/>
          </w:tcPr>
          <w:p>
            <w:pPr>
              <w:ind w:left="40"/>
              <w:spacing w:after="0" w:line="202" w:lineRule="exact"/>
              <w:rPr>
                <w:sz w:val="20"/>
                <w:szCs w:val="20"/>
                <w:color w:val="auto"/>
              </w:rPr>
            </w:pPr>
            <w:r>
              <w:rPr>
                <w:rFonts w:ascii="Arial" w:cs="Arial" w:eastAsia="Arial" w:hAnsi="Arial"/>
                <w:sz w:val="18"/>
                <w:szCs w:val="18"/>
                <w:color w:val="4C4C4C"/>
              </w:rPr>
              <w:t>The Company has not adopted a shareholder rights plan (“poison pill”).</w:t>
            </w:r>
          </w:p>
        </w:tc>
      </w:tr>
      <w:tr>
        <w:trPr>
          <w:trHeight w:val="203"/>
        </w:trPr>
        <w:tc>
          <w:tcPr>
            <w:tcW w:w="234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Chairman’s letter to stockholders provides our stockholders with insight into Board strategy and oversight</w:t>
            </w:r>
          </w:p>
        </w:tc>
      </w:tr>
      <w:tr>
        <w:trPr>
          <w:trHeight w:val="217"/>
        </w:trPr>
        <w:tc>
          <w:tcPr>
            <w:tcW w:w="2340" w:type="dxa"/>
            <w:vAlign w:val="bottom"/>
            <w:tcBorders>
              <w:bottom w:val="single" w:sz="8" w:color="4C4C4C"/>
            </w:tcBorders>
          </w:tcPr>
          <w:p>
            <w:pPr>
              <w:spacing w:after="0"/>
              <w:rPr>
                <w:sz w:val="18"/>
                <w:szCs w:val="18"/>
                <w:color w:val="auto"/>
              </w:rPr>
            </w:pPr>
          </w:p>
        </w:tc>
        <w:tc>
          <w:tcPr>
            <w:tcW w:w="240" w:type="dxa"/>
            <w:vAlign w:val="bottom"/>
            <w:tcBorders>
              <w:bottom w:val="single" w:sz="8" w:color="4C4C4C"/>
            </w:tcBorders>
          </w:tcPr>
          <w:p>
            <w:pPr>
              <w:spacing w:after="0"/>
              <w:rPr>
                <w:sz w:val="18"/>
                <w:szCs w:val="18"/>
                <w:color w:val="auto"/>
              </w:rPr>
            </w:pPr>
          </w:p>
        </w:tc>
        <w:tc>
          <w:tcPr>
            <w:tcW w:w="844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objectives.</w:t>
            </w:r>
          </w:p>
        </w:tc>
      </w:tr>
      <w:tr>
        <w:trPr>
          <w:trHeight w:val="209"/>
        </w:trPr>
        <w:tc>
          <w:tcPr>
            <w:tcW w:w="2340" w:type="dxa"/>
            <w:vAlign w:val="bottom"/>
          </w:tcPr>
          <w:p>
            <w:pPr>
              <w:ind w:left="100"/>
              <w:spacing w:after="0" w:line="208" w:lineRule="exact"/>
              <w:rPr>
                <w:sz w:val="20"/>
                <w:szCs w:val="20"/>
                <w:color w:val="auto"/>
              </w:rPr>
            </w:pPr>
            <w:r>
              <w:rPr>
                <w:rFonts w:ascii="Arial" w:cs="Arial" w:eastAsia="Arial" w:hAnsi="Arial"/>
                <w:sz w:val="20"/>
                <w:szCs w:val="20"/>
                <w:b w:val="1"/>
                <w:bCs w:val="1"/>
                <w:color w:val="00ADBB"/>
              </w:rPr>
              <w:t>Principle 2:</w:t>
            </w:r>
          </w:p>
        </w:tc>
        <w:tc>
          <w:tcPr>
            <w:tcW w:w="240" w:type="dxa"/>
            <w:vAlign w:val="bottom"/>
          </w:tcPr>
          <w:p>
            <w:pPr>
              <w:ind w:left="120"/>
              <w:spacing w:after="0"/>
              <w:rPr>
                <w:sz w:val="20"/>
                <w:szCs w:val="20"/>
                <w:color w:val="auto"/>
              </w:rPr>
            </w:pPr>
            <w:r>
              <w:rPr>
                <w:rFonts w:ascii="Arial" w:cs="Arial" w:eastAsia="Arial" w:hAnsi="Arial"/>
                <w:sz w:val="18"/>
                <w:szCs w:val="18"/>
                <w:color w:val="4C4C4C"/>
              </w:rPr>
              <w:t>•</w:t>
            </w:r>
          </w:p>
        </w:tc>
        <w:tc>
          <w:tcPr>
            <w:tcW w:w="8440" w:type="dxa"/>
            <w:vAlign w:val="bottom"/>
          </w:tcPr>
          <w:p>
            <w:pPr>
              <w:ind w:left="60"/>
              <w:spacing w:after="0"/>
              <w:rPr>
                <w:sz w:val="20"/>
                <w:szCs w:val="20"/>
                <w:color w:val="auto"/>
              </w:rPr>
            </w:pPr>
            <w:r>
              <w:rPr>
                <w:rFonts w:ascii="Arial" w:cs="Arial" w:eastAsia="Arial" w:hAnsi="Arial"/>
                <w:sz w:val="18"/>
                <w:szCs w:val="18"/>
                <w:color w:val="4C4C4C"/>
              </w:rPr>
              <w:t>We have one class of common stock, and all stockholders have one vote per Share.</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Shareholders should be</w:t>
            </w:r>
          </w:p>
        </w:tc>
        <w:tc>
          <w:tcPr>
            <w:tcW w:w="24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entitled to voting rights in</w:t>
            </w:r>
          </w:p>
        </w:tc>
        <w:tc>
          <w:tcPr>
            <w:tcW w:w="24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w w:val="99"/>
              </w:rPr>
              <w:t>proportion to their economic</w:t>
            </w:r>
          </w:p>
        </w:tc>
        <w:tc>
          <w:tcPr>
            <w:tcW w:w="240" w:type="dxa"/>
            <w:vAlign w:val="bottom"/>
          </w:tcPr>
          <w:p>
            <w:pPr>
              <w:spacing w:after="0"/>
              <w:rPr>
                <w:sz w:val="17"/>
                <w:szCs w:val="17"/>
                <w:color w:val="auto"/>
              </w:rPr>
            </w:pPr>
          </w:p>
        </w:tc>
        <w:tc>
          <w:tcPr>
            <w:tcW w:w="8440" w:type="dxa"/>
            <w:vAlign w:val="bottom"/>
          </w:tcPr>
          <w:p>
            <w:pPr>
              <w:spacing w:after="0"/>
              <w:rPr>
                <w:sz w:val="17"/>
                <w:szCs w:val="17"/>
                <w:color w:val="auto"/>
              </w:rPr>
            </w:pPr>
          </w:p>
        </w:tc>
      </w:tr>
      <w:tr>
        <w:trPr>
          <w:trHeight w:val="217"/>
        </w:trPr>
        <w:tc>
          <w:tcPr>
            <w:tcW w:w="234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interest</w:t>
            </w:r>
          </w:p>
        </w:tc>
        <w:tc>
          <w:tcPr>
            <w:tcW w:w="240" w:type="dxa"/>
            <w:vAlign w:val="bottom"/>
            <w:tcBorders>
              <w:bottom w:val="single" w:sz="8" w:color="4C4C4C"/>
            </w:tcBorders>
          </w:tcPr>
          <w:p>
            <w:pPr>
              <w:spacing w:after="0"/>
              <w:rPr>
                <w:sz w:val="18"/>
                <w:szCs w:val="18"/>
                <w:color w:val="auto"/>
              </w:rPr>
            </w:pPr>
          </w:p>
        </w:tc>
        <w:tc>
          <w:tcPr>
            <w:tcW w:w="8440" w:type="dxa"/>
            <w:vAlign w:val="bottom"/>
            <w:tcBorders>
              <w:bottom w:val="single" w:sz="8" w:color="4C4C4C"/>
            </w:tcBorders>
          </w:tcPr>
          <w:p>
            <w:pPr>
              <w:spacing w:after="0"/>
              <w:rPr>
                <w:sz w:val="18"/>
                <w:szCs w:val="18"/>
                <w:color w:val="auto"/>
              </w:rPr>
            </w:pPr>
          </w:p>
        </w:tc>
      </w:tr>
      <w:tr>
        <w:trPr>
          <w:trHeight w:val="195"/>
        </w:trPr>
        <w:tc>
          <w:tcPr>
            <w:tcW w:w="2340" w:type="dxa"/>
            <w:vAlign w:val="bottom"/>
          </w:tcPr>
          <w:p>
            <w:pPr>
              <w:ind w:left="100"/>
              <w:spacing w:after="0" w:line="195" w:lineRule="exact"/>
              <w:rPr>
                <w:sz w:val="20"/>
                <w:szCs w:val="20"/>
                <w:color w:val="auto"/>
              </w:rPr>
            </w:pPr>
            <w:r>
              <w:rPr>
                <w:rFonts w:ascii="Arial" w:cs="Arial" w:eastAsia="Arial" w:hAnsi="Arial"/>
                <w:sz w:val="20"/>
                <w:szCs w:val="20"/>
                <w:b w:val="1"/>
                <w:bCs w:val="1"/>
                <w:color w:val="00ADBB"/>
              </w:rPr>
              <w:t>Principle 3:</w:t>
            </w:r>
          </w:p>
        </w:tc>
        <w:tc>
          <w:tcPr>
            <w:tcW w:w="240" w:type="dxa"/>
            <w:vAlign w:val="bottom"/>
          </w:tcPr>
          <w:p>
            <w:pPr>
              <w:ind w:left="120"/>
              <w:spacing w:after="0" w:line="195" w:lineRule="exact"/>
              <w:rPr>
                <w:sz w:val="20"/>
                <w:szCs w:val="20"/>
                <w:color w:val="auto"/>
              </w:rPr>
            </w:pPr>
            <w:r>
              <w:rPr>
                <w:rFonts w:ascii="Arial" w:cs="Arial" w:eastAsia="Arial" w:hAnsi="Arial"/>
                <w:sz w:val="18"/>
                <w:szCs w:val="18"/>
                <w:color w:val="4C4C4C"/>
              </w:rPr>
              <w:t>•</w:t>
            </w:r>
          </w:p>
        </w:tc>
        <w:tc>
          <w:tcPr>
            <w:tcW w:w="8440" w:type="dxa"/>
            <w:vAlign w:val="bottom"/>
          </w:tcPr>
          <w:p>
            <w:pPr>
              <w:ind w:left="60"/>
              <w:spacing w:after="0" w:line="195" w:lineRule="exact"/>
              <w:rPr>
                <w:sz w:val="20"/>
                <w:szCs w:val="20"/>
                <w:color w:val="auto"/>
              </w:rPr>
            </w:pPr>
            <w:r>
              <w:rPr>
                <w:rFonts w:ascii="Arial" w:cs="Arial" w:eastAsia="Arial" w:hAnsi="Arial"/>
                <w:sz w:val="18"/>
                <w:szCs w:val="18"/>
                <w:color w:val="4C4C4C"/>
              </w:rPr>
              <w:t>Management and the Chairman invited stockholders owning approximately 60% of our Shares (at that</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Boards should be</w:t>
            </w:r>
          </w:p>
        </w:tc>
        <w:tc>
          <w:tcPr>
            <w:tcW w:w="240" w:type="dxa"/>
            <w:vAlign w:val="bottom"/>
          </w:tcPr>
          <w:p>
            <w:pPr>
              <w:spacing w:after="0"/>
              <w:rPr>
                <w:sz w:val="17"/>
                <w:szCs w:val="17"/>
                <w:color w:val="auto"/>
              </w:rPr>
            </w:pP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time) to engage with us, meeting with stockholders representing 28% of our Shares (at that time) (see</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responsive to shareholders</w:t>
            </w:r>
          </w:p>
        </w:tc>
        <w:tc>
          <w:tcPr>
            <w:tcW w:w="240" w:type="dxa"/>
            <w:vAlign w:val="bottom"/>
          </w:tcPr>
          <w:p>
            <w:pPr>
              <w:spacing w:after="0"/>
              <w:rPr>
                <w:sz w:val="17"/>
                <w:szCs w:val="17"/>
                <w:color w:val="auto"/>
              </w:rPr>
            </w:pP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w:t>
            </w:r>
            <w:r>
              <w:rPr>
                <w:rFonts w:ascii="Arial" w:cs="Arial" w:eastAsia="Arial" w:hAnsi="Arial"/>
                <w:sz w:val="18"/>
                <w:szCs w:val="18"/>
                <w:color w:val="00ADBB"/>
              </w:rPr>
              <w:t>Stockholder Engagement</w:t>
            </w:r>
            <w:r>
              <w:rPr>
                <w:rFonts w:ascii="Arial" w:cs="Arial" w:eastAsia="Arial" w:hAnsi="Arial"/>
                <w:sz w:val="18"/>
                <w:szCs w:val="18"/>
                <w:color w:val="4C4C4C"/>
              </w:rPr>
              <w:t>”).</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and be proactive in order to</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Engagement topics included Brighthouse’s strategy, our sustainability program, human capital</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understand their</w:t>
            </w:r>
          </w:p>
        </w:tc>
        <w:tc>
          <w:tcPr>
            <w:tcW w:w="240" w:type="dxa"/>
            <w:vAlign w:val="bottom"/>
          </w:tcPr>
          <w:p>
            <w:pPr>
              <w:spacing w:after="0"/>
              <w:rPr>
                <w:sz w:val="17"/>
                <w:szCs w:val="17"/>
                <w:color w:val="auto"/>
              </w:rPr>
            </w:pP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management, our response to the COVID-19 pandemic, Board composition, governance practices, and</w:t>
            </w:r>
          </w:p>
        </w:tc>
      </w:tr>
      <w:tr>
        <w:trPr>
          <w:trHeight w:val="203"/>
        </w:trPr>
        <w:tc>
          <w:tcPr>
            <w:tcW w:w="2340" w:type="dxa"/>
            <w:vAlign w:val="bottom"/>
          </w:tcPr>
          <w:p>
            <w:pPr>
              <w:ind w:left="100"/>
              <w:spacing w:after="0" w:line="202" w:lineRule="exact"/>
              <w:rPr>
                <w:sz w:val="20"/>
                <w:szCs w:val="20"/>
                <w:color w:val="auto"/>
              </w:rPr>
            </w:pPr>
            <w:r>
              <w:rPr>
                <w:rFonts w:ascii="Arial" w:cs="Arial" w:eastAsia="Arial" w:hAnsi="Arial"/>
                <w:sz w:val="18"/>
                <w:szCs w:val="18"/>
                <w:color w:val="4C4C4C"/>
              </w:rPr>
              <w:t>perspectives</w:t>
            </w:r>
          </w:p>
        </w:tc>
        <w:tc>
          <w:tcPr>
            <w:tcW w:w="240" w:type="dxa"/>
            <w:vAlign w:val="bottom"/>
          </w:tcPr>
          <w:p>
            <w:pPr>
              <w:spacing w:after="0"/>
              <w:rPr>
                <w:sz w:val="17"/>
                <w:szCs w:val="17"/>
                <w:color w:val="auto"/>
              </w:rPr>
            </w:pPr>
          </w:p>
        </w:tc>
        <w:tc>
          <w:tcPr>
            <w:tcW w:w="8440" w:type="dxa"/>
            <w:vAlign w:val="bottom"/>
          </w:tcPr>
          <w:p>
            <w:pPr>
              <w:ind w:left="60"/>
              <w:spacing w:after="0" w:line="202" w:lineRule="exact"/>
              <w:rPr>
                <w:sz w:val="20"/>
                <w:szCs w:val="20"/>
                <w:color w:val="auto"/>
              </w:rPr>
            </w:pPr>
            <w:r>
              <w:rPr>
                <w:rFonts w:ascii="Arial" w:cs="Arial" w:eastAsia="Arial" w:hAnsi="Arial"/>
                <w:sz w:val="18"/>
                <w:szCs w:val="18"/>
                <w:color w:val="4C4C4C"/>
              </w:rPr>
              <w:t>executive compensation program.</w:t>
            </w:r>
          </w:p>
        </w:tc>
      </w:tr>
      <w:tr>
        <w:trPr>
          <w:trHeight w:val="203"/>
        </w:trPr>
        <w:tc>
          <w:tcPr>
            <w:tcW w:w="234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440" w:type="dxa"/>
            <w:vAlign w:val="bottom"/>
          </w:tcPr>
          <w:p>
            <w:pPr>
              <w:ind w:left="40"/>
              <w:spacing w:after="0" w:line="202" w:lineRule="exact"/>
              <w:rPr>
                <w:sz w:val="20"/>
                <w:szCs w:val="20"/>
                <w:color w:val="auto"/>
              </w:rPr>
            </w:pPr>
            <w:r>
              <w:rPr>
                <w:rFonts w:ascii="Arial" w:cs="Arial" w:eastAsia="Arial" w:hAnsi="Arial"/>
                <w:sz w:val="18"/>
                <w:szCs w:val="18"/>
                <w:color w:val="4C4C4C"/>
              </w:rPr>
              <w:t>The Board considers stockholder feedback as part of its annual review of our governance and executive</w:t>
            </w:r>
          </w:p>
        </w:tc>
      </w:tr>
      <w:tr>
        <w:trPr>
          <w:trHeight w:val="217"/>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4C4C4C"/>
              </w:rPr>
              <w:t>compensation policies and practices.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220"/>
        <w:spacing w:after="0" w:line="238" w:lineRule="auto"/>
        <w:rPr>
          <w:sz w:val="20"/>
          <w:szCs w:val="20"/>
          <w:color w:val="auto"/>
        </w:rPr>
      </w:pPr>
      <w:r>
        <w:rPr>
          <w:rFonts w:ascii="Arial" w:cs="Arial" w:eastAsia="Arial" w:hAnsi="Arial"/>
          <w:sz w:val="20"/>
          <w:szCs w:val="20"/>
          <w:b w:val="1"/>
          <w:bCs w:val="1"/>
          <w:color w:val="00ADBB"/>
        </w:rPr>
        <w:t>Principle 4:</w:t>
      </w:r>
    </w:p>
    <w:p>
      <w:pPr>
        <w:spacing w:after="0" w:line="1"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color w:val="4C4C4C"/>
        </w:rPr>
        <w:t>Boards should have a strong, independent leadership structure</w:t>
      </w:r>
    </w:p>
    <w:p>
      <w:pPr>
        <w:spacing w:after="0" w:line="20" w:lineRule="exact"/>
        <w:rPr>
          <w:sz w:val="20"/>
          <w:szCs w:val="20"/>
          <w:color w:val="auto"/>
        </w:rPr>
      </w:pPr>
      <w:r>
        <w:rPr>
          <w:sz w:val="20"/>
          <w:szCs w:val="20"/>
          <w:color w:val="auto"/>
        </w:rPr>
        <w:br w:type="column"/>
      </w:r>
    </w:p>
    <w:p>
      <w:pPr>
        <w:ind w:left="174" w:right="80" w:hanging="174"/>
        <w:spacing w:after="0" w:line="234" w:lineRule="auto"/>
        <w:tabs>
          <w:tab w:leader="none" w:pos="158" w:val="left"/>
        </w:tabs>
        <w:numPr>
          <w:ilvl w:val="0"/>
          <w:numId w:val="106"/>
        </w:numPr>
        <w:rPr>
          <w:rFonts w:ascii="Arial" w:cs="Arial" w:eastAsia="Arial" w:hAnsi="Arial"/>
          <w:sz w:val="18"/>
          <w:szCs w:val="18"/>
          <w:color w:val="4C4C4C"/>
        </w:rPr>
      </w:pPr>
      <w:r>
        <w:rPr>
          <w:rFonts w:ascii="Arial" w:cs="Arial" w:eastAsia="Arial" w:hAnsi="Arial"/>
          <w:sz w:val="18"/>
          <w:szCs w:val="18"/>
          <w:color w:val="4C4C4C"/>
        </w:rPr>
        <w:t>Our Board is led by an independent Chairman, with robust and clearly defined duties and responsibilities (see “</w:t>
      </w:r>
      <w:r>
        <w:rPr>
          <w:rFonts w:ascii="Arial" w:cs="Arial" w:eastAsia="Arial" w:hAnsi="Arial"/>
          <w:sz w:val="18"/>
          <w:szCs w:val="18"/>
          <w:color w:val="00ADBB"/>
        </w:rPr>
        <w:t>Board Leadership Structure</w:t>
      </w:r>
      <w:r>
        <w:rPr>
          <w:rFonts w:ascii="Arial" w:cs="Arial" w:eastAsia="Arial" w:hAnsi="Arial"/>
          <w:sz w:val="18"/>
          <w:szCs w:val="18"/>
          <w:color w:val="4C4C4C"/>
        </w:rPr>
        <w:t>”).</w:t>
      </w:r>
    </w:p>
    <w:p>
      <w:pPr>
        <w:spacing w:after="0" w:line="1" w:lineRule="exact"/>
        <w:rPr>
          <w:rFonts w:ascii="Arial" w:cs="Arial" w:eastAsia="Arial" w:hAnsi="Arial"/>
          <w:sz w:val="18"/>
          <w:szCs w:val="18"/>
          <w:color w:val="4C4C4C"/>
        </w:rPr>
      </w:pPr>
    </w:p>
    <w:p>
      <w:pPr>
        <w:ind w:left="154" w:hanging="154"/>
        <w:spacing w:after="0" w:line="234" w:lineRule="auto"/>
        <w:tabs>
          <w:tab w:leader="none" w:pos="154" w:val="left"/>
        </w:tabs>
        <w:numPr>
          <w:ilvl w:val="0"/>
          <w:numId w:val="106"/>
        </w:numPr>
        <w:rPr>
          <w:rFonts w:ascii="Arial" w:cs="Arial" w:eastAsia="Arial" w:hAnsi="Arial"/>
          <w:sz w:val="18"/>
          <w:szCs w:val="18"/>
          <w:color w:val="4C4C4C"/>
        </w:rPr>
      </w:pPr>
      <w:r>
        <w:rPr>
          <w:rFonts w:ascii="Arial" w:cs="Arial" w:eastAsia="Arial" w:hAnsi="Arial"/>
          <w:sz w:val="18"/>
          <w:szCs w:val="18"/>
          <w:color w:val="4C4C4C"/>
        </w:rPr>
        <w:t>All Committees (other than the Executive Committee) are chaired by an Independent Director.</w:t>
      </w:r>
    </w:p>
    <w:p>
      <w:pPr>
        <w:ind w:left="174" w:right="620" w:hanging="174"/>
        <w:spacing w:after="0" w:line="243" w:lineRule="auto"/>
        <w:tabs>
          <w:tab w:leader="none" w:pos="155" w:val="left"/>
        </w:tabs>
        <w:numPr>
          <w:ilvl w:val="0"/>
          <w:numId w:val="106"/>
        </w:numPr>
        <w:rPr>
          <w:rFonts w:ascii="Arial" w:cs="Arial" w:eastAsia="Arial" w:hAnsi="Arial"/>
          <w:sz w:val="18"/>
          <w:szCs w:val="18"/>
          <w:color w:val="4C4C4C"/>
        </w:rPr>
      </w:pPr>
      <w:r>
        <w:rPr>
          <w:rFonts w:ascii="Arial" w:cs="Arial" w:eastAsia="Arial" w:hAnsi="Arial"/>
          <w:sz w:val="18"/>
          <w:szCs w:val="18"/>
          <w:color w:val="4C4C4C"/>
        </w:rPr>
        <w:t>The Board evaluates and considers the appropriateness of its leadership structure as Brighthouse evolves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60" w:space="626"/>
            <w:col w:w="8554"/>
          </w:cols>
          <w:pgMar w:left="320" w:top="459" w:right="439" w:bottom="1440" w:gutter="0" w:footer="0" w:header="0"/>
          <w:type w:val="continuous"/>
        </w:sectPr>
      </w:pPr>
    </w:p>
    <w:p>
      <w:pPr>
        <w:ind w:left="220"/>
        <w:spacing w:after="0" w:line="235" w:lineRule="auto"/>
        <w:tabs>
          <w:tab w:leader="none" w:pos="2560" w:val="left"/>
        </w:tabs>
        <w:rPr>
          <w:sz w:val="20"/>
          <w:szCs w:val="20"/>
          <w:color w:val="auto"/>
        </w:rPr>
      </w:pPr>
      <w:r>
        <w:rPr>
          <w:rFonts w:ascii="Arial" w:cs="Arial" w:eastAsia="Arial" w:hAnsi="Arial"/>
          <w:sz w:val="20"/>
          <w:szCs w:val="20"/>
          <w:b w:val="1"/>
          <w:bCs w:val="1"/>
          <w:color w:val="00ADBB"/>
        </w:rPr>
        <w:t>Principle 5:</w:t>
      </w:r>
      <w:r>
        <w:rPr>
          <w:sz w:val="20"/>
          <w:szCs w:val="20"/>
          <w:color w:val="auto"/>
        </w:rPr>
        <w:tab/>
      </w:r>
      <w:r>
        <w:rPr>
          <w:rFonts w:ascii="Arial" w:cs="Arial" w:eastAsia="Arial" w:hAnsi="Arial"/>
          <w:sz w:val="18"/>
          <w:szCs w:val="18"/>
          <w:color w:val="4C4C4C"/>
        </w:rPr>
        <w:t>• Directors possess a deep and diverse set of skills and experience relevant to oversight of our strategy.</w:t>
      </w:r>
    </w:p>
    <w:p>
      <w:pPr>
        <w:ind w:left="220"/>
        <w:spacing w:after="0"/>
        <w:tabs>
          <w:tab w:leader="none" w:pos="2560" w:val="left"/>
        </w:tabs>
        <w:rPr>
          <w:sz w:val="20"/>
          <w:szCs w:val="20"/>
          <w:color w:val="auto"/>
        </w:rPr>
      </w:pPr>
      <w:r>
        <w:rPr>
          <w:rFonts w:ascii="Arial" w:cs="Arial" w:eastAsia="Arial" w:hAnsi="Arial"/>
          <w:sz w:val="18"/>
          <w:szCs w:val="18"/>
          <w:color w:val="4C4C4C"/>
        </w:rPr>
        <w:t>Boards should adopt</w:t>
      </w:r>
      <w:r>
        <w:rPr>
          <w:sz w:val="20"/>
          <w:szCs w:val="20"/>
          <w:color w:val="auto"/>
        </w:rPr>
        <w:tab/>
      </w:r>
      <w:r>
        <w:rPr>
          <w:rFonts w:ascii="Arial" w:cs="Arial" w:eastAsia="Arial" w:hAnsi="Arial"/>
          <w:sz w:val="18"/>
          <w:szCs w:val="18"/>
          <w:color w:val="4C4C4C"/>
        </w:rPr>
        <w:t>• Eight of our nine currently serving Directors (all except our President and CEO) are independent.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4C4C4C"/>
        </w:rPr>
        <w:t>structures and practices</w:t>
      </w:r>
    </w:p>
    <w:p>
      <w:pPr>
        <w:ind w:left="220"/>
        <w:spacing w:after="0" w:line="234" w:lineRule="auto"/>
        <w:rPr>
          <w:sz w:val="20"/>
          <w:szCs w:val="20"/>
          <w:color w:val="auto"/>
        </w:rPr>
      </w:pPr>
      <w:r>
        <w:rPr>
          <w:rFonts w:ascii="Arial" w:cs="Arial" w:eastAsia="Arial" w:hAnsi="Arial"/>
          <w:sz w:val="18"/>
          <w:szCs w:val="18"/>
          <w:color w:val="4C4C4C"/>
        </w:rPr>
        <w:t>that enhance their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4C4C4C"/>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23</w:t>
      </w:r>
    </w:p>
    <w:p>
      <w:pPr>
        <w:sectPr>
          <w:pgSz w:w="11900" w:h="16838" w:orient="portrait"/>
          <w:cols w:equalWidth="0" w:num="1">
            <w:col w:w="1114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Board and Corporate Governance Practices</w:t>
      </w:r>
      <w:r>
        <w:rPr>
          <w:sz w:val="20"/>
          <w:szCs w:val="20"/>
          <w:color w:val="auto"/>
        </w:rPr>
        <w:tab/>
      </w:r>
      <w:r>
        <w:rPr>
          <w:rFonts w:ascii="Arial" w:cs="Arial" w:eastAsia="Arial" w:hAnsi="Arial"/>
          <w:sz w:val="12"/>
          <w:szCs w:val="12"/>
          <w:b w:val="1"/>
          <w:bCs w:val="1"/>
          <w:color w:val="00ADBB"/>
        </w:rPr>
        <w:t>Brighthouse Financial, Inc.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Building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208915</wp:posOffset>
            </wp:positionV>
            <wp:extent cx="8255" cy="2311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231140"/>
                    </a:xfrm>
                    <a:prstGeom prst="rect">
                      <a:avLst/>
                    </a:prstGeom>
                    <a:noFill/>
                  </pic:spPr>
                </pic:pic>
              </a:graphicData>
            </a:graphic>
          </wp:anchor>
        </w:drawing>
      </w:r>
    </w:p>
    <w:p>
      <w:pPr>
        <w:spacing w:after="0" w:line="309" w:lineRule="exact"/>
        <w:rPr>
          <w:sz w:val="20"/>
          <w:szCs w:val="20"/>
          <w:color w:val="auto"/>
        </w:rPr>
      </w:pPr>
    </w:p>
    <w:tbl>
      <w:tblPr>
        <w:tblLayout w:type="fixed"/>
        <w:tblInd w:w="280" w:type="dxa"/>
        <w:tblCellMar>
          <w:top w:w="0" w:type="dxa"/>
          <w:left w:w="0" w:type="dxa"/>
          <w:bottom w:w="0" w:type="dxa"/>
          <w:right w:w="0" w:type="dxa"/>
        </w:tblCellMar>
      </w:tblPr>
      <w:tr>
        <w:trPr>
          <w:trHeight w:val="283"/>
        </w:trPr>
        <w:tc>
          <w:tcPr>
            <w:tcW w:w="2280" w:type="dxa"/>
            <w:vAlign w:val="bottom"/>
            <w:shd w:val="clear" w:color="auto" w:fill="00ADBB"/>
          </w:tcPr>
          <w:p>
            <w:pPr>
              <w:ind w:left="160"/>
              <w:spacing w:after="0"/>
              <w:rPr>
                <w:sz w:val="20"/>
                <w:szCs w:val="20"/>
                <w:color w:val="auto"/>
              </w:rPr>
            </w:pPr>
            <w:r>
              <w:rPr>
                <w:rFonts w:ascii="Arial" w:cs="Arial" w:eastAsia="Arial" w:hAnsi="Arial"/>
                <w:sz w:val="18"/>
                <w:szCs w:val="18"/>
                <w:b w:val="1"/>
                <w:bCs w:val="1"/>
                <w:color w:val="FFFFFF"/>
              </w:rPr>
              <w:t>ISG Principle</w:t>
            </w:r>
          </w:p>
        </w:tc>
        <w:tc>
          <w:tcPr>
            <w:tcW w:w="8400" w:type="dxa"/>
            <w:vAlign w:val="bottom"/>
            <w:gridSpan w:val="2"/>
            <w:shd w:val="clear" w:color="auto" w:fill="00ADBB"/>
          </w:tcPr>
          <w:p>
            <w:pPr>
              <w:ind w:left="120"/>
              <w:spacing w:after="0"/>
              <w:rPr>
                <w:sz w:val="20"/>
                <w:szCs w:val="20"/>
                <w:color w:val="auto"/>
              </w:rPr>
            </w:pPr>
            <w:r>
              <w:rPr>
                <w:rFonts w:ascii="Arial" w:cs="Arial" w:eastAsia="Arial" w:hAnsi="Arial"/>
                <w:sz w:val="18"/>
                <w:szCs w:val="18"/>
                <w:b w:val="1"/>
                <w:bCs w:val="1"/>
                <w:color w:val="FFFFFF"/>
              </w:rPr>
              <w:t>Brighthouse Practice</w:t>
            </w:r>
          </w:p>
        </w:tc>
      </w:tr>
      <w:tr>
        <w:trPr>
          <w:trHeight w:val="81"/>
        </w:trPr>
        <w:tc>
          <w:tcPr>
            <w:tcW w:w="2280" w:type="dxa"/>
            <w:vAlign w:val="bottom"/>
            <w:shd w:val="clear" w:color="auto" w:fill="00ADBB"/>
          </w:tcPr>
          <w:p>
            <w:pPr>
              <w:spacing w:after="0"/>
              <w:rPr>
                <w:sz w:val="7"/>
                <w:szCs w:val="7"/>
                <w:color w:val="auto"/>
              </w:rPr>
            </w:pPr>
          </w:p>
        </w:tc>
        <w:tc>
          <w:tcPr>
            <w:tcW w:w="240" w:type="dxa"/>
            <w:vAlign w:val="bottom"/>
            <w:shd w:val="clear" w:color="auto" w:fill="00ADBB"/>
          </w:tcPr>
          <w:p>
            <w:pPr>
              <w:spacing w:after="0"/>
              <w:rPr>
                <w:sz w:val="7"/>
                <w:szCs w:val="7"/>
                <w:color w:val="auto"/>
              </w:rPr>
            </w:pPr>
          </w:p>
        </w:tc>
        <w:tc>
          <w:tcPr>
            <w:tcW w:w="8160" w:type="dxa"/>
            <w:vAlign w:val="bottom"/>
            <w:shd w:val="clear" w:color="auto" w:fill="00ADBB"/>
          </w:tcPr>
          <w:p>
            <w:pPr>
              <w:spacing w:after="0"/>
              <w:rPr>
                <w:sz w:val="7"/>
                <w:szCs w:val="7"/>
                <w:color w:val="auto"/>
              </w:rPr>
            </w:pPr>
          </w:p>
        </w:tc>
      </w:tr>
      <w:tr>
        <w:trPr>
          <w:trHeight w:val="202"/>
        </w:trPr>
        <w:tc>
          <w:tcPr>
            <w:tcW w:w="228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4C4C4C"/>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4C4C4C"/>
              </w:rPr>
              <w:t>Five of our eight currently serving Independent Directors are diverse, including four women and two</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Directors who are racially or ethnically diverse (one of whom is also a woman).</w:t>
            </w:r>
          </w:p>
        </w:tc>
      </w:tr>
      <w:tr>
        <w:trPr>
          <w:trHeight w:val="203"/>
        </w:trPr>
        <w:tc>
          <w:tcPr>
            <w:tcW w:w="22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160" w:type="dxa"/>
            <w:vAlign w:val="bottom"/>
          </w:tcPr>
          <w:p>
            <w:pPr>
              <w:ind w:left="40"/>
              <w:spacing w:after="0" w:line="202" w:lineRule="exact"/>
              <w:rPr>
                <w:sz w:val="20"/>
                <w:szCs w:val="20"/>
                <w:color w:val="auto"/>
              </w:rPr>
            </w:pPr>
            <w:r>
              <w:rPr>
                <w:rFonts w:ascii="Arial" w:cs="Arial" w:eastAsia="Arial" w:hAnsi="Arial"/>
                <w:sz w:val="18"/>
                <w:szCs w:val="18"/>
                <w:color w:val="4C4C4C"/>
              </w:rPr>
              <w:t>All Committees have written charters that set forth robust and clearly defined oversight</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responsibilities, and all (except for the Executive Committee) are composed solely of Independent</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Directors.</w:t>
            </w:r>
          </w:p>
        </w:tc>
      </w:tr>
      <w:tr>
        <w:trPr>
          <w:trHeight w:val="203"/>
        </w:trPr>
        <w:tc>
          <w:tcPr>
            <w:tcW w:w="22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Our Board overboarding policy helps ensure that all Directors are able to commit the time necessary</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to meet their duties and responsibilities (see “</w:t>
            </w:r>
            <w:r>
              <w:rPr>
                <w:rFonts w:ascii="Arial" w:cs="Arial" w:eastAsia="Arial" w:hAnsi="Arial"/>
                <w:sz w:val="18"/>
                <w:szCs w:val="18"/>
                <w:color w:val="00ADBB"/>
              </w:rPr>
              <w:t>– Building Our Board of Directors – Director Criteria and</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00ADBB"/>
              </w:rPr>
              <w:t>Nomination Process – Other Directorships</w:t>
            </w:r>
            <w:r>
              <w:rPr>
                <w:rFonts w:ascii="Arial" w:cs="Arial" w:eastAsia="Arial" w:hAnsi="Arial"/>
                <w:sz w:val="18"/>
                <w:szCs w:val="18"/>
                <w:color w:val="4C4C4C"/>
              </w:rPr>
              <w:t>”).</w:t>
            </w:r>
          </w:p>
        </w:tc>
      </w:tr>
      <w:tr>
        <w:trPr>
          <w:trHeight w:val="203"/>
        </w:trPr>
        <w:tc>
          <w:tcPr>
            <w:tcW w:w="22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Proactive assessment of Director skills, mandatory retirement policy, and a commitment to Director</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refreshment to ensure the Board meets the Company’s evolving oversight needs.</w:t>
            </w:r>
          </w:p>
        </w:tc>
      </w:tr>
      <w:tr>
        <w:trPr>
          <w:trHeight w:val="203"/>
        </w:trPr>
        <w:tc>
          <w:tcPr>
            <w:tcW w:w="22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160" w:type="dxa"/>
            <w:vAlign w:val="bottom"/>
          </w:tcPr>
          <w:p>
            <w:pPr>
              <w:ind w:left="40"/>
              <w:spacing w:after="0" w:line="202" w:lineRule="exact"/>
              <w:rPr>
                <w:sz w:val="20"/>
                <w:szCs w:val="20"/>
                <w:color w:val="auto"/>
              </w:rPr>
            </w:pPr>
            <w:r>
              <w:rPr>
                <w:rFonts w:ascii="Arial" w:cs="Arial" w:eastAsia="Arial" w:hAnsi="Arial"/>
                <w:sz w:val="18"/>
                <w:szCs w:val="18"/>
                <w:color w:val="4C4C4C"/>
              </w:rPr>
              <w:t>The Board conducts an annual self-assessment process that considers the effectiveness of the Board</w:t>
            </w:r>
          </w:p>
        </w:tc>
      </w:tr>
      <w:tr>
        <w:trPr>
          <w:trHeight w:val="203"/>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(collectively), each Committee, and each individual Director.</w:t>
            </w:r>
          </w:p>
        </w:tc>
      </w:tr>
      <w:tr>
        <w:trPr>
          <w:trHeight w:val="203"/>
        </w:trPr>
        <w:tc>
          <w:tcPr>
            <w:tcW w:w="228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4C4C4C"/>
              </w:rPr>
              <w:t>•</w:t>
            </w:r>
          </w:p>
        </w:tc>
        <w:tc>
          <w:tcPr>
            <w:tcW w:w="8160" w:type="dxa"/>
            <w:vAlign w:val="bottom"/>
          </w:tcPr>
          <w:p>
            <w:pPr>
              <w:ind w:left="60"/>
              <w:spacing w:after="0" w:line="202" w:lineRule="exact"/>
              <w:rPr>
                <w:sz w:val="20"/>
                <w:szCs w:val="20"/>
                <w:color w:val="auto"/>
              </w:rPr>
            </w:pPr>
            <w:r>
              <w:rPr>
                <w:rFonts w:ascii="Arial" w:cs="Arial" w:eastAsia="Arial" w:hAnsi="Arial"/>
                <w:sz w:val="18"/>
                <w:szCs w:val="18"/>
                <w:color w:val="4C4C4C"/>
              </w:rPr>
              <w:t>In 2020, every Director attended at least 75% of the meetings of the Board and the Committees on</w:t>
            </w:r>
          </w:p>
        </w:tc>
      </w:tr>
      <w:tr>
        <w:trPr>
          <w:trHeight w:val="217"/>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4C4C4C"/>
              </w:rPr>
              <w:t>which he or she served.</w:t>
            </w: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400"/>
        <w:spacing w:after="0"/>
        <w:rPr>
          <w:sz w:val="20"/>
          <w:szCs w:val="20"/>
          <w:color w:val="auto"/>
        </w:rPr>
      </w:pPr>
      <w:r>
        <w:rPr>
          <w:rFonts w:ascii="Arial" w:cs="Arial" w:eastAsia="Arial" w:hAnsi="Arial"/>
          <w:sz w:val="20"/>
          <w:szCs w:val="20"/>
          <w:b w:val="1"/>
          <w:bCs w:val="1"/>
          <w:color w:val="00ADBB"/>
        </w:rPr>
        <w:t>Principle 6:</w:t>
      </w:r>
    </w:p>
    <w:p>
      <w:pPr>
        <w:spacing w:after="0" w:line="13" w:lineRule="exact"/>
        <w:rPr>
          <w:sz w:val="20"/>
          <w:szCs w:val="20"/>
          <w:color w:val="auto"/>
        </w:rPr>
      </w:pPr>
    </w:p>
    <w:p>
      <w:pPr>
        <w:ind w:left="400"/>
        <w:spacing w:after="0" w:line="238" w:lineRule="auto"/>
        <w:rPr>
          <w:sz w:val="20"/>
          <w:szCs w:val="20"/>
          <w:color w:val="auto"/>
        </w:rPr>
      </w:pPr>
      <w:r>
        <w:rPr>
          <w:rFonts w:ascii="Arial" w:cs="Arial" w:eastAsia="Arial" w:hAnsi="Arial"/>
          <w:sz w:val="18"/>
          <w:szCs w:val="18"/>
          <w:color w:val="4C4C4C"/>
        </w:rPr>
        <w:t>Boards should develop management incentive structures that are aligned with the long-term strategy of the company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172" w:hanging="172"/>
        <w:spacing w:after="0"/>
        <w:tabs>
          <w:tab w:leader="none" w:pos="172" w:val="left"/>
        </w:tabs>
        <w:numPr>
          <w:ilvl w:val="0"/>
          <w:numId w:val="107"/>
        </w:numPr>
        <w:rPr>
          <w:rFonts w:ascii="Arial" w:cs="Arial" w:eastAsia="Arial" w:hAnsi="Arial"/>
          <w:sz w:val="18"/>
          <w:szCs w:val="18"/>
          <w:color w:val="4C4C4C"/>
        </w:rPr>
      </w:pPr>
      <w:r>
        <w:rPr>
          <w:rFonts w:ascii="Arial" w:cs="Arial" w:eastAsia="Arial" w:hAnsi="Arial"/>
          <w:sz w:val="18"/>
          <w:szCs w:val="18"/>
          <w:color w:val="4C4C4C"/>
        </w:rPr>
        <w:t>Our Say-on-Pay proposal received more than 97% stockholder support in 2020.</w:t>
      </w:r>
    </w:p>
    <w:p>
      <w:pPr>
        <w:jc w:val="both"/>
        <w:ind w:left="172" w:right="620" w:hanging="172"/>
        <w:spacing w:after="0" w:line="234" w:lineRule="auto"/>
        <w:tabs>
          <w:tab w:leader="none" w:pos="154" w:val="left"/>
        </w:tabs>
        <w:numPr>
          <w:ilvl w:val="0"/>
          <w:numId w:val="107"/>
        </w:numPr>
        <w:rPr>
          <w:rFonts w:ascii="Arial" w:cs="Arial" w:eastAsia="Arial" w:hAnsi="Arial"/>
          <w:sz w:val="18"/>
          <w:szCs w:val="18"/>
          <w:color w:val="4C4C4C"/>
        </w:rPr>
      </w:pPr>
      <w:r>
        <w:rPr>
          <w:rFonts w:ascii="Arial" w:cs="Arial" w:eastAsia="Arial" w:hAnsi="Arial"/>
          <w:sz w:val="18"/>
          <w:szCs w:val="18"/>
          <w:color w:val="4C4C4C"/>
        </w:rPr>
        <w:t>The Compensation and Human Capital Committee annually reviews and approves our incentive program design, goals, and objectives for alignment with compensation and business strategies.</w:t>
      </w:r>
    </w:p>
    <w:p>
      <w:pPr>
        <w:spacing w:after="0" w:line="1" w:lineRule="exact"/>
        <w:rPr>
          <w:rFonts w:ascii="Arial" w:cs="Arial" w:eastAsia="Arial" w:hAnsi="Arial"/>
          <w:sz w:val="18"/>
          <w:szCs w:val="18"/>
          <w:color w:val="4C4C4C"/>
        </w:rPr>
      </w:pPr>
    </w:p>
    <w:p>
      <w:pPr>
        <w:ind w:left="172" w:right="380" w:hanging="172"/>
        <w:spacing w:after="0" w:line="234" w:lineRule="auto"/>
        <w:tabs>
          <w:tab w:leader="none" w:pos="157" w:val="left"/>
        </w:tabs>
        <w:numPr>
          <w:ilvl w:val="0"/>
          <w:numId w:val="107"/>
        </w:numPr>
        <w:rPr>
          <w:rFonts w:ascii="Arial" w:cs="Arial" w:eastAsia="Arial" w:hAnsi="Arial"/>
          <w:sz w:val="18"/>
          <w:szCs w:val="18"/>
          <w:color w:val="4C4C4C"/>
        </w:rPr>
      </w:pPr>
      <w:r>
        <w:rPr>
          <w:rFonts w:ascii="Arial" w:cs="Arial" w:eastAsia="Arial" w:hAnsi="Arial"/>
          <w:sz w:val="18"/>
          <w:szCs w:val="18"/>
          <w:color w:val="4C4C4C"/>
        </w:rPr>
        <w:t>Our incentive compensation performance metrics are directly tied to, and derived from, our financial plan.</w:t>
      </w:r>
    </w:p>
    <w:p>
      <w:pPr>
        <w:spacing w:after="0" w:line="1" w:lineRule="exact"/>
        <w:rPr>
          <w:rFonts w:ascii="Arial" w:cs="Arial" w:eastAsia="Arial" w:hAnsi="Arial"/>
          <w:sz w:val="18"/>
          <w:szCs w:val="18"/>
          <w:color w:val="4C4C4C"/>
        </w:rPr>
      </w:pPr>
    </w:p>
    <w:p>
      <w:pPr>
        <w:ind w:left="172" w:right="280" w:hanging="172"/>
        <w:spacing w:after="0" w:line="234" w:lineRule="auto"/>
        <w:tabs>
          <w:tab w:leader="none" w:pos="157" w:val="left"/>
        </w:tabs>
        <w:numPr>
          <w:ilvl w:val="0"/>
          <w:numId w:val="107"/>
        </w:numPr>
        <w:rPr>
          <w:rFonts w:ascii="Arial" w:cs="Arial" w:eastAsia="Arial" w:hAnsi="Arial"/>
          <w:sz w:val="18"/>
          <w:szCs w:val="18"/>
          <w:color w:val="4C4C4C"/>
        </w:rPr>
      </w:pPr>
      <w:r>
        <w:rPr>
          <w:rFonts w:ascii="Arial" w:cs="Arial" w:eastAsia="Arial" w:hAnsi="Arial"/>
          <w:sz w:val="18"/>
          <w:szCs w:val="18"/>
          <w:color w:val="4C4C4C"/>
        </w:rPr>
        <w:t>Our compensation program is rooted in a pay-for-performance philosophy that incentivizes and rewards our management for achievement of performance metrics that are aligned with key strategic goals (see “</w:t>
      </w:r>
      <w:r>
        <w:rPr>
          <w:rFonts w:ascii="Arial" w:cs="Arial" w:eastAsia="Arial" w:hAnsi="Arial"/>
          <w:sz w:val="18"/>
          <w:szCs w:val="18"/>
          <w:color w:val="00ADBB"/>
        </w:rPr>
        <w:t>Compensation Discussion &amp; Analysis</w:t>
      </w:r>
      <w:r>
        <w:rPr>
          <w:rFonts w:ascii="Arial" w:cs="Arial" w:eastAsia="Arial" w:hAnsi="Arial"/>
          <w:sz w:val="18"/>
          <w:szCs w:val="18"/>
          <w:color w:val="4C4C4C"/>
        </w:rPr>
        <w:t>”).</w:t>
      </w:r>
    </w:p>
    <w:p>
      <w:pPr>
        <w:spacing w:after="0" w:line="2" w:lineRule="exact"/>
        <w:rPr>
          <w:rFonts w:ascii="Arial" w:cs="Arial" w:eastAsia="Arial" w:hAnsi="Arial"/>
          <w:sz w:val="18"/>
          <w:szCs w:val="18"/>
          <w:color w:val="4C4C4C"/>
        </w:rPr>
      </w:pPr>
    </w:p>
    <w:p>
      <w:pPr>
        <w:ind w:left="172" w:right="1220" w:hanging="172"/>
        <w:spacing w:after="0" w:line="246" w:lineRule="auto"/>
        <w:tabs>
          <w:tab w:leader="none" w:pos="157" w:val="left"/>
        </w:tabs>
        <w:numPr>
          <w:ilvl w:val="0"/>
          <w:numId w:val="107"/>
        </w:numPr>
        <w:rPr>
          <w:rFonts w:ascii="Arial" w:cs="Arial" w:eastAsia="Arial" w:hAnsi="Arial"/>
          <w:sz w:val="18"/>
          <w:szCs w:val="18"/>
          <w:color w:val="4C4C4C"/>
        </w:rPr>
      </w:pPr>
      <w:r>
        <w:rPr>
          <w:rFonts w:ascii="Arial" w:cs="Arial" w:eastAsia="Arial" w:hAnsi="Arial"/>
          <w:sz w:val="18"/>
          <w:szCs w:val="18"/>
          <w:color w:val="4C4C4C"/>
        </w:rPr>
        <w:t>Short-and long-term incentive programs are designed to reward financial and operational performance that supports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-1305560</wp:posOffset>
            </wp:positionV>
            <wp:extent cx="6780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168"/>
            <w:col w:w="8452"/>
          </w:cols>
          <w:pgMar w:left="320" w:top="459" w:right="439" w:bottom="1440" w:gutter="0" w:footer="0" w:header="0"/>
          <w:type w:val="continuous"/>
        </w:sectPr>
      </w:pPr>
    </w:p>
    <w:p>
      <w:pPr>
        <w:spacing w:after="0" w:line="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Building Our Board of Directors</w:t>
      </w:r>
    </w:p>
    <w:p>
      <w:pPr>
        <w:spacing w:after="0" w:line="125" w:lineRule="exact"/>
        <w:rPr>
          <w:sz w:val="20"/>
          <w:szCs w:val="20"/>
          <w:color w:val="auto"/>
        </w:rPr>
      </w:pPr>
    </w:p>
    <w:p>
      <w:pPr>
        <w:ind w:left="280" w:right="260"/>
        <w:spacing w:after="0"/>
        <w:rPr>
          <w:sz w:val="20"/>
          <w:szCs w:val="20"/>
          <w:color w:val="auto"/>
        </w:rPr>
      </w:pPr>
      <w:r>
        <w:rPr>
          <w:rFonts w:ascii="Arial" w:cs="Arial" w:eastAsia="Arial" w:hAnsi="Arial"/>
          <w:sz w:val="18"/>
          <w:szCs w:val="18"/>
          <w:color w:val="4C4C4C"/>
        </w:rPr>
        <w:t>Our stockholders rely on the Board to oversee Brighthouse on their behalf. The Board has adopted the following key policies and practices to guide it in building a skilled and well-qualified body that we believe is able to effectively fulfill its duties and responsibilities to our stockholders.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Director Criteria and Nomination Process</w:t>
      </w:r>
    </w:p>
    <w:p>
      <w:pPr>
        <w:spacing w:after="0" w:line="13" w:lineRule="exact"/>
        <w:rPr>
          <w:sz w:val="20"/>
          <w:szCs w:val="20"/>
          <w:color w:val="auto"/>
        </w:rPr>
      </w:pPr>
    </w:p>
    <w:p>
      <w:pPr>
        <w:ind w:left="480" w:right="740" w:hanging="199"/>
        <w:spacing w:after="0" w:line="261" w:lineRule="auto"/>
        <w:tabs>
          <w:tab w:leader="none" w:pos="480" w:val="left"/>
        </w:tabs>
        <w:numPr>
          <w:ilvl w:val="0"/>
          <w:numId w:val="108"/>
        </w:numPr>
        <w:rPr>
          <w:rFonts w:ascii="Arial" w:cs="Arial" w:eastAsia="Arial" w:hAnsi="Arial"/>
          <w:sz w:val="17"/>
          <w:szCs w:val="17"/>
          <w:color w:val="4C4C4C"/>
        </w:rPr>
      </w:pPr>
      <w:r>
        <w:rPr>
          <w:rFonts w:ascii="Arial" w:cs="Arial" w:eastAsia="Arial" w:hAnsi="Arial"/>
          <w:sz w:val="17"/>
          <w:szCs w:val="17"/>
          <w:color w:val="00ADBB"/>
        </w:rPr>
        <w:t xml:space="preserve">Board Membership Criteria </w:t>
      </w:r>
      <w:r>
        <w:rPr>
          <w:rFonts w:ascii="Arial" w:cs="Arial" w:eastAsia="Arial" w:hAnsi="Arial"/>
          <w:sz w:val="17"/>
          <w:szCs w:val="17"/>
          <w:color w:val="4C4C4C"/>
        </w:rPr>
        <w:t>– The Nominating and Corporate Governance Committee leads the search for, and recommends,</w:t>
      </w:r>
      <w:r>
        <w:rPr>
          <w:rFonts w:ascii="Arial" w:cs="Arial" w:eastAsia="Arial" w:hAnsi="Arial"/>
          <w:sz w:val="17"/>
          <w:szCs w:val="17"/>
          <w:color w:val="00ADBB"/>
        </w:rPr>
        <w:t xml:space="preserve"> </w:t>
      </w:r>
      <w:r>
        <w:rPr>
          <w:rFonts w:ascii="Arial" w:cs="Arial" w:eastAsia="Arial" w:hAnsi="Arial"/>
          <w:sz w:val="17"/>
          <w:szCs w:val="17"/>
          <w:color w:val="4C4C4C"/>
        </w:rPr>
        <w:t>candidates to serve on the Board based on their business and professional experience, judgment, diversity, age, skills, and background. All candidates must possess high integrity and be able to meet the demands of serving on our Board.</w:t>
      </w:r>
    </w:p>
    <w:p>
      <w:pPr>
        <w:spacing w:after="0" w:line="91" w:lineRule="exact"/>
        <w:rPr>
          <w:rFonts w:ascii="Arial" w:cs="Arial" w:eastAsia="Arial" w:hAnsi="Arial"/>
          <w:sz w:val="17"/>
          <w:szCs w:val="17"/>
          <w:color w:val="4C4C4C"/>
        </w:rPr>
      </w:pPr>
    </w:p>
    <w:p>
      <w:pPr>
        <w:ind w:left="480" w:right="360" w:hanging="199"/>
        <w:spacing w:after="0" w:line="234" w:lineRule="auto"/>
        <w:tabs>
          <w:tab w:leader="none" w:pos="480" w:val="left"/>
        </w:tabs>
        <w:numPr>
          <w:ilvl w:val="0"/>
          <w:numId w:val="108"/>
        </w:numPr>
        <w:rPr>
          <w:rFonts w:ascii="Arial" w:cs="Arial" w:eastAsia="Arial" w:hAnsi="Arial"/>
          <w:sz w:val="18"/>
          <w:szCs w:val="18"/>
          <w:color w:val="4C4C4C"/>
        </w:rPr>
      </w:pPr>
      <w:r>
        <w:rPr>
          <w:rFonts w:ascii="Arial" w:cs="Arial" w:eastAsia="Arial" w:hAnsi="Arial"/>
          <w:sz w:val="18"/>
          <w:szCs w:val="18"/>
          <w:color w:val="00ADBB"/>
        </w:rPr>
        <w:t xml:space="preserve">Director Qualifications </w:t>
      </w:r>
      <w:r>
        <w:rPr>
          <w:rFonts w:ascii="Arial" w:cs="Arial" w:eastAsia="Arial" w:hAnsi="Arial"/>
          <w:sz w:val="18"/>
          <w:szCs w:val="18"/>
          <w:color w:val="4C4C4C"/>
        </w:rPr>
        <w:t>– In seeking qualified director candidates, the Nominating and Corporate Governance Committee, in</w:t>
      </w:r>
      <w:r>
        <w:rPr>
          <w:rFonts w:ascii="Arial" w:cs="Arial" w:eastAsia="Arial" w:hAnsi="Arial"/>
          <w:sz w:val="18"/>
          <w:szCs w:val="18"/>
          <w:color w:val="00ADBB"/>
        </w:rPr>
        <w:t xml:space="preserve"> </w:t>
      </w:r>
      <w:r>
        <w:rPr>
          <w:rFonts w:ascii="Arial" w:cs="Arial" w:eastAsia="Arial" w:hAnsi="Arial"/>
          <w:sz w:val="18"/>
          <w:szCs w:val="18"/>
          <w:color w:val="4C4C4C"/>
        </w:rPr>
        <w:t>consultation with the Chairman, the CEO, and the other members of the Board, seeks individuals who possess the skills, experience, and background appropriate for overseeing the development and execution of Brighthouse’s business strategies. The Board has identified the following qualifications, among others, in considering director candidates:</w:t>
      </w:r>
    </w:p>
    <w:p>
      <w:pPr>
        <w:spacing w:after="0" w:line="2" w:lineRule="exact"/>
        <w:rPr>
          <w:rFonts w:ascii="Arial" w:cs="Arial" w:eastAsia="Arial" w:hAnsi="Arial"/>
          <w:sz w:val="18"/>
          <w:szCs w:val="18"/>
          <w:color w:val="4C4C4C"/>
        </w:rPr>
      </w:pPr>
    </w:p>
    <w:p>
      <w:pPr>
        <w:ind w:left="680" w:hanging="196"/>
        <w:spacing w:after="0" w:line="234" w:lineRule="auto"/>
        <w:tabs>
          <w:tab w:leader="none" w:pos="680" w:val="left"/>
        </w:tabs>
        <w:numPr>
          <w:ilvl w:val="1"/>
          <w:numId w:val="108"/>
        </w:numPr>
        <w:rPr>
          <w:rFonts w:ascii="Arial" w:cs="Arial" w:eastAsia="Arial" w:hAnsi="Arial"/>
          <w:sz w:val="18"/>
          <w:szCs w:val="18"/>
          <w:color w:val="4C4C4C"/>
        </w:rPr>
      </w:pPr>
      <w:r>
        <w:rPr>
          <w:rFonts w:ascii="Arial" w:cs="Arial" w:eastAsia="Arial" w:hAnsi="Arial"/>
          <w:sz w:val="18"/>
          <w:szCs w:val="18"/>
          <w:color w:val="4C4C4C"/>
        </w:rPr>
        <w:t>Leadership experience</w:t>
      </w:r>
    </w:p>
    <w:p>
      <w:pPr>
        <w:ind w:left="680" w:hanging="196"/>
        <w:spacing w:after="0" w:line="234" w:lineRule="auto"/>
        <w:tabs>
          <w:tab w:leader="none" w:pos="680" w:val="left"/>
        </w:tabs>
        <w:numPr>
          <w:ilvl w:val="1"/>
          <w:numId w:val="108"/>
        </w:numPr>
        <w:rPr>
          <w:rFonts w:ascii="Arial" w:cs="Arial" w:eastAsia="Arial" w:hAnsi="Arial"/>
          <w:sz w:val="18"/>
          <w:szCs w:val="18"/>
          <w:color w:val="4C4C4C"/>
        </w:rPr>
      </w:pPr>
      <w:r>
        <w:rPr>
          <w:rFonts w:ascii="Arial" w:cs="Arial" w:eastAsia="Arial" w:hAnsi="Arial"/>
          <w:sz w:val="18"/>
          <w:szCs w:val="18"/>
          <w:color w:val="4C4C4C"/>
        </w:rPr>
        <w:t>Experience in insurance or financial services</w:t>
      </w:r>
    </w:p>
    <w:p>
      <w:pPr>
        <w:ind w:left="680" w:hanging="196"/>
        <w:spacing w:after="0"/>
        <w:tabs>
          <w:tab w:leader="none" w:pos="680" w:val="left"/>
        </w:tabs>
        <w:numPr>
          <w:ilvl w:val="1"/>
          <w:numId w:val="108"/>
        </w:numPr>
        <w:rPr>
          <w:rFonts w:ascii="Arial" w:cs="Arial" w:eastAsia="Arial" w:hAnsi="Arial"/>
          <w:sz w:val="18"/>
          <w:szCs w:val="18"/>
          <w:color w:val="4C4C4C"/>
        </w:rPr>
      </w:pPr>
      <w:r>
        <w:rPr>
          <w:rFonts w:ascii="Arial" w:cs="Arial" w:eastAsia="Arial" w:hAnsi="Arial"/>
          <w:sz w:val="18"/>
          <w:szCs w:val="18"/>
          <w:color w:val="4C4C4C"/>
        </w:rPr>
        <w:t>Financial literacy</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24 | 2021 Proxy Statement</w:t>
      </w:r>
    </w:p>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Building Our Board of Directors</w:t>
      </w:r>
    </w:p>
    <w:p>
      <w:pPr>
        <w:spacing w:after="0" w:line="200" w:lineRule="exact"/>
        <w:rPr>
          <w:sz w:val="20"/>
          <w:szCs w:val="20"/>
          <w:color w:val="auto"/>
        </w:rPr>
      </w:pPr>
    </w:p>
    <w:p>
      <w:pPr>
        <w:sectPr>
          <w:pgSz w:w="11900" w:h="16838" w:orient="portrait"/>
          <w:cols w:equalWidth="0" w:num="2">
            <w:col w:w="7800" w:space="720"/>
            <w:col w:w="2620"/>
          </w:cols>
          <w:pgMar w:left="320" w:top="459" w:right="439" w:bottom="1440" w:gutter="0" w:footer="0" w:header="0"/>
          <w:type w:val="continuous"/>
        </w:sectPr>
      </w:pPr>
    </w:p>
    <w:p>
      <w:pPr>
        <w:spacing w:after="0" w:line="43" w:lineRule="exact"/>
        <w:rPr>
          <w:sz w:val="20"/>
          <w:szCs w:val="20"/>
          <w:color w:val="auto"/>
        </w:rPr>
      </w:pPr>
    </w:p>
    <w:p>
      <w:pPr>
        <w:ind w:left="540" w:hanging="208"/>
        <w:spacing w:after="0"/>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Risk management expertise, including in the areas of market, liquidity, and cybersecurity risk</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Investments expertise, including oversight of strategic asset allocation and portfolio construction</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Information technology expertise</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Public company board experience</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Experience in human capital management</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Brand management and marketing experience</w:t>
      </w:r>
    </w:p>
    <w:p>
      <w:pPr>
        <w:ind w:left="540" w:hanging="208"/>
        <w:spacing w:after="0" w:line="234" w:lineRule="auto"/>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Commitment to Brighthouse values</w:t>
      </w:r>
    </w:p>
    <w:p>
      <w:pPr>
        <w:ind w:left="540" w:hanging="208"/>
        <w:spacing w:after="0"/>
        <w:tabs>
          <w:tab w:leader="none" w:pos="540" w:val="left"/>
        </w:tabs>
        <w:numPr>
          <w:ilvl w:val="1"/>
          <w:numId w:val="109"/>
        </w:numPr>
        <w:rPr>
          <w:rFonts w:ascii="Arial" w:cs="Arial" w:eastAsia="Arial" w:hAnsi="Arial"/>
          <w:sz w:val="18"/>
          <w:szCs w:val="18"/>
          <w:color w:val="4C4C4C"/>
        </w:rPr>
      </w:pPr>
      <w:r>
        <w:rPr>
          <w:rFonts w:ascii="Arial" w:cs="Arial" w:eastAsia="Arial" w:hAnsi="Arial"/>
          <w:sz w:val="18"/>
          <w:szCs w:val="18"/>
          <w:color w:val="4C4C4C"/>
        </w:rPr>
        <w:t>Diversity, including gender and racial or ethnic diversity</w:t>
      </w:r>
    </w:p>
    <w:p>
      <w:pPr>
        <w:spacing w:after="0" w:line="117" w:lineRule="exact"/>
        <w:rPr>
          <w:rFonts w:ascii="Arial" w:cs="Arial" w:eastAsia="Arial" w:hAnsi="Arial"/>
          <w:sz w:val="18"/>
          <w:szCs w:val="18"/>
          <w:color w:val="4C4C4C"/>
        </w:rPr>
      </w:pPr>
    </w:p>
    <w:p>
      <w:pPr>
        <w:ind w:left="340" w:right="180" w:hanging="224"/>
        <w:spacing w:after="0" w:line="238" w:lineRule="auto"/>
        <w:tabs>
          <w:tab w:leader="none" w:pos="340" w:val="left"/>
        </w:tabs>
        <w:numPr>
          <w:ilvl w:val="0"/>
          <w:numId w:val="109"/>
        </w:numPr>
        <w:rPr>
          <w:rFonts w:ascii="Arial" w:cs="Arial" w:eastAsia="Arial" w:hAnsi="Arial"/>
          <w:sz w:val="18"/>
          <w:szCs w:val="18"/>
          <w:color w:val="4C4C4C"/>
        </w:rPr>
      </w:pPr>
      <w:r>
        <w:rPr>
          <w:rFonts w:ascii="Arial" w:cs="Arial" w:eastAsia="Arial" w:hAnsi="Arial"/>
          <w:sz w:val="18"/>
          <w:szCs w:val="18"/>
          <w:color w:val="00ADBB"/>
        </w:rPr>
        <w:t xml:space="preserve">Director Independence </w:t>
      </w:r>
      <w:r>
        <w:rPr>
          <w:rFonts w:ascii="Arial" w:cs="Arial" w:eastAsia="Arial" w:hAnsi="Arial"/>
          <w:sz w:val="18"/>
          <w:szCs w:val="18"/>
          <w:color w:val="4C4C4C"/>
        </w:rPr>
        <w:t>– At least a majority of the Board must be Directors who satisfy applicable independence standards. To</w:t>
      </w:r>
      <w:r>
        <w:rPr>
          <w:rFonts w:ascii="Arial" w:cs="Arial" w:eastAsia="Arial" w:hAnsi="Arial"/>
          <w:sz w:val="18"/>
          <w:szCs w:val="18"/>
          <w:color w:val="00ADBB"/>
        </w:rPr>
        <w:t xml:space="preserve"> </w:t>
      </w:r>
      <w:r>
        <w:rPr>
          <w:rFonts w:ascii="Arial" w:cs="Arial" w:eastAsia="Arial" w:hAnsi="Arial"/>
          <w:sz w:val="18"/>
          <w:szCs w:val="18"/>
          <w:color w:val="4C4C4C"/>
        </w:rPr>
        <w:t>determine independence, the Nominating and Corporate Governance Committee and the Board consider independence requirements under Nasdaq listing rules and the Securities Exchange Act of 1934, as amended (the “</w:t>
      </w:r>
      <w:r>
        <w:rPr>
          <w:rFonts w:ascii="Arial" w:cs="Arial" w:eastAsia="Arial" w:hAnsi="Arial"/>
          <w:sz w:val="18"/>
          <w:szCs w:val="18"/>
          <w:b w:val="1"/>
          <w:bCs w:val="1"/>
          <w:color w:val="00ADBB"/>
        </w:rPr>
        <w:t>Exchange Act</w:t>
      </w:r>
      <w:r>
        <w:rPr>
          <w:rFonts w:ascii="Arial" w:cs="Arial" w:eastAsia="Arial" w:hAnsi="Arial"/>
          <w:sz w:val="18"/>
          <w:szCs w:val="18"/>
          <w:color w:val="4C4C4C"/>
        </w:rPr>
        <w:t>”), as well as other factors that contribute to effective oversight and decision-making by the Board.</w:t>
      </w:r>
    </w:p>
    <w:p>
      <w:pPr>
        <w:spacing w:after="0" w:line="110" w:lineRule="exact"/>
        <w:rPr>
          <w:rFonts w:ascii="Arial" w:cs="Arial" w:eastAsia="Arial" w:hAnsi="Arial"/>
          <w:sz w:val="18"/>
          <w:szCs w:val="18"/>
          <w:color w:val="4C4C4C"/>
        </w:rPr>
      </w:pPr>
    </w:p>
    <w:p>
      <w:pPr>
        <w:ind w:left="340" w:right="40" w:hanging="224"/>
        <w:spacing w:after="0" w:line="236" w:lineRule="auto"/>
        <w:tabs>
          <w:tab w:leader="none" w:pos="340" w:val="left"/>
        </w:tabs>
        <w:numPr>
          <w:ilvl w:val="0"/>
          <w:numId w:val="109"/>
        </w:numPr>
        <w:rPr>
          <w:rFonts w:ascii="Arial" w:cs="Arial" w:eastAsia="Arial" w:hAnsi="Arial"/>
          <w:sz w:val="18"/>
          <w:szCs w:val="18"/>
          <w:color w:val="4C4C4C"/>
        </w:rPr>
      </w:pPr>
      <w:r>
        <w:rPr>
          <w:rFonts w:ascii="Arial" w:cs="Arial" w:eastAsia="Arial" w:hAnsi="Arial"/>
          <w:sz w:val="18"/>
          <w:szCs w:val="18"/>
          <w:color w:val="00ADBB"/>
        </w:rPr>
        <w:t xml:space="preserve">Other Directorships </w:t>
      </w:r>
      <w:r>
        <w:rPr>
          <w:rFonts w:ascii="Arial" w:cs="Arial" w:eastAsia="Arial" w:hAnsi="Arial"/>
          <w:sz w:val="18"/>
          <w:szCs w:val="18"/>
          <w:color w:val="4C4C4C"/>
        </w:rPr>
        <w:t>– Directors must confirm the absence of, or disclose, any material actual or potential conflict of interest and receive</w:t>
      </w:r>
      <w:r>
        <w:rPr>
          <w:rFonts w:ascii="Arial" w:cs="Arial" w:eastAsia="Arial" w:hAnsi="Arial"/>
          <w:sz w:val="18"/>
          <w:szCs w:val="18"/>
          <w:color w:val="00ADBB"/>
        </w:rPr>
        <w:t xml:space="preserve"> </w:t>
      </w:r>
      <w:r>
        <w:rPr>
          <w:rFonts w:ascii="Arial" w:cs="Arial" w:eastAsia="Arial" w:hAnsi="Arial"/>
          <w:sz w:val="18"/>
          <w:szCs w:val="18"/>
          <w:color w:val="4C4C4C"/>
        </w:rPr>
        <w:t>the consent of the Chair of the Nominating and Corporate Governance Committee before accepting an invitation to serve on the board or committee of another public company. Directors are also required to inform the Chair of the Nominating and Corporate Governance Committee before joining the board of private, non-profit, or other organizations. To ensure that Directors have requisite time to devote sufficient attention to their duties and responsibilities, the Board believes that: (1) Directors should not serve on more than three other public company boards; (2) Independent Directors who serve as chief executive officer of another public company and also serve on that company’s board of directors should not serve on any additional public company board other than our Board; and (3) Directors who serve on more than three public company audit committees should not serve on our Audit Committee if their ability to effectively serve on our Audit Committee is impaired, as determined by the Chair of the Nominating and Corporate Governance Committee and the Board.</w:t>
      </w:r>
    </w:p>
    <w:p>
      <w:pPr>
        <w:spacing w:after="0" w:line="111" w:lineRule="exact"/>
        <w:rPr>
          <w:rFonts w:ascii="Arial" w:cs="Arial" w:eastAsia="Arial" w:hAnsi="Arial"/>
          <w:sz w:val="18"/>
          <w:szCs w:val="18"/>
          <w:color w:val="4C4C4C"/>
        </w:rPr>
      </w:pPr>
    </w:p>
    <w:p>
      <w:pPr>
        <w:ind w:left="340" w:right="40" w:hanging="224"/>
        <w:spacing w:after="0" w:line="236" w:lineRule="auto"/>
        <w:tabs>
          <w:tab w:leader="none" w:pos="340" w:val="left"/>
        </w:tabs>
        <w:numPr>
          <w:ilvl w:val="0"/>
          <w:numId w:val="109"/>
        </w:numPr>
        <w:rPr>
          <w:rFonts w:ascii="Arial" w:cs="Arial" w:eastAsia="Arial" w:hAnsi="Arial"/>
          <w:sz w:val="18"/>
          <w:szCs w:val="18"/>
          <w:color w:val="4C4C4C"/>
        </w:rPr>
      </w:pPr>
      <w:r>
        <w:rPr>
          <w:rFonts w:ascii="Arial" w:cs="Arial" w:eastAsia="Arial" w:hAnsi="Arial"/>
          <w:sz w:val="18"/>
          <w:szCs w:val="18"/>
          <w:color w:val="00ADBB"/>
        </w:rPr>
        <w:t xml:space="preserve">Director Nomination Process </w:t>
      </w:r>
      <w:r>
        <w:rPr>
          <w:rFonts w:ascii="Arial" w:cs="Arial" w:eastAsia="Arial" w:hAnsi="Arial"/>
          <w:sz w:val="18"/>
          <w:szCs w:val="18"/>
          <w:color w:val="4C4C4C"/>
        </w:rPr>
        <w:t>– Nominations for election as a Director at our annual meetings may be made by our Board in the</w:t>
      </w:r>
      <w:r>
        <w:rPr>
          <w:rFonts w:ascii="Arial" w:cs="Arial" w:eastAsia="Arial" w:hAnsi="Arial"/>
          <w:sz w:val="18"/>
          <w:szCs w:val="18"/>
          <w:color w:val="00ADBB"/>
        </w:rPr>
        <w:t xml:space="preserve"> </w:t>
      </w:r>
      <w:r>
        <w:rPr>
          <w:rFonts w:ascii="Arial" w:cs="Arial" w:eastAsia="Arial" w:hAnsi="Arial"/>
          <w:sz w:val="18"/>
          <w:szCs w:val="18"/>
          <w:color w:val="4C4C4C"/>
        </w:rPr>
        <w:t>Company’s notice of meeting or any supplement thereto, or by a stockholder or stockholders in compliance with the stockholder nomination requirements set forth in our Bylaws. Our Board nominates Director nominees upon the recommendation of the Nominating and Corporate Governance Committee. The Nominating and Corporate Governance Committee and the Board may identify potential nominees through a variety of means, including recommendations from professional search firms and referrals from current Directors, management, and stockholders. In recommending candidates for nomination by the Board, the Nominating and Corporate Governance Committee takes into consideration the candidate’s skills and qualifications, the Nasdaq listing requirements, the ability of candidates to enhance the diversity of our Board as a whole, and any other criteria the Board may establish from time to time. The Nominating and Governance Committee will consider candidates recommended by stockholders, and our stockholders may bring Director nominations before an annual meeting of our stockholders by following the procedures described in our Bylaws. For more information on how and when to submit a nomination for future annual meetings, see “</w:t>
      </w:r>
      <w:r>
        <w:rPr>
          <w:rFonts w:ascii="Arial" w:cs="Arial" w:eastAsia="Arial" w:hAnsi="Arial"/>
          <w:sz w:val="18"/>
          <w:szCs w:val="18"/>
          <w:color w:val="00ADBB"/>
        </w:rPr>
        <w:t>Other stockholder proposals and director nominations</w:t>
      </w:r>
      <w:r>
        <w:rPr>
          <w:rFonts w:ascii="Arial" w:cs="Arial" w:eastAsia="Arial" w:hAnsi="Arial"/>
          <w:sz w:val="18"/>
          <w:szCs w:val="18"/>
          <w:color w:val="4C4C4C"/>
        </w:rPr>
        <w: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Board Composition, Refreshment, and Ongoing Education</w:t>
      </w:r>
    </w:p>
    <w:p>
      <w:pPr>
        <w:spacing w:after="0" w:line="13" w:lineRule="exact"/>
        <w:rPr>
          <w:sz w:val="20"/>
          <w:szCs w:val="20"/>
          <w:color w:val="auto"/>
        </w:rPr>
      </w:pPr>
    </w:p>
    <w:p>
      <w:pPr>
        <w:ind w:left="340" w:right="60" w:hanging="224"/>
        <w:spacing w:after="0" w:line="237" w:lineRule="auto"/>
        <w:tabs>
          <w:tab w:leader="none" w:pos="340" w:val="left"/>
        </w:tabs>
        <w:numPr>
          <w:ilvl w:val="0"/>
          <w:numId w:val="110"/>
        </w:numPr>
        <w:rPr>
          <w:rFonts w:ascii="Arial" w:cs="Arial" w:eastAsia="Arial" w:hAnsi="Arial"/>
          <w:sz w:val="18"/>
          <w:szCs w:val="18"/>
          <w:color w:val="4C4C4C"/>
        </w:rPr>
      </w:pPr>
      <w:r>
        <w:rPr>
          <w:rFonts w:ascii="Arial" w:cs="Arial" w:eastAsia="Arial" w:hAnsi="Arial"/>
          <w:sz w:val="18"/>
          <w:szCs w:val="18"/>
          <w:color w:val="4CC5CF"/>
        </w:rPr>
        <w:t xml:space="preserve">Board Diversity </w:t>
      </w:r>
      <w:r>
        <w:rPr>
          <w:rFonts w:ascii="Arial" w:cs="Arial" w:eastAsia="Arial" w:hAnsi="Arial"/>
          <w:sz w:val="18"/>
          <w:szCs w:val="18"/>
          <w:color w:val="4C4C4C"/>
        </w:rPr>
        <w:t>– The Board believes a diverse board is better able to effectively oversee Brighthouse and deliver long-term value for</w:t>
      </w:r>
      <w:r>
        <w:rPr>
          <w:rFonts w:ascii="Arial" w:cs="Arial" w:eastAsia="Arial" w:hAnsi="Arial"/>
          <w:sz w:val="18"/>
          <w:szCs w:val="18"/>
          <w:color w:val="4CC5CF"/>
        </w:rPr>
        <w:t xml:space="preserve"> </w:t>
      </w:r>
      <w:r>
        <w:rPr>
          <w:rFonts w:ascii="Arial" w:cs="Arial" w:eastAsia="Arial" w:hAnsi="Arial"/>
          <w:sz w:val="18"/>
          <w:szCs w:val="18"/>
          <w:color w:val="4C4C4C"/>
        </w:rPr>
        <w:t>our stockholders. The Board seeks Directors who possess a broad range of skills, experience, and perspectives, and who contribute to the gender and racial or ethnic diversity of our Board. While the Company does not have a formal Board diversity policy, our Corporate Governance Principles place an emphasis on diversity. The Nominating and Corporate Governance Committee and the Board consider diversity when recruiting and nominating directors and when assessing the effectiveness of the Board. The current composition of the Board reflects those efforts and the importance of diversity to the Board.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25</w:t>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Board Leadership Structure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2"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28" w:lineRule="exact"/>
        <w:rPr>
          <w:sz w:val="20"/>
          <w:szCs w:val="20"/>
          <w:color w:val="auto"/>
        </w:rPr>
      </w:pPr>
    </w:p>
    <w:p>
      <w:pPr>
        <w:ind w:left="480" w:right="220" w:hanging="199"/>
        <w:spacing w:after="0" w:line="236" w:lineRule="auto"/>
        <w:tabs>
          <w:tab w:leader="none" w:pos="480" w:val="left"/>
        </w:tabs>
        <w:numPr>
          <w:ilvl w:val="0"/>
          <w:numId w:val="111"/>
        </w:numPr>
        <w:rPr>
          <w:rFonts w:ascii="Arial" w:cs="Arial" w:eastAsia="Arial" w:hAnsi="Arial"/>
          <w:sz w:val="18"/>
          <w:szCs w:val="18"/>
          <w:color w:val="4C4C4C"/>
        </w:rPr>
      </w:pPr>
      <w:r>
        <w:rPr>
          <w:rFonts w:ascii="Arial" w:cs="Arial" w:eastAsia="Arial" w:hAnsi="Arial"/>
          <w:sz w:val="18"/>
          <w:szCs w:val="18"/>
          <w:color w:val="4CC5CF"/>
        </w:rPr>
        <w:t xml:space="preserve">Board Refreshment </w:t>
      </w:r>
      <w:r>
        <w:rPr>
          <w:rFonts w:ascii="Arial" w:cs="Arial" w:eastAsia="Arial" w:hAnsi="Arial"/>
          <w:sz w:val="18"/>
          <w:szCs w:val="18"/>
          <w:color w:val="4C4C4C"/>
        </w:rPr>
        <w:t>– The Board recognizes it must refresh its composition to address Brighthouse’s oversight needs as the</w:t>
      </w:r>
      <w:r>
        <w:rPr>
          <w:rFonts w:ascii="Arial" w:cs="Arial" w:eastAsia="Arial" w:hAnsi="Arial"/>
          <w:sz w:val="18"/>
          <w:szCs w:val="18"/>
          <w:color w:val="4CC5CF"/>
        </w:rPr>
        <w:t xml:space="preserve"> </w:t>
      </w:r>
      <w:r>
        <w:rPr>
          <w:rFonts w:ascii="Arial" w:cs="Arial" w:eastAsia="Arial" w:hAnsi="Arial"/>
          <w:sz w:val="18"/>
          <w:szCs w:val="18"/>
          <w:color w:val="4C4C4C"/>
        </w:rPr>
        <w:t>Company evolves over time. The Nominating and Corporate Governance Committee and Board annually review the skills and experience that allow the Board to best oversee Brighthouse’s strategy. The Nominating and Corporate Governance Committee leads a Director self-evaluation process in which each Director ranks his or her expertise and experience in a number of key skill areas that are relevant to service on our Board. The Nominating and Corporate Governance Committee considers the Directors’ self-evaluations in analyzing the aggregate representation of skills on the Board. We added two new Directors in 2018 and one new Director in 2020, and, in accordance with our mandatory retirement policy, a Director retired from the Board as of the 2020 annual meeting.</w:t>
      </w:r>
    </w:p>
    <w:p>
      <w:pPr>
        <w:spacing w:after="0" w:line="113" w:lineRule="exact"/>
        <w:rPr>
          <w:rFonts w:ascii="Arial" w:cs="Arial" w:eastAsia="Arial" w:hAnsi="Arial"/>
          <w:sz w:val="18"/>
          <w:szCs w:val="18"/>
          <w:color w:val="4C4C4C"/>
        </w:rPr>
      </w:pPr>
    </w:p>
    <w:p>
      <w:pPr>
        <w:ind w:left="480" w:right="280" w:hanging="199"/>
        <w:spacing w:after="0" w:line="236" w:lineRule="auto"/>
        <w:tabs>
          <w:tab w:leader="none" w:pos="480" w:val="left"/>
        </w:tabs>
        <w:numPr>
          <w:ilvl w:val="0"/>
          <w:numId w:val="111"/>
        </w:numPr>
        <w:rPr>
          <w:rFonts w:ascii="Arial" w:cs="Arial" w:eastAsia="Arial" w:hAnsi="Arial"/>
          <w:sz w:val="18"/>
          <w:szCs w:val="18"/>
          <w:color w:val="4C4C4C"/>
        </w:rPr>
      </w:pPr>
      <w:r>
        <w:rPr>
          <w:rFonts w:ascii="Arial" w:cs="Arial" w:eastAsia="Arial" w:hAnsi="Arial"/>
          <w:sz w:val="18"/>
          <w:szCs w:val="18"/>
          <w:color w:val="00ADBB"/>
        </w:rPr>
        <w:t xml:space="preserve">Assessing the Board’s Performance </w:t>
      </w:r>
      <w:r>
        <w:rPr>
          <w:rFonts w:ascii="Arial" w:cs="Arial" w:eastAsia="Arial" w:hAnsi="Arial"/>
          <w:sz w:val="18"/>
          <w:szCs w:val="18"/>
          <w:color w:val="4C4C4C"/>
        </w:rPr>
        <w:t>– The Board views its annual self-assessment as an important tool for candid evaluation of its</w:t>
      </w:r>
      <w:r>
        <w:rPr>
          <w:rFonts w:ascii="Arial" w:cs="Arial" w:eastAsia="Arial" w:hAnsi="Arial"/>
          <w:sz w:val="18"/>
          <w:szCs w:val="18"/>
          <w:color w:val="00ADBB"/>
        </w:rPr>
        <w:t xml:space="preserve"> </w:t>
      </w:r>
      <w:r>
        <w:rPr>
          <w:rFonts w:ascii="Arial" w:cs="Arial" w:eastAsia="Arial" w:hAnsi="Arial"/>
          <w:sz w:val="18"/>
          <w:szCs w:val="18"/>
          <w:color w:val="4C4C4C"/>
        </w:rPr>
        <w:t>composition, performance, and proper functioning, as well as an important component of our board refreshment strategy. The Nominating and Corporate Governance Committee oversees the assessment process, including the topics and areas to be addressed during the assessment. For 2020, each Director completed assessments of the Board’s and each Committee’s effectiveness, including with respect to: Board and Committee composition; the quality of meeting materials and discussions during Board and Committee meetings; appropriateness of meeting agenda topics; the Board’s performance in the COVID-19 pandemic; and interactions with management. Each Director also provided feedback on the other Directors. The Nominating and Corporate Governance Committee reviewed and reported the results of the assessments to the full Board and to management. The chair of the Nominating and Corporate Governance Committee discussed with each Director the results of the individual feedback. The Board continues to address any issues and implement constructive suggestions raised in the self-assessments to further enhance its effectiveness.</w:t>
      </w:r>
    </w:p>
    <w:p>
      <w:pPr>
        <w:spacing w:after="0" w:line="110" w:lineRule="exact"/>
        <w:rPr>
          <w:rFonts w:ascii="Arial" w:cs="Arial" w:eastAsia="Arial" w:hAnsi="Arial"/>
          <w:sz w:val="18"/>
          <w:szCs w:val="18"/>
          <w:color w:val="4C4C4C"/>
        </w:rPr>
      </w:pPr>
    </w:p>
    <w:p>
      <w:pPr>
        <w:ind w:left="480" w:right="500" w:hanging="199"/>
        <w:spacing w:after="0"/>
        <w:tabs>
          <w:tab w:leader="none" w:pos="480" w:val="left"/>
        </w:tabs>
        <w:numPr>
          <w:ilvl w:val="0"/>
          <w:numId w:val="111"/>
        </w:numPr>
        <w:rPr>
          <w:rFonts w:ascii="Arial" w:cs="Arial" w:eastAsia="Arial" w:hAnsi="Arial"/>
          <w:sz w:val="18"/>
          <w:szCs w:val="18"/>
          <w:color w:val="4C4C4C"/>
        </w:rPr>
      </w:pPr>
      <w:r>
        <w:rPr>
          <w:rFonts w:ascii="Arial" w:cs="Arial" w:eastAsia="Arial" w:hAnsi="Arial"/>
          <w:sz w:val="18"/>
          <w:szCs w:val="18"/>
          <w:color w:val="00ADBB"/>
        </w:rPr>
        <w:t xml:space="preserve">Mandatory Retirement Age </w:t>
      </w:r>
      <w:r>
        <w:rPr>
          <w:rFonts w:ascii="Arial" w:cs="Arial" w:eastAsia="Arial" w:hAnsi="Arial"/>
          <w:sz w:val="18"/>
          <w:szCs w:val="18"/>
          <w:color w:val="4C4C4C"/>
        </w:rPr>
        <w:t>– Our Corporate Governance Principles state that Directors may not stand for reelection or be</w:t>
      </w:r>
      <w:r>
        <w:rPr>
          <w:rFonts w:ascii="Arial" w:cs="Arial" w:eastAsia="Arial" w:hAnsi="Arial"/>
          <w:sz w:val="18"/>
          <w:szCs w:val="18"/>
          <w:color w:val="00ADBB"/>
        </w:rPr>
        <w:t xml:space="preserve"> </w:t>
      </w:r>
      <w:r>
        <w:rPr>
          <w:rFonts w:ascii="Arial" w:cs="Arial" w:eastAsia="Arial" w:hAnsi="Arial"/>
          <w:sz w:val="18"/>
          <w:szCs w:val="18"/>
          <w:color w:val="4C4C4C"/>
        </w:rPr>
        <w:t>appointed to the Board after reaching the age of 72. The Board may approve exceptions to this policy. In 2020, a Director retired from the Board in accordance with this policy. We have not adopted term limits for our Directors.</w:t>
      </w:r>
    </w:p>
    <w:p>
      <w:pPr>
        <w:spacing w:after="0" w:line="108" w:lineRule="exact"/>
        <w:rPr>
          <w:rFonts w:ascii="Arial" w:cs="Arial" w:eastAsia="Arial" w:hAnsi="Arial"/>
          <w:sz w:val="18"/>
          <w:szCs w:val="18"/>
          <w:color w:val="4C4C4C"/>
        </w:rPr>
      </w:pPr>
    </w:p>
    <w:p>
      <w:pPr>
        <w:ind w:left="480" w:right="200" w:hanging="199"/>
        <w:spacing w:after="0" w:line="237" w:lineRule="auto"/>
        <w:tabs>
          <w:tab w:leader="none" w:pos="480" w:val="left"/>
        </w:tabs>
        <w:numPr>
          <w:ilvl w:val="0"/>
          <w:numId w:val="111"/>
        </w:numPr>
        <w:rPr>
          <w:rFonts w:ascii="Arial" w:cs="Arial" w:eastAsia="Arial" w:hAnsi="Arial"/>
          <w:sz w:val="18"/>
          <w:szCs w:val="18"/>
          <w:color w:val="4C4C4C"/>
        </w:rPr>
      </w:pPr>
      <w:r>
        <w:rPr>
          <w:rFonts w:ascii="Arial" w:cs="Arial" w:eastAsia="Arial" w:hAnsi="Arial"/>
          <w:sz w:val="18"/>
          <w:szCs w:val="18"/>
          <w:color w:val="00ADBB"/>
        </w:rPr>
        <w:t xml:space="preserve">Director Orientation and Continuing Education </w:t>
      </w:r>
      <w:r>
        <w:rPr>
          <w:rFonts w:ascii="Arial" w:cs="Arial" w:eastAsia="Arial" w:hAnsi="Arial"/>
          <w:sz w:val="18"/>
          <w:szCs w:val="18"/>
          <w:color w:val="4C4C4C"/>
        </w:rPr>
        <w:t>– The Board views orientation and continuing education as vital tools for building an</w:t>
      </w:r>
      <w:r>
        <w:rPr>
          <w:rFonts w:ascii="Arial" w:cs="Arial" w:eastAsia="Arial" w:hAnsi="Arial"/>
          <w:sz w:val="18"/>
          <w:szCs w:val="18"/>
          <w:color w:val="00ADBB"/>
        </w:rPr>
        <w:t xml:space="preserve"> </w:t>
      </w:r>
      <w:r>
        <w:rPr>
          <w:rFonts w:ascii="Arial" w:cs="Arial" w:eastAsia="Arial" w:hAnsi="Arial"/>
          <w:sz w:val="18"/>
          <w:szCs w:val="18"/>
          <w:color w:val="4C4C4C"/>
        </w:rPr>
        <w:t>effective Board. We provide all new Directors with an orientation program when they join the Board. The orientation consists of presentations by our senior management to familiarize the Directors with our business, operations, financial condition, risk management, and governance, as well as Directors’ legal duties and requirements. We also encourage, and will provide funding for, both new and longer-serving Directors to attend continuing education programs delivered by third parties to develop and enhance their skills and knowledge. We also incorporate continuing education into our regular Board and Committee meetings from time to time.</w:t>
      </w:r>
    </w:p>
    <w:p>
      <w:pPr>
        <w:spacing w:after="0" w:line="108" w:lineRule="exact"/>
        <w:rPr>
          <w:rFonts w:ascii="Arial" w:cs="Arial" w:eastAsia="Arial" w:hAnsi="Arial"/>
          <w:sz w:val="18"/>
          <w:szCs w:val="18"/>
          <w:color w:val="4C4C4C"/>
        </w:rPr>
      </w:pPr>
    </w:p>
    <w:p>
      <w:pPr>
        <w:ind w:left="480" w:right="360" w:hanging="199"/>
        <w:spacing w:after="0" w:line="238" w:lineRule="auto"/>
        <w:tabs>
          <w:tab w:leader="none" w:pos="480" w:val="left"/>
        </w:tabs>
        <w:numPr>
          <w:ilvl w:val="0"/>
          <w:numId w:val="111"/>
        </w:numPr>
        <w:rPr>
          <w:rFonts w:ascii="Arial" w:cs="Arial" w:eastAsia="Arial" w:hAnsi="Arial"/>
          <w:sz w:val="18"/>
          <w:szCs w:val="18"/>
          <w:color w:val="4C4C4C"/>
        </w:rPr>
      </w:pPr>
      <w:r>
        <w:rPr>
          <w:rFonts w:ascii="Arial" w:cs="Arial" w:eastAsia="Arial" w:hAnsi="Arial"/>
          <w:sz w:val="18"/>
          <w:szCs w:val="18"/>
          <w:color w:val="00ADBB"/>
        </w:rPr>
        <w:t xml:space="preserve">Attendance at Meetings </w:t>
      </w:r>
      <w:r>
        <w:rPr>
          <w:rFonts w:ascii="Arial" w:cs="Arial" w:eastAsia="Arial" w:hAnsi="Arial"/>
          <w:sz w:val="18"/>
          <w:szCs w:val="18"/>
          <w:color w:val="4C4C4C"/>
        </w:rPr>
        <w:t>– Directors are expected to regularly attend meetings of the Board and the Committees of which they are</w:t>
      </w:r>
      <w:r>
        <w:rPr>
          <w:rFonts w:ascii="Arial" w:cs="Arial" w:eastAsia="Arial" w:hAnsi="Arial"/>
          <w:sz w:val="18"/>
          <w:szCs w:val="18"/>
          <w:color w:val="00ADBB"/>
        </w:rPr>
        <w:t xml:space="preserve"> </w:t>
      </w:r>
      <w:r>
        <w:rPr>
          <w:rFonts w:ascii="Arial" w:cs="Arial" w:eastAsia="Arial" w:hAnsi="Arial"/>
          <w:sz w:val="18"/>
          <w:szCs w:val="18"/>
          <w:color w:val="4C4C4C"/>
        </w:rPr>
        <w:t>members, and to spend the time needed outside of meetings to keep themselves informed about Brighthouse’s business and operations. In 2020, the Board held six meetings and the Committees held a total of 36 meetings. Every Director attended at least 75% of the meetings of the Board and the Committees on which he or she served.</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Board Leadership Structure</w:t>
      </w:r>
    </w:p>
    <w:p>
      <w:pPr>
        <w:spacing w:after="0" w:line="125" w:lineRule="exact"/>
        <w:rPr>
          <w:sz w:val="20"/>
          <w:szCs w:val="20"/>
          <w:color w:val="auto"/>
        </w:rPr>
      </w:pPr>
    </w:p>
    <w:p>
      <w:pPr>
        <w:ind w:left="280" w:right="320"/>
        <w:spacing w:after="0" w:line="261" w:lineRule="auto"/>
        <w:rPr>
          <w:sz w:val="20"/>
          <w:szCs w:val="20"/>
          <w:color w:val="auto"/>
        </w:rPr>
      </w:pPr>
      <w:r>
        <w:rPr>
          <w:rFonts w:ascii="Arial" w:cs="Arial" w:eastAsia="Arial" w:hAnsi="Arial"/>
          <w:sz w:val="17"/>
          <w:szCs w:val="17"/>
          <w:color w:val="4C4C4C"/>
        </w:rPr>
        <w:t>The Board has determined that having an independent Chairman leading the Board is the best board leadership structure for Brighthouse at this time. This structure enhances the Board’s ability to exercise independent oversight of Brighthouse’s management on behalf of its stockholders. Separating the roles of the Chairman and the CEO allows each to focus on their respective duties.</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26 | 2021 Proxy Statement</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Director Independence; Executive Sessions</w:t>
      </w:r>
    </w:p>
    <w:p>
      <w:pPr>
        <w:spacing w:after="0" w:line="200" w:lineRule="exact"/>
        <w:rPr>
          <w:sz w:val="20"/>
          <w:szCs w:val="20"/>
          <w:color w:val="auto"/>
        </w:rPr>
      </w:pPr>
    </w:p>
    <w:p>
      <w:pPr>
        <w:sectPr>
          <w:pgSz w:w="11900" w:h="16838" w:orient="portrait"/>
          <w:cols w:equalWidth="0" w:num="2">
            <w:col w:w="7800" w:space="720"/>
            <w:col w:w="2620"/>
          </w:cols>
          <w:pgMar w:left="320" w:top="459" w:right="439" w:bottom="1440" w:gutter="0" w:footer="0" w:header="0"/>
          <w:type w:val="continuous"/>
        </w:sectPr>
      </w:pPr>
    </w:p>
    <w:p>
      <w:pPr>
        <w:spacing w:after="0" w:line="59"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4C4C4C"/>
        </w:rPr>
        <w:t>Our Chairman’s duties and responsibilities focus on promoting sound corporate governance practices, fostering a culture of effective oversight on behalf of our stockholders, and overseeing management’s development and execution of the Company’s business strategies. These duties include:</w:t>
      </w:r>
    </w:p>
    <w:p>
      <w:pPr>
        <w:ind w:left="340" w:hanging="224"/>
        <w:spacing w:after="0" w:line="237"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providing thought leadership for the Board, through understanding the views of our Directors, stockholders, and management;</w:t>
      </w:r>
    </w:p>
    <w:p>
      <w:pPr>
        <w:ind w:left="34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representing the Board in engagements with our stockholders;</w:t>
      </w:r>
    </w:p>
    <w:p>
      <w:pPr>
        <w:ind w:left="34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setting the agenda for Board meetings with input from the CEO;</w:t>
      </w:r>
    </w:p>
    <w:p>
      <w:pPr>
        <w:ind w:left="34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presiding over Board meetings and executive sessions of the Independent Directors;</w:t>
      </w:r>
    </w:p>
    <w:p>
      <w:pPr>
        <w:ind w:left="340" w:right="76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promoting effective communication and serving as the primary conduit between the Board and the CEO and other members of management;</w:t>
      </w:r>
    </w:p>
    <w:p>
      <w:pPr>
        <w:spacing w:after="0" w:line="1" w:lineRule="exact"/>
        <w:rPr>
          <w:rFonts w:ascii="Arial" w:cs="Arial" w:eastAsia="Arial" w:hAnsi="Arial"/>
          <w:sz w:val="18"/>
          <w:szCs w:val="18"/>
          <w:color w:val="4C4C4C"/>
        </w:rPr>
      </w:pPr>
    </w:p>
    <w:p>
      <w:pPr>
        <w:ind w:left="340" w:right="114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setting the tone of Board discussions to promote a Board culture of the highest level of integrity, active engagement, open communication, constructive debate, and effective decision-making;</w:t>
      </w:r>
    </w:p>
    <w:p>
      <w:pPr>
        <w:spacing w:after="0" w:line="1" w:lineRule="exact"/>
        <w:rPr>
          <w:rFonts w:ascii="Arial" w:cs="Arial" w:eastAsia="Arial" w:hAnsi="Arial"/>
          <w:sz w:val="18"/>
          <w:szCs w:val="18"/>
          <w:color w:val="4C4C4C"/>
        </w:rPr>
      </w:pPr>
    </w:p>
    <w:p>
      <w:pPr>
        <w:ind w:left="340" w:right="12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establishing a close relationship of trust with the CEO, providing support and advice while respecting the executive responsibility of the CEO;</w:t>
      </w:r>
    </w:p>
    <w:p>
      <w:pPr>
        <w:spacing w:after="0" w:line="1" w:lineRule="exact"/>
        <w:rPr>
          <w:rFonts w:ascii="Arial" w:cs="Arial" w:eastAsia="Arial" w:hAnsi="Arial"/>
          <w:sz w:val="18"/>
          <w:szCs w:val="18"/>
          <w:color w:val="4C4C4C"/>
        </w:rPr>
      </w:pPr>
    </w:p>
    <w:p>
      <w:pPr>
        <w:ind w:left="340" w:hanging="224"/>
        <w:spacing w:after="0" w:line="234"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consulting with the Compensation and Human Capital Committee in its oversight of CEO and management succession planning; and</w:t>
      </w:r>
    </w:p>
    <w:p>
      <w:pPr>
        <w:ind w:left="340" w:right="500" w:hanging="224"/>
        <w:spacing w:after="0" w:line="246" w:lineRule="auto"/>
        <w:tabs>
          <w:tab w:leader="none" w:pos="340" w:val="left"/>
        </w:tabs>
        <w:numPr>
          <w:ilvl w:val="0"/>
          <w:numId w:val="112"/>
        </w:numPr>
        <w:rPr>
          <w:rFonts w:ascii="Arial" w:cs="Arial" w:eastAsia="Arial" w:hAnsi="Arial"/>
          <w:sz w:val="18"/>
          <w:szCs w:val="18"/>
          <w:color w:val="4C4C4C"/>
        </w:rPr>
      </w:pPr>
      <w:r>
        <w:rPr>
          <w:rFonts w:ascii="Arial" w:cs="Arial" w:eastAsia="Arial" w:hAnsi="Arial"/>
          <w:sz w:val="18"/>
          <w:szCs w:val="18"/>
          <w:color w:val="4C4C4C"/>
        </w:rPr>
        <w:t>with the Chair of the Nominating and Corporate Governance Committee, reviewing Committee and Committee chair assignments, leading recruitment of Director candidates, and overseeing annual evaluations for the Board and its Committees.</w:t>
      </w:r>
    </w:p>
    <w:p>
      <w:pPr>
        <w:spacing w:after="0" w:line="89" w:lineRule="exact"/>
        <w:rPr>
          <w:sz w:val="20"/>
          <w:szCs w:val="20"/>
          <w:color w:val="auto"/>
        </w:rPr>
      </w:pPr>
    </w:p>
    <w:p>
      <w:pPr>
        <w:ind w:left="120" w:right="160"/>
        <w:spacing w:after="0"/>
        <w:rPr>
          <w:sz w:val="20"/>
          <w:szCs w:val="20"/>
          <w:color w:val="auto"/>
        </w:rPr>
      </w:pPr>
      <w:r>
        <w:rPr>
          <w:rFonts w:ascii="Arial" w:cs="Arial" w:eastAsia="Arial" w:hAnsi="Arial"/>
          <w:sz w:val="18"/>
          <w:szCs w:val="18"/>
          <w:color w:val="4C4C4C"/>
        </w:rPr>
        <w:t>The Board has elected Mr. Chaplin to serve as Chairman on the basis of his independence from management, his experience as president, chief financial officer and chief administrative officer of a major financial services company, experience as a director of a public company, leadership skills, and ability to devote the time and effort to effectively oversee Brighthouse.</w:t>
      </w:r>
    </w:p>
    <w:p>
      <w:pPr>
        <w:spacing w:after="0" w:line="95"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4C4C4C"/>
        </w:rPr>
        <w:t>Mr. Steigerwalt, Brighthouse’s President and CEO, also serves as a Director. Mr. Steigerwalt works closely with the Chairman to help focus the Board on matters of strategic importance for Brighthouse.</w:t>
      </w:r>
    </w:p>
    <w:p>
      <w:pPr>
        <w:spacing w:after="0" w:line="8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4C4C4C"/>
        </w:rPr>
        <w:t>The Board believes it is important to retain its flexibility to allocate the responsibilities of the Chairman of the Board in the best interests of the Company and will continue to evaluate the best leadership structure for Brighthouse as it evolves.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Director Independence</w:t>
      </w:r>
    </w:p>
    <w:p>
      <w:pPr>
        <w:spacing w:after="0" w:line="125" w:lineRule="exact"/>
        <w:rPr>
          <w:sz w:val="20"/>
          <w:szCs w:val="20"/>
          <w:color w:val="auto"/>
        </w:rPr>
      </w:pPr>
    </w:p>
    <w:p>
      <w:pPr>
        <w:ind w:left="120" w:right="100"/>
        <w:spacing w:after="0" w:line="252" w:lineRule="auto"/>
        <w:rPr>
          <w:sz w:val="20"/>
          <w:szCs w:val="20"/>
          <w:color w:val="auto"/>
        </w:rPr>
      </w:pPr>
      <w:r>
        <w:rPr>
          <w:rFonts w:ascii="Arial" w:cs="Arial" w:eastAsia="Arial" w:hAnsi="Arial"/>
          <w:sz w:val="17"/>
          <w:szCs w:val="17"/>
          <w:color w:val="4C4C4C"/>
        </w:rPr>
        <w:t>Our Board annually considers whether our Directors are independent in accordance with applicable Nasdaq and Exchange Act rules. An “</w:t>
      </w:r>
      <w:r>
        <w:rPr>
          <w:rFonts w:ascii="Arial" w:cs="Arial" w:eastAsia="Arial" w:hAnsi="Arial"/>
          <w:sz w:val="17"/>
          <w:szCs w:val="17"/>
          <w:b w:val="1"/>
          <w:bCs w:val="1"/>
          <w:color w:val="00ADBB"/>
        </w:rPr>
        <w:t>Independent Director</w:t>
      </w:r>
      <w:r>
        <w:rPr>
          <w:rFonts w:ascii="Arial" w:cs="Arial" w:eastAsia="Arial" w:hAnsi="Arial"/>
          <w:sz w:val="17"/>
          <w:szCs w:val="17"/>
          <w:color w:val="4C4C4C"/>
        </w:rPr>
        <w:t>” is a Director who the Board has affirmatively determined (i) is independent of management and free from any material relationship with the Company and its subsidiaries (either directly or as a partner, stockholder, or officer of an organization that has a relationship with the Company or its subsidiaries) that would interfere with the exercise of the Director’s independent judgment as a member of the Board and (ii) meets the independence standards for directors set forth in the Nasdaq listing standards and applicable Exchange Act rules. Our Board has determined that all our Directors, except for Mr. Steigerwalt, our President and CEO, are Independent Directors. In making this determination, the Board considers relevant information provided by the Directors about their and their family members’ business and professional relationships with Brighthouse and with entities that have business interactions with Brighthouse.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Executive Sessions</w:t>
      </w:r>
    </w:p>
    <w:p>
      <w:pPr>
        <w:spacing w:after="0" w:line="125" w:lineRule="exact"/>
        <w:rPr>
          <w:sz w:val="20"/>
          <w:szCs w:val="20"/>
          <w:color w:val="auto"/>
        </w:rPr>
      </w:pPr>
    </w:p>
    <w:p>
      <w:pPr>
        <w:ind w:left="120" w:right="340"/>
        <w:spacing w:after="0"/>
        <w:rPr>
          <w:sz w:val="20"/>
          <w:szCs w:val="20"/>
          <w:color w:val="auto"/>
        </w:rPr>
      </w:pPr>
      <w:r>
        <w:rPr>
          <w:rFonts w:ascii="Arial" w:cs="Arial" w:eastAsia="Arial" w:hAnsi="Arial"/>
          <w:sz w:val="18"/>
          <w:szCs w:val="18"/>
          <w:color w:val="4C4C4C"/>
        </w:rPr>
        <w:t>As part of our Board meetings, the Independent Directors meet regularly (and at least twice annually) in executive session without management present. The Chairman presides over these executive sessions. In addition, each Committee typically holds an executive session as part of its regular meeting, which is presided over by the Committee Chair.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27</w:t>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Stockholder Engagement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2"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0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Stockholder Engagement</w:t>
      </w:r>
    </w:p>
    <w:p>
      <w:pPr>
        <w:spacing w:after="0" w:line="125"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4C4C4C"/>
        </w:rPr>
        <w:t>Management has worked with our Board, and our Nominating and Corporate Governance Committee in particular, to develop a robust and proactive stockholder engagement program. Our Chairman is available to engage with stockholders and has met with several stockholders in recent years. In our engagements, we aim to foster constructive dialogue in which we communicate the perspectives of management and the Board on the issues that are important to our stockholders and solicit our stockholders’ insights and feedback, which the Board considers in developing our governance and compensation practices. Our stockholder engagement program comprises a year-round cycle of communication, feedback, and action, which is described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147320</wp:posOffset>
            </wp:positionV>
            <wp:extent cx="5743575" cy="39344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357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28 | 2021 Proxy Statement</w:t>
      </w:r>
    </w:p>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Board and Corporate Governance Practices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Stockholder Engagement</w:t>
      </w:r>
    </w:p>
    <w:p>
      <w:pPr>
        <w:spacing w:after="0" w:line="22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b w:val="1"/>
          <w:bCs w:val="1"/>
          <w:color w:val="3F3F3F"/>
        </w:rPr>
        <w:t xml:space="preserve">2020-2021 Engagement </w:t>
      </w:r>
      <w:r>
        <w:rPr>
          <w:rFonts w:ascii="Arial" w:cs="Arial" w:eastAsia="Arial" w:hAnsi="Arial"/>
          <w:sz w:val="18"/>
          <w:szCs w:val="18"/>
          <w:color w:val="4C4C4C"/>
        </w:rPr>
        <w:t>– During the fourth quarter of 2020 and the first quarter of 2021, we invited 27 of our largest stockholders,</w:t>
      </w:r>
      <w:r>
        <w:rPr>
          <w:rFonts w:ascii="Arial" w:cs="Arial" w:eastAsia="Arial" w:hAnsi="Arial"/>
          <w:sz w:val="18"/>
          <w:szCs w:val="18"/>
          <w:b w:val="1"/>
          <w:bCs w:val="1"/>
          <w:color w:val="3F3F3F"/>
        </w:rPr>
        <w:t xml:space="preserve"> </w:t>
      </w:r>
      <w:r>
        <w:rPr>
          <w:rFonts w:ascii="Arial" w:cs="Arial" w:eastAsia="Arial" w:hAnsi="Arial"/>
          <w:sz w:val="18"/>
          <w:szCs w:val="18"/>
          <w:color w:val="4C4C4C"/>
        </w:rPr>
        <w:t>owning approximately 60% of our Shares (at that time), to engage with us, and met with eight of those stockholders, representing approximately 28% of our Shares (at that time). We also met with Glass Lewis, a major proxy advisory firm. In each engagement, we discussed and solicited feedback on our strategy, response to the COVID-19 pandemic, Board composition, governance practices, and executive compensation program. However, the topic that we discussed most intensively was our sustainability journey, including how we are assessing the areas that are most significant to our Company and our plans to enhance our sustainability disclosures, particularly in the areas of human capital management and DE&amp;I. The following table highlights feedback we received from our stockholders, which our Corporate Secretary and other members of management discussed with the Board, the Nominating and Corporate Governance Committee, and the Compensation and Human Capital Committee, and how we have addressed it (for a detailed discussion of stockholder feedback regarding our executive compensation program, see “</w:t>
      </w:r>
      <w:r>
        <w:rPr>
          <w:rFonts w:ascii="Arial" w:cs="Arial" w:eastAsia="Arial" w:hAnsi="Arial"/>
          <w:sz w:val="18"/>
          <w:szCs w:val="18"/>
          <w:color w:val="4CC5CF"/>
        </w:rPr>
        <w:t>Compensation Discussion &amp; Analysis – Section 4 – 2020</w:t>
      </w:r>
      <w:r>
        <w:rPr>
          <w:rFonts w:ascii="Arial" w:cs="Arial" w:eastAsia="Arial" w:hAnsi="Arial"/>
          <w:sz w:val="18"/>
          <w:szCs w:val="18"/>
          <w:color w:val="4C4C4C"/>
        </w:rPr>
        <w:t xml:space="preserve"> </w:t>
      </w:r>
      <w:r>
        <w:rPr>
          <w:rFonts w:ascii="Arial" w:cs="Arial" w:eastAsia="Arial" w:hAnsi="Arial"/>
          <w:sz w:val="18"/>
          <w:szCs w:val="18"/>
          <w:color w:val="4CC5CF"/>
        </w:rPr>
        <w:t>Compensation Program Overview</w:t>
      </w:r>
      <w:r>
        <w:rPr>
          <w:rFonts w:ascii="Arial" w:cs="Arial" w:eastAsia="Arial" w:hAnsi="Arial"/>
          <w:sz w:val="18"/>
          <w:szCs w:val="18"/>
          <w:color w:val="4C4C4C"/>
        </w:rPr>
        <w:t>”).</w:t>
      </w:r>
    </w:p>
    <w:p>
      <w:pPr>
        <w:sectPr>
          <w:pgSz w:w="11900" w:h="16838" w:orient="portrait"/>
          <w:cols w:equalWidth="0" w:num="1">
            <w:col w:w="11140"/>
          </w:cols>
          <w:pgMar w:left="320" w:top="459" w:right="439" w:bottom="1440" w:gutter="0" w:footer="0" w:header="0"/>
        </w:sect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ADBB"/>
        </w:rPr>
        <w:t>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13373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11" w:lineRule="exact"/>
        <w:rPr>
          <w:sz w:val="20"/>
          <w:szCs w:val="20"/>
          <w:color w:val="auto"/>
        </w:rPr>
      </w:pPr>
    </w:p>
    <w:p>
      <w:pPr>
        <w:ind w:left="120" w:right="220"/>
        <w:spacing w:after="0" w:line="239" w:lineRule="auto"/>
        <w:rPr>
          <w:sz w:val="20"/>
          <w:szCs w:val="20"/>
          <w:color w:val="auto"/>
        </w:rPr>
      </w:pPr>
      <w:r>
        <w:rPr>
          <w:rFonts w:ascii="Arial" w:cs="Arial" w:eastAsia="Arial" w:hAnsi="Arial"/>
          <w:sz w:val="20"/>
          <w:szCs w:val="20"/>
          <w:b w:val="1"/>
          <w:bCs w:val="1"/>
          <w:color w:val="4C4C4C"/>
        </w:rPr>
        <w:t>Sustainability and ESG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line="284" w:lineRule="auto"/>
        <w:rPr>
          <w:sz w:val="20"/>
          <w:szCs w:val="20"/>
          <w:color w:val="auto"/>
        </w:rPr>
      </w:pPr>
      <w:r>
        <w:rPr>
          <w:rFonts w:ascii="Arial" w:cs="Arial" w:eastAsia="Arial" w:hAnsi="Arial"/>
          <w:sz w:val="19"/>
          <w:szCs w:val="19"/>
          <w:b w:val="1"/>
          <w:bCs w:val="1"/>
          <w:color w:val="4C4C4C"/>
        </w:rPr>
        <w:t>COVID-19 Pandemic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-327025</wp:posOffset>
            </wp:positionV>
            <wp:extent cx="133731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133731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133731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right="100"/>
        <w:spacing w:after="0" w:line="284" w:lineRule="auto"/>
        <w:rPr>
          <w:sz w:val="20"/>
          <w:szCs w:val="20"/>
          <w:color w:val="auto"/>
        </w:rPr>
      </w:pPr>
      <w:r>
        <w:rPr>
          <w:rFonts w:ascii="Arial" w:cs="Arial" w:eastAsia="Arial" w:hAnsi="Arial"/>
          <w:sz w:val="19"/>
          <w:szCs w:val="19"/>
          <w:b w:val="1"/>
          <w:bCs w:val="1"/>
          <w:color w:val="4C4C4C"/>
        </w:rPr>
        <w:t>Virtual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133731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3731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-327025</wp:posOffset>
            </wp:positionV>
            <wp:extent cx="13373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00ADBB"/>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264858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0" w:lineRule="exact"/>
        <w:rPr>
          <w:sz w:val="20"/>
          <w:szCs w:val="20"/>
          <w:color w:val="auto"/>
        </w:rPr>
      </w:pPr>
    </w:p>
    <w:p>
      <w:pPr>
        <w:ind w:left="181" w:right="120" w:hanging="181"/>
        <w:spacing w:after="0" w:line="234" w:lineRule="auto"/>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Brighthouse has developed an appropriate plan to build its sustainability program.</w:t>
      </w:r>
    </w:p>
    <w:p>
      <w:pPr>
        <w:spacing w:after="0" w:line="1" w:lineRule="exact"/>
        <w:rPr>
          <w:rFonts w:ascii="Arial" w:cs="Arial" w:eastAsia="Arial" w:hAnsi="Arial"/>
          <w:sz w:val="18"/>
          <w:szCs w:val="18"/>
          <w:color w:val="4C4C4C"/>
        </w:rPr>
      </w:pPr>
    </w:p>
    <w:p>
      <w:pPr>
        <w:ind w:left="181" w:right="40" w:hanging="181"/>
        <w:spacing w:after="0" w:line="238" w:lineRule="auto"/>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Brighthouse should seek to disclose ESG practices that are most significant to the Company and in line with stakeholder expectations, particularly in the areas of human capital management and diversity and inclusion.</w:t>
      </w:r>
    </w:p>
    <w:p>
      <w:pPr>
        <w:spacing w:after="0" w:line="26" w:lineRule="exact"/>
        <w:rPr>
          <w:rFonts w:ascii="Arial" w:cs="Arial" w:eastAsia="Arial" w:hAnsi="Arial"/>
          <w:sz w:val="18"/>
          <w:szCs w:val="18"/>
          <w:color w:val="4C4C4C"/>
        </w:rPr>
      </w:pPr>
    </w:p>
    <w:p>
      <w:pPr>
        <w:ind w:left="181" w:right="80" w:hanging="181"/>
        <w:spacing w:after="0" w:line="238" w:lineRule="auto"/>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It is important for us to discuss our actions in response to the pandemic, including impacts on our strategy, employees, business continuity, and customers.</w:t>
      </w:r>
    </w:p>
    <w:p>
      <w:pPr>
        <w:spacing w:after="0" w:line="15" w:lineRule="exact"/>
        <w:rPr>
          <w:rFonts w:ascii="Arial" w:cs="Arial" w:eastAsia="Arial" w:hAnsi="Arial"/>
          <w:sz w:val="18"/>
          <w:szCs w:val="18"/>
          <w:color w:val="4C4C4C"/>
        </w:rPr>
      </w:pPr>
    </w:p>
    <w:p>
      <w:pPr>
        <w:ind w:left="181" w:right="120" w:hanging="181"/>
        <w:spacing w:after="0" w:line="234" w:lineRule="auto"/>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Our Board composition reflects strong diversity, including an appropriate mix of skills, experiences, backgrounds, and demographic diversity traits, which support generating diversity of thought.</w:t>
      </w:r>
    </w:p>
    <w:p>
      <w:pPr>
        <w:spacing w:after="0" w:line="3" w:lineRule="exact"/>
        <w:rPr>
          <w:rFonts w:ascii="Arial" w:cs="Arial" w:eastAsia="Arial" w:hAnsi="Arial"/>
          <w:sz w:val="18"/>
          <w:szCs w:val="18"/>
          <w:color w:val="4C4C4C"/>
        </w:rPr>
      </w:pPr>
    </w:p>
    <w:p>
      <w:pPr>
        <w:ind w:left="181" w:right="260" w:hanging="181"/>
        <w:spacing w:after="0"/>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Our Directors do no not appear to have excessive commitments that may impact their ability to focus on Brighthouse.</w:t>
      </w:r>
    </w:p>
    <w:p>
      <w:pPr>
        <w:spacing w:after="0" w:line="27" w:lineRule="exact"/>
        <w:rPr>
          <w:rFonts w:ascii="Arial" w:cs="Arial" w:eastAsia="Arial" w:hAnsi="Arial"/>
          <w:sz w:val="18"/>
          <w:szCs w:val="18"/>
          <w:color w:val="4C4C4C"/>
        </w:rPr>
      </w:pPr>
    </w:p>
    <w:p>
      <w:pPr>
        <w:ind w:left="181" w:right="380" w:hanging="181"/>
        <w:spacing w:after="0" w:line="248" w:lineRule="auto"/>
        <w:tabs>
          <w:tab w:leader="none" w:pos="165" w:val="left"/>
        </w:tabs>
        <w:numPr>
          <w:ilvl w:val="0"/>
          <w:numId w:val="113"/>
        </w:numPr>
        <w:rPr>
          <w:rFonts w:ascii="Arial" w:cs="Arial" w:eastAsia="Arial" w:hAnsi="Arial"/>
          <w:sz w:val="17"/>
          <w:szCs w:val="17"/>
          <w:color w:val="4C4C4C"/>
        </w:rPr>
      </w:pPr>
      <w:r>
        <w:rPr>
          <w:rFonts w:ascii="Arial" w:cs="Arial" w:eastAsia="Arial" w:hAnsi="Arial"/>
          <w:sz w:val="17"/>
          <w:szCs w:val="17"/>
          <w:color w:val="4C4C4C"/>
        </w:rPr>
        <w:t>Brighthouse has a reasonable and balanced governance profile, given its position as a recently independent, public company.</w:t>
      </w:r>
    </w:p>
    <w:p>
      <w:pPr>
        <w:spacing w:after="0" w:line="1" w:lineRule="exact"/>
        <w:rPr>
          <w:rFonts w:ascii="Arial" w:cs="Arial" w:eastAsia="Arial" w:hAnsi="Arial"/>
          <w:sz w:val="17"/>
          <w:szCs w:val="17"/>
          <w:color w:val="4C4C4C"/>
        </w:rPr>
      </w:pPr>
    </w:p>
    <w:p>
      <w:pPr>
        <w:ind w:left="181" w:right="20" w:hanging="181"/>
        <w:spacing w:after="0"/>
        <w:tabs>
          <w:tab w:leader="none" w:pos="165" w:val="left"/>
        </w:tabs>
        <w:numPr>
          <w:ilvl w:val="0"/>
          <w:numId w:val="113"/>
        </w:numPr>
        <w:rPr>
          <w:rFonts w:ascii="Arial" w:cs="Arial" w:eastAsia="Arial" w:hAnsi="Arial"/>
          <w:sz w:val="18"/>
          <w:szCs w:val="18"/>
          <w:color w:val="4C4C4C"/>
        </w:rPr>
      </w:pPr>
      <w:r>
        <w:rPr>
          <w:rFonts w:ascii="Arial" w:cs="Arial" w:eastAsia="Arial" w:hAnsi="Arial"/>
          <w:sz w:val="18"/>
          <w:szCs w:val="18"/>
          <w:color w:val="4C4C4C"/>
        </w:rPr>
        <w:t>Brighthouse should regularly assess its governance practices to ensure that they remain appropriate over time.</w:t>
      </w:r>
    </w:p>
    <w:p>
      <w:pPr>
        <w:spacing w:after="0" w:line="27" w:lineRule="exact"/>
        <w:rPr>
          <w:rFonts w:ascii="Arial" w:cs="Arial" w:eastAsia="Arial" w:hAnsi="Arial"/>
          <w:sz w:val="18"/>
          <w:szCs w:val="18"/>
          <w:color w:val="4C4C4C"/>
        </w:rPr>
      </w:pPr>
    </w:p>
    <w:p>
      <w:pPr>
        <w:ind w:left="181" w:hanging="181"/>
        <w:spacing w:after="0" w:line="261" w:lineRule="auto"/>
        <w:tabs>
          <w:tab w:leader="none" w:pos="165" w:val="left"/>
        </w:tabs>
        <w:numPr>
          <w:ilvl w:val="0"/>
          <w:numId w:val="113"/>
        </w:numPr>
        <w:rPr>
          <w:rFonts w:ascii="Arial" w:cs="Arial" w:eastAsia="Arial" w:hAnsi="Arial"/>
          <w:sz w:val="17"/>
          <w:szCs w:val="17"/>
          <w:color w:val="4C4C4C"/>
        </w:rPr>
      </w:pPr>
      <w:r>
        <w:rPr>
          <w:rFonts w:ascii="Arial" w:cs="Arial" w:eastAsia="Arial" w:hAnsi="Arial"/>
          <w:sz w:val="17"/>
          <w:szCs w:val="17"/>
          <w:color w:val="4C4C4C"/>
        </w:rPr>
        <w:t>Brighthouse should continue to conduct our virtual annual stockholder meetings in a way that protects stockholders’ ability to participate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238760</wp:posOffset>
            </wp:positionV>
            <wp:extent cx="264858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4858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-421005</wp:posOffset>
            </wp:positionV>
            <wp:extent cx="264858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4858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-1217930</wp:posOffset>
            </wp:positionV>
            <wp:extent cx="264858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4858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-2272665</wp:posOffset>
            </wp:positionV>
            <wp:extent cx="264858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4858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-2804160</wp:posOffset>
            </wp:positionV>
            <wp:extent cx="264858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ADBB"/>
        </w:rPr>
        <w:t>What we’re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8890</wp:posOffset>
            </wp:positionV>
            <wp:extent cx="27260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20" w:lineRule="exact"/>
        <w:rPr>
          <w:sz w:val="20"/>
          <w:szCs w:val="20"/>
          <w:color w:val="auto"/>
        </w:rPr>
      </w:pPr>
    </w:p>
    <w:p>
      <w:pPr>
        <w:ind w:left="180" w:right="60" w:hanging="173"/>
        <w:spacing w:after="0" w:line="248" w:lineRule="auto"/>
        <w:tabs>
          <w:tab w:leader="none" w:pos="164" w:val="left"/>
        </w:tabs>
        <w:numPr>
          <w:ilvl w:val="0"/>
          <w:numId w:val="114"/>
        </w:numPr>
        <w:rPr>
          <w:rFonts w:ascii="Arial" w:cs="Arial" w:eastAsia="Arial" w:hAnsi="Arial"/>
          <w:sz w:val="17"/>
          <w:szCs w:val="17"/>
          <w:color w:val="4C4C4C"/>
        </w:rPr>
      </w:pPr>
      <w:r>
        <w:rPr>
          <w:rFonts w:ascii="Arial" w:cs="Arial" w:eastAsia="Arial" w:hAnsi="Arial"/>
          <w:sz w:val="17"/>
          <w:szCs w:val="17"/>
          <w:color w:val="4C4C4C"/>
        </w:rPr>
        <w:t>Our Board and management have been focused on developing our sustainability program and enhanced ESG disclosures (see “</w:t>
      </w:r>
      <w:r>
        <w:rPr>
          <w:rFonts w:ascii="Arial" w:cs="Arial" w:eastAsia="Arial" w:hAnsi="Arial"/>
          <w:sz w:val="17"/>
          <w:szCs w:val="17"/>
          <w:color w:val="00ADBB"/>
        </w:rPr>
        <w:t>Proxy Summary</w:t>
      </w:r>
    </w:p>
    <w:p>
      <w:pPr>
        <w:spacing w:after="0" w:line="1" w:lineRule="exact"/>
        <w:rPr>
          <w:rFonts w:ascii="Arial" w:cs="Arial" w:eastAsia="Arial" w:hAnsi="Arial"/>
          <w:sz w:val="17"/>
          <w:szCs w:val="17"/>
          <w:color w:val="4C4C4C"/>
        </w:rPr>
      </w:pPr>
    </w:p>
    <w:p>
      <w:pPr>
        <w:ind w:left="180"/>
        <w:spacing w:after="0"/>
        <w:rPr>
          <w:rFonts w:ascii="Arial" w:cs="Arial" w:eastAsia="Arial" w:hAnsi="Arial"/>
          <w:sz w:val="17"/>
          <w:szCs w:val="17"/>
          <w:color w:val="4C4C4C"/>
        </w:rPr>
      </w:pPr>
      <w:r>
        <w:rPr>
          <w:rFonts w:ascii="Arial" w:cs="Arial" w:eastAsia="Arial" w:hAnsi="Arial"/>
          <w:sz w:val="18"/>
          <w:szCs w:val="18"/>
          <w:color w:val="00ADBB"/>
        </w:rPr>
        <w:t>– Our Sustainability Journey</w:t>
      </w:r>
      <w:r>
        <w:rPr>
          <w:rFonts w:ascii="Arial" w:cs="Arial" w:eastAsia="Arial" w:hAnsi="Arial"/>
          <w:sz w:val="18"/>
          <w:szCs w:val="18"/>
          <w:color w:val="4C4C4C"/>
        </w:rPr>
        <w:t>”).</w:t>
      </w:r>
    </w:p>
    <w:p>
      <w:pPr>
        <w:spacing w:after="0" w:line="200" w:lineRule="exact"/>
        <w:rPr>
          <w:rFonts w:ascii="Arial" w:cs="Arial" w:eastAsia="Arial" w:hAnsi="Arial"/>
          <w:sz w:val="17"/>
          <w:szCs w:val="17"/>
          <w:color w:val="4C4C4C"/>
        </w:rPr>
      </w:pPr>
    </w:p>
    <w:p>
      <w:pPr>
        <w:spacing w:after="0" w:line="200" w:lineRule="exact"/>
        <w:rPr>
          <w:rFonts w:ascii="Arial" w:cs="Arial" w:eastAsia="Arial" w:hAnsi="Arial"/>
          <w:sz w:val="17"/>
          <w:szCs w:val="17"/>
          <w:color w:val="4C4C4C"/>
        </w:rPr>
      </w:pPr>
    </w:p>
    <w:p>
      <w:pPr>
        <w:spacing w:after="0" w:line="239" w:lineRule="exact"/>
        <w:rPr>
          <w:rFonts w:ascii="Arial" w:cs="Arial" w:eastAsia="Arial" w:hAnsi="Arial"/>
          <w:sz w:val="17"/>
          <w:szCs w:val="17"/>
          <w:color w:val="4C4C4C"/>
        </w:rPr>
      </w:pPr>
    </w:p>
    <w:p>
      <w:pPr>
        <w:ind w:left="180" w:hanging="173"/>
        <w:spacing w:after="0"/>
        <w:tabs>
          <w:tab w:leader="none" w:pos="180" w:val="left"/>
        </w:tabs>
        <w:numPr>
          <w:ilvl w:val="0"/>
          <w:numId w:val="114"/>
        </w:numPr>
        <w:rPr>
          <w:rFonts w:ascii="Arial" w:cs="Arial" w:eastAsia="Arial" w:hAnsi="Arial"/>
          <w:sz w:val="18"/>
          <w:szCs w:val="18"/>
          <w:color w:val="4C4C4C"/>
        </w:rPr>
      </w:pPr>
      <w:r>
        <w:rPr>
          <w:rFonts w:ascii="Arial" w:cs="Arial" w:eastAsia="Arial" w:hAnsi="Arial"/>
          <w:sz w:val="18"/>
          <w:szCs w:val="18"/>
          <w:color w:val="4C4C4C"/>
        </w:rPr>
        <w:t>We discuss our response at (see “</w:t>
      </w:r>
      <w:r>
        <w:rPr>
          <w:rFonts w:ascii="Arial" w:cs="Arial" w:eastAsia="Arial" w:hAnsi="Arial"/>
          <w:sz w:val="18"/>
          <w:szCs w:val="18"/>
          <w:color w:val="00ADBB"/>
        </w:rPr>
        <w:t>Proxy Summary</w:t>
      </w:r>
    </w:p>
    <w:p>
      <w:pPr>
        <w:ind w:left="180"/>
        <w:spacing w:after="0"/>
        <w:rPr>
          <w:rFonts w:ascii="Arial" w:cs="Arial" w:eastAsia="Arial" w:hAnsi="Arial"/>
          <w:sz w:val="18"/>
          <w:szCs w:val="18"/>
          <w:color w:val="4C4C4C"/>
        </w:rPr>
      </w:pPr>
      <w:r>
        <w:rPr>
          <w:rFonts w:ascii="Arial" w:cs="Arial" w:eastAsia="Arial" w:hAnsi="Arial"/>
          <w:sz w:val="18"/>
          <w:szCs w:val="18"/>
          <w:color w:val="00ADBB"/>
        </w:rPr>
        <w:t>– Our Response to the COVID-19 Pandemic</w:t>
      </w:r>
      <w:r>
        <w:rPr>
          <w:rFonts w:ascii="Arial" w:cs="Arial" w:eastAsia="Arial" w:hAnsi="Arial"/>
          <w:sz w:val="18"/>
          <w:szCs w:val="18"/>
          <w:color w:val="4C4C4C"/>
        </w:rPr>
        <w:t>”).</w:t>
      </w:r>
    </w:p>
    <w:p>
      <w:pPr>
        <w:spacing w:after="0" w:line="200" w:lineRule="exact"/>
        <w:rPr>
          <w:rFonts w:ascii="Arial" w:cs="Arial" w:eastAsia="Arial" w:hAnsi="Arial"/>
          <w:sz w:val="18"/>
          <w:szCs w:val="18"/>
          <w:color w:val="4C4C4C"/>
        </w:rPr>
      </w:pPr>
    </w:p>
    <w:p>
      <w:pPr>
        <w:spacing w:after="0" w:line="227" w:lineRule="exact"/>
        <w:rPr>
          <w:rFonts w:ascii="Arial" w:cs="Arial" w:eastAsia="Arial" w:hAnsi="Arial"/>
          <w:sz w:val="18"/>
          <w:szCs w:val="18"/>
          <w:color w:val="4C4C4C"/>
        </w:rPr>
      </w:pPr>
    </w:p>
    <w:p>
      <w:pPr>
        <w:ind w:left="180" w:right="80" w:hanging="173"/>
        <w:spacing w:after="0" w:line="234" w:lineRule="auto"/>
        <w:tabs>
          <w:tab w:leader="none" w:pos="164" w:val="left"/>
        </w:tabs>
        <w:numPr>
          <w:ilvl w:val="0"/>
          <w:numId w:val="114"/>
        </w:numPr>
        <w:rPr>
          <w:rFonts w:ascii="Arial" w:cs="Arial" w:eastAsia="Arial" w:hAnsi="Arial"/>
          <w:sz w:val="18"/>
          <w:szCs w:val="18"/>
          <w:color w:val="4C4C4C"/>
        </w:rPr>
      </w:pPr>
      <w:r>
        <w:rPr>
          <w:rFonts w:ascii="Arial" w:cs="Arial" w:eastAsia="Arial" w:hAnsi="Arial"/>
          <w:sz w:val="18"/>
          <w:szCs w:val="18"/>
          <w:color w:val="4C4C4C"/>
        </w:rPr>
        <w:t>We continue to recruit Directors whose skills align with Brighthouse’s strategy and who add to the overall diversity of our Board (see “</w:t>
      </w:r>
      <w:r>
        <w:rPr>
          <w:rFonts w:ascii="Arial" w:cs="Arial" w:eastAsia="Arial" w:hAnsi="Arial"/>
          <w:sz w:val="18"/>
          <w:szCs w:val="18"/>
          <w:color w:val="00ADBB"/>
        </w:rPr>
        <w:t>– Building Our</w:t>
      </w:r>
      <w:r>
        <w:rPr>
          <w:rFonts w:ascii="Arial" w:cs="Arial" w:eastAsia="Arial" w:hAnsi="Arial"/>
          <w:sz w:val="18"/>
          <w:szCs w:val="18"/>
          <w:color w:val="4C4C4C"/>
        </w:rPr>
        <w:t xml:space="preserve"> </w:t>
      </w:r>
      <w:r>
        <w:rPr>
          <w:rFonts w:ascii="Arial" w:cs="Arial" w:eastAsia="Arial" w:hAnsi="Arial"/>
          <w:sz w:val="18"/>
          <w:szCs w:val="18"/>
          <w:color w:val="00ADBB"/>
        </w:rPr>
        <w:t>Board of Directors</w:t>
      </w:r>
      <w:r>
        <w:rPr>
          <w:rFonts w:ascii="Arial" w:cs="Arial" w:eastAsia="Arial" w:hAnsi="Arial"/>
          <w:sz w:val="18"/>
          <w:szCs w:val="18"/>
          <w:color w:val="4C4C4C"/>
        </w:rPr>
        <w:t>”).</w:t>
      </w:r>
    </w:p>
    <w:p>
      <w:pPr>
        <w:spacing w:after="0" w:line="2" w:lineRule="exact"/>
        <w:rPr>
          <w:rFonts w:ascii="Arial" w:cs="Arial" w:eastAsia="Arial" w:hAnsi="Arial"/>
          <w:sz w:val="18"/>
          <w:szCs w:val="18"/>
          <w:color w:val="4C4C4C"/>
        </w:rPr>
      </w:pPr>
    </w:p>
    <w:p>
      <w:pPr>
        <w:jc w:val="both"/>
        <w:ind w:left="180" w:right="20" w:hanging="173"/>
        <w:spacing w:after="0"/>
        <w:tabs>
          <w:tab w:leader="none" w:pos="164" w:val="left"/>
        </w:tabs>
        <w:numPr>
          <w:ilvl w:val="0"/>
          <w:numId w:val="114"/>
        </w:numPr>
        <w:rPr>
          <w:rFonts w:ascii="Arial" w:cs="Arial" w:eastAsia="Arial" w:hAnsi="Arial"/>
          <w:sz w:val="18"/>
          <w:szCs w:val="18"/>
          <w:color w:val="4C4C4C"/>
        </w:rPr>
      </w:pPr>
      <w:r>
        <w:rPr>
          <w:rFonts w:ascii="Arial" w:cs="Arial" w:eastAsia="Arial" w:hAnsi="Arial"/>
          <w:sz w:val="18"/>
          <w:szCs w:val="18"/>
          <w:color w:val="4C4C4C"/>
        </w:rPr>
        <w:t>We actively monitor our Directors’ commitments to ensure they can exercise appropriate oversight of the Company.</w:t>
      </w:r>
    </w:p>
    <w:p>
      <w:pPr>
        <w:spacing w:after="0" w:line="229" w:lineRule="exact"/>
        <w:rPr>
          <w:rFonts w:ascii="Arial" w:cs="Arial" w:eastAsia="Arial" w:hAnsi="Arial"/>
          <w:sz w:val="18"/>
          <w:szCs w:val="18"/>
          <w:color w:val="4C4C4C"/>
        </w:rPr>
      </w:pPr>
    </w:p>
    <w:p>
      <w:pPr>
        <w:ind w:left="180" w:right="400" w:hanging="173"/>
        <w:spacing w:after="0"/>
        <w:tabs>
          <w:tab w:leader="none" w:pos="164" w:val="left"/>
        </w:tabs>
        <w:numPr>
          <w:ilvl w:val="0"/>
          <w:numId w:val="114"/>
        </w:numPr>
        <w:rPr>
          <w:rFonts w:ascii="Arial" w:cs="Arial" w:eastAsia="Arial" w:hAnsi="Arial"/>
          <w:sz w:val="18"/>
          <w:szCs w:val="18"/>
          <w:color w:val="4C4C4C"/>
        </w:rPr>
      </w:pPr>
      <w:r>
        <w:rPr>
          <w:rFonts w:ascii="Arial" w:cs="Arial" w:eastAsia="Arial" w:hAnsi="Arial"/>
          <w:sz w:val="18"/>
          <w:szCs w:val="18"/>
          <w:color w:val="4C4C4C"/>
        </w:rPr>
        <w:t>Our Board regularly reviews our governance practices and considers whether to adopt any changes.</w:t>
      </w:r>
    </w:p>
    <w:p>
      <w:pPr>
        <w:spacing w:after="0" w:line="200" w:lineRule="exact"/>
        <w:rPr>
          <w:rFonts w:ascii="Arial" w:cs="Arial" w:eastAsia="Arial" w:hAnsi="Arial"/>
          <w:sz w:val="18"/>
          <w:szCs w:val="18"/>
          <w:color w:val="4C4C4C"/>
        </w:rPr>
      </w:pPr>
    </w:p>
    <w:p>
      <w:pPr>
        <w:spacing w:after="0" w:line="200" w:lineRule="exact"/>
        <w:rPr>
          <w:rFonts w:ascii="Arial" w:cs="Arial" w:eastAsia="Arial" w:hAnsi="Arial"/>
          <w:sz w:val="18"/>
          <w:szCs w:val="18"/>
          <w:color w:val="4C4C4C"/>
        </w:rPr>
      </w:pPr>
    </w:p>
    <w:p>
      <w:pPr>
        <w:spacing w:after="0" w:line="234" w:lineRule="exact"/>
        <w:rPr>
          <w:rFonts w:ascii="Arial" w:cs="Arial" w:eastAsia="Arial" w:hAnsi="Arial"/>
          <w:sz w:val="18"/>
          <w:szCs w:val="18"/>
          <w:color w:val="4C4C4C"/>
        </w:rPr>
      </w:pPr>
    </w:p>
    <w:p>
      <w:pPr>
        <w:ind w:left="180" w:right="120" w:hanging="173"/>
        <w:spacing w:after="0" w:line="238" w:lineRule="auto"/>
        <w:tabs>
          <w:tab w:leader="none" w:pos="154" w:val="left"/>
        </w:tabs>
        <w:numPr>
          <w:ilvl w:val="0"/>
          <w:numId w:val="114"/>
        </w:numPr>
        <w:rPr>
          <w:rFonts w:ascii="Arial" w:cs="Arial" w:eastAsia="Arial" w:hAnsi="Arial"/>
          <w:sz w:val="18"/>
          <w:szCs w:val="18"/>
          <w:color w:val="4C4C4C"/>
        </w:rPr>
      </w:pPr>
      <w:r>
        <w:rPr>
          <w:rFonts w:ascii="Arial" w:cs="Arial" w:eastAsia="Arial" w:hAnsi="Arial"/>
          <w:sz w:val="18"/>
          <w:szCs w:val="18"/>
          <w:color w:val="4C4C4C"/>
        </w:rPr>
        <w:t>At our Annual Meeting, we will continue our practices that protect stockholders’ ability to participate (see “</w:t>
      </w:r>
      <w:r>
        <w:rPr>
          <w:rFonts w:ascii="Arial" w:cs="Arial" w:eastAsia="Arial" w:hAnsi="Arial"/>
          <w:sz w:val="18"/>
          <w:szCs w:val="18"/>
          <w:color w:val="00ADBB"/>
        </w:rPr>
        <w:t>The Annual Meeting, Voting and</w:t>
      </w:r>
      <w:r>
        <w:rPr>
          <w:rFonts w:ascii="Arial" w:cs="Arial" w:eastAsia="Arial" w:hAnsi="Arial"/>
          <w:sz w:val="18"/>
          <w:szCs w:val="18"/>
          <w:color w:val="4C4C4C"/>
        </w:rPr>
        <w:t xml:space="preserve"> </w:t>
      </w:r>
      <w:r>
        <w:rPr>
          <w:rFonts w:ascii="Arial" w:cs="Arial" w:eastAsia="Arial" w:hAnsi="Arial"/>
          <w:sz w:val="18"/>
          <w:szCs w:val="18"/>
          <w:color w:val="00ADBB"/>
        </w:rPr>
        <w:t>Other Information – Attending the Annual Meeting</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-7620</wp:posOffset>
            </wp:positionV>
            <wp:extent cx="27260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260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-667385</wp:posOffset>
            </wp:positionV>
            <wp:extent cx="272605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260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-1464945</wp:posOffset>
            </wp:positionV>
            <wp:extent cx="27260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260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-2519045</wp:posOffset>
            </wp:positionV>
            <wp:extent cx="272605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260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-3050540</wp:posOffset>
            </wp:positionV>
            <wp:extent cx="272605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29</w:t>
      </w:r>
    </w:p>
    <w:p>
      <w:pPr>
        <w:sectPr>
          <w:pgSz w:w="11900" w:h="16838" w:orient="portrait"/>
          <w:cols w:equalWidth="0" w:num="3">
            <w:col w:w="2020" w:space="539"/>
            <w:col w:w="4061" w:space="320"/>
            <w:col w:w="4200"/>
          </w:cols>
          <w:pgMar w:left="320" w:top="459" w:right="4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Board and Corporate Governance Practices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Succession Planning and Talent Management; Risk Oversight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1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Succession Planning and Talent Management</w:t>
      </w:r>
    </w:p>
    <w:p>
      <w:pPr>
        <w:spacing w:after="0" w:line="125" w:lineRule="exact"/>
        <w:rPr>
          <w:sz w:val="20"/>
          <w:szCs w:val="20"/>
          <w:color w:val="auto"/>
        </w:rPr>
      </w:pPr>
    </w:p>
    <w:p>
      <w:pPr>
        <w:ind w:left="280" w:right="300"/>
        <w:spacing w:after="0" w:line="236" w:lineRule="auto"/>
        <w:rPr>
          <w:sz w:val="20"/>
          <w:szCs w:val="20"/>
          <w:color w:val="auto"/>
        </w:rPr>
      </w:pPr>
      <w:r>
        <w:rPr>
          <w:rFonts w:ascii="Arial" w:cs="Arial" w:eastAsia="Arial" w:hAnsi="Arial"/>
          <w:sz w:val="18"/>
          <w:szCs w:val="18"/>
          <w:color w:val="4C4C4C"/>
        </w:rPr>
        <w:t>Succession planning and oversight of our talent management practices, including our actions to promote diversity at all levels of the organization, are central to the Board’s responsibilities. The Compensation and Human Capital Committee oversees the Company’s succession plans for the CEO and other members of senior management, including management’s development of a strong, diverse pipeline of potential successors for leadership positions. The full Board discusses, at least annually, the Company’s succession plans for the CEO and other key executives, including identifying potential candidates to succeed the CEO, both in cases of orderly succession and in the event of an emergency or unexpected departure. To support talent development and allow the Board to meet and assess potential successors, non-executive officers and mid-level management regularly participate and make presentations in Board and Committee meetings. The Board also meets in executive session to discuss whether the Company has the managerial talent to replace current executives should the need arise.</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Risk Oversight</w:t>
      </w:r>
    </w:p>
    <w:p>
      <w:pPr>
        <w:spacing w:after="0" w:line="125"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4C4C4C"/>
        </w:rPr>
        <w:t>We believe effective risk oversight is fundamental to delivering long-term value for our stockholders. Our Board, with the assistance of the Committees, oversees the development and execution of our business strategies to help ensure that risks are appropriately assessed and mitigated, and that our business plans align with our risk appetite. The Board and the Committees review and approve our risk appetite statement, review our significant risk policies, and regularly discuss with management our performance against risk targets and limits.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The Board exercises direct oversight over certain key risks, including the following:</w:t>
      </w:r>
    </w:p>
    <w:p>
      <w:pPr>
        <w:spacing w:after="0" w:line="117" w:lineRule="exact"/>
        <w:rPr>
          <w:sz w:val="20"/>
          <w:szCs w:val="20"/>
          <w:color w:val="auto"/>
        </w:rPr>
      </w:pPr>
    </w:p>
    <w:p>
      <w:pPr>
        <w:ind w:left="480" w:right="400" w:hanging="199"/>
        <w:spacing w:after="0" w:line="234" w:lineRule="auto"/>
        <w:tabs>
          <w:tab w:leader="none" w:pos="480" w:val="left"/>
        </w:tabs>
        <w:numPr>
          <w:ilvl w:val="0"/>
          <w:numId w:val="115"/>
        </w:numPr>
        <w:rPr>
          <w:rFonts w:ascii="Arial" w:cs="Arial" w:eastAsia="Arial" w:hAnsi="Arial"/>
          <w:sz w:val="18"/>
          <w:szCs w:val="18"/>
          <w:color w:val="4C4C4C"/>
        </w:rPr>
      </w:pPr>
      <w:r>
        <w:rPr>
          <w:rFonts w:ascii="Arial" w:cs="Arial" w:eastAsia="Arial" w:hAnsi="Arial"/>
          <w:sz w:val="18"/>
          <w:szCs w:val="18"/>
          <w:color w:val="00ADBB"/>
        </w:rPr>
        <w:t xml:space="preserve">Strategic Risk </w:t>
      </w:r>
      <w:r>
        <w:rPr>
          <w:rFonts w:ascii="Arial" w:cs="Arial" w:eastAsia="Arial" w:hAnsi="Arial"/>
          <w:sz w:val="18"/>
          <w:szCs w:val="18"/>
          <w:color w:val="4C4C4C"/>
        </w:rPr>
        <w:t>– in connection with its annual review of our strategy and ongoing oversight of our performance against such</w:t>
      </w:r>
      <w:r>
        <w:rPr>
          <w:rFonts w:ascii="Arial" w:cs="Arial" w:eastAsia="Arial" w:hAnsi="Arial"/>
          <w:sz w:val="18"/>
          <w:szCs w:val="18"/>
          <w:color w:val="00ADBB"/>
        </w:rPr>
        <w:t xml:space="preserve"> </w:t>
      </w:r>
      <w:r>
        <w:rPr>
          <w:rFonts w:ascii="Arial" w:cs="Arial" w:eastAsia="Arial" w:hAnsi="Arial"/>
          <w:sz w:val="18"/>
          <w:szCs w:val="18"/>
          <w:color w:val="4C4C4C"/>
        </w:rPr>
        <w:t>strategy, the Board oversees the management of strategic risks. In its discussions with the Board, senior management, including the CEO, Chief Operating Officer (“</w:t>
      </w:r>
      <w:r>
        <w:rPr>
          <w:rFonts w:ascii="Arial" w:cs="Arial" w:eastAsia="Arial" w:hAnsi="Arial"/>
          <w:sz w:val="18"/>
          <w:szCs w:val="18"/>
          <w:b w:val="1"/>
          <w:bCs w:val="1"/>
          <w:color w:val="00ADBB"/>
        </w:rPr>
        <w:t>COO</w:t>
      </w:r>
      <w:r>
        <w:rPr>
          <w:rFonts w:ascii="Arial" w:cs="Arial" w:eastAsia="Arial" w:hAnsi="Arial"/>
          <w:sz w:val="18"/>
          <w:szCs w:val="18"/>
          <w:color w:val="4C4C4C"/>
        </w:rPr>
        <w:t>”), Chief Financial Officer (“</w:t>
      </w:r>
      <w:r>
        <w:rPr>
          <w:rFonts w:ascii="Arial" w:cs="Arial" w:eastAsia="Arial" w:hAnsi="Arial"/>
          <w:sz w:val="18"/>
          <w:szCs w:val="18"/>
          <w:b w:val="1"/>
          <w:bCs w:val="1"/>
          <w:color w:val="00ADBB"/>
        </w:rPr>
        <w:t>CFO</w:t>
      </w:r>
      <w:r>
        <w:rPr>
          <w:rFonts w:ascii="Arial" w:cs="Arial" w:eastAsia="Arial" w:hAnsi="Arial"/>
          <w:sz w:val="18"/>
          <w:szCs w:val="18"/>
          <w:color w:val="4C4C4C"/>
        </w:rPr>
        <w:t>”), Chief Risk Officer (“</w:t>
      </w:r>
      <w:r>
        <w:rPr>
          <w:rFonts w:ascii="Arial" w:cs="Arial" w:eastAsia="Arial" w:hAnsi="Arial"/>
          <w:sz w:val="18"/>
          <w:szCs w:val="18"/>
          <w:b w:val="1"/>
          <w:bCs w:val="1"/>
          <w:color w:val="00ADBB"/>
        </w:rPr>
        <w:t>CRO</w:t>
      </w:r>
      <w:r>
        <w:rPr>
          <w:rFonts w:ascii="Arial" w:cs="Arial" w:eastAsia="Arial" w:hAnsi="Arial"/>
          <w:sz w:val="18"/>
          <w:szCs w:val="18"/>
          <w:color w:val="4C4C4C"/>
        </w:rPr>
        <w:t>”), and Chief Distribution and Marketing Officer, reviews the key risks relating to the execution of our strategy and describes management’s activities to identify, assess, and mitigate such risks.</w:t>
      </w:r>
    </w:p>
    <w:p>
      <w:pPr>
        <w:spacing w:after="0" w:line="3" w:lineRule="exact"/>
        <w:rPr>
          <w:rFonts w:ascii="Arial" w:cs="Arial" w:eastAsia="Arial" w:hAnsi="Arial"/>
          <w:sz w:val="18"/>
          <w:szCs w:val="18"/>
          <w:color w:val="4C4C4C"/>
        </w:rPr>
      </w:pPr>
    </w:p>
    <w:p>
      <w:pPr>
        <w:ind w:left="480" w:right="340" w:hanging="199"/>
        <w:spacing w:after="0" w:line="234" w:lineRule="auto"/>
        <w:tabs>
          <w:tab w:leader="none" w:pos="480" w:val="left"/>
        </w:tabs>
        <w:numPr>
          <w:ilvl w:val="0"/>
          <w:numId w:val="115"/>
        </w:numPr>
        <w:rPr>
          <w:rFonts w:ascii="Arial" w:cs="Arial" w:eastAsia="Arial" w:hAnsi="Arial"/>
          <w:sz w:val="18"/>
          <w:szCs w:val="18"/>
          <w:color w:val="4C4C4C"/>
        </w:rPr>
      </w:pPr>
      <w:r>
        <w:rPr>
          <w:rFonts w:ascii="Arial" w:cs="Arial" w:eastAsia="Arial" w:hAnsi="Arial"/>
          <w:sz w:val="18"/>
          <w:szCs w:val="18"/>
          <w:color w:val="00ADBB"/>
        </w:rPr>
        <w:t xml:space="preserve">Enterprise Risk </w:t>
      </w:r>
      <w:r>
        <w:rPr>
          <w:rFonts w:ascii="Arial" w:cs="Arial" w:eastAsia="Arial" w:hAnsi="Arial"/>
          <w:sz w:val="18"/>
          <w:szCs w:val="18"/>
          <w:color w:val="4C4C4C"/>
        </w:rPr>
        <w:t>– in connection with each regular meeting of the Board and the Committees, the CRO prepares an enterprise risk</w:t>
      </w:r>
      <w:r>
        <w:rPr>
          <w:rFonts w:ascii="Arial" w:cs="Arial" w:eastAsia="Arial" w:hAnsi="Arial"/>
          <w:sz w:val="18"/>
          <w:szCs w:val="18"/>
          <w:color w:val="00ADBB"/>
        </w:rPr>
        <w:t xml:space="preserve"> </w:t>
      </w:r>
      <w:r>
        <w:rPr>
          <w:rFonts w:ascii="Arial" w:cs="Arial" w:eastAsia="Arial" w:hAnsi="Arial"/>
          <w:sz w:val="18"/>
          <w:szCs w:val="18"/>
          <w:color w:val="4C4C4C"/>
        </w:rPr>
        <w:t>dashboard that assesses our risk profile and our performance against targets and limits in key risk areas, including credit, market, liquidity, operational, model, information technology and cybersecurity, and third-party risk. The CRO, or the CRO’s designee, also periodically presents reports to the Board on key risks and to the Committees on risk topics within the scope of the Committees’ respective responsibilities.</w:t>
      </w:r>
    </w:p>
    <w:p>
      <w:pPr>
        <w:spacing w:after="0" w:line="3" w:lineRule="exact"/>
        <w:rPr>
          <w:rFonts w:ascii="Arial" w:cs="Arial" w:eastAsia="Arial" w:hAnsi="Arial"/>
          <w:sz w:val="18"/>
          <w:szCs w:val="18"/>
          <w:color w:val="4C4C4C"/>
        </w:rPr>
      </w:pPr>
    </w:p>
    <w:p>
      <w:pPr>
        <w:ind w:left="480" w:right="220" w:hanging="199"/>
        <w:spacing w:after="0" w:line="248" w:lineRule="auto"/>
        <w:tabs>
          <w:tab w:leader="none" w:pos="480" w:val="left"/>
        </w:tabs>
        <w:numPr>
          <w:ilvl w:val="0"/>
          <w:numId w:val="115"/>
        </w:numPr>
        <w:rPr>
          <w:rFonts w:ascii="Arial" w:cs="Arial" w:eastAsia="Arial" w:hAnsi="Arial"/>
          <w:sz w:val="17"/>
          <w:szCs w:val="17"/>
          <w:color w:val="4C4C4C"/>
        </w:rPr>
      </w:pPr>
      <w:r>
        <w:rPr>
          <w:rFonts w:ascii="Arial" w:cs="Arial" w:eastAsia="Arial" w:hAnsi="Arial"/>
          <w:sz w:val="17"/>
          <w:szCs w:val="17"/>
          <w:color w:val="00ADBB"/>
        </w:rPr>
        <w:t xml:space="preserve">Cybersecurity Risk </w:t>
      </w:r>
      <w:r>
        <w:rPr>
          <w:rFonts w:ascii="Arial" w:cs="Arial" w:eastAsia="Arial" w:hAnsi="Arial"/>
          <w:sz w:val="17"/>
          <w:szCs w:val="17"/>
          <w:color w:val="4C4C4C"/>
        </w:rPr>
        <w:t>– the Audit Committee is primarily responsible for overseeing information technology and cybersecurity risks (as</w:t>
      </w:r>
      <w:r>
        <w:rPr>
          <w:rFonts w:ascii="Arial" w:cs="Arial" w:eastAsia="Arial" w:hAnsi="Arial"/>
          <w:sz w:val="17"/>
          <w:szCs w:val="17"/>
          <w:color w:val="00ADBB"/>
        </w:rPr>
        <w:t xml:space="preserve"> </w:t>
      </w:r>
      <w:r>
        <w:rPr>
          <w:rFonts w:ascii="Arial" w:cs="Arial" w:eastAsia="Arial" w:hAnsi="Arial"/>
          <w:sz w:val="17"/>
          <w:szCs w:val="17"/>
          <w:color w:val="4C4C4C"/>
        </w:rPr>
        <w:t>part of its oversight of operational risk), and the Board also continues to be actively engaged with respect to these risks. The Audit Committee and the Board regularly meet with our Chief Technology Officer (“</w:t>
      </w:r>
      <w:r>
        <w:rPr>
          <w:rFonts w:ascii="Arial" w:cs="Arial" w:eastAsia="Arial" w:hAnsi="Arial"/>
          <w:sz w:val="17"/>
          <w:szCs w:val="17"/>
          <w:b w:val="1"/>
          <w:bCs w:val="1"/>
          <w:color w:val="00ADBB"/>
        </w:rPr>
        <w:t>CTO</w:t>
      </w:r>
      <w:r>
        <w:rPr>
          <w:rFonts w:ascii="Arial" w:cs="Arial" w:eastAsia="Arial" w:hAnsi="Arial"/>
          <w:sz w:val="17"/>
          <w:szCs w:val="17"/>
          <w:color w:val="4C4C4C"/>
        </w:rPr>
        <w:t>”) and Chief Information Security Officer (“</w:t>
      </w:r>
      <w:r>
        <w:rPr>
          <w:rFonts w:ascii="Arial" w:cs="Arial" w:eastAsia="Arial" w:hAnsi="Arial"/>
          <w:sz w:val="17"/>
          <w:szCs w:val="17"/>
          <w:b w:val="1"/>
          <w:bCs w:val="1"/>
          <w:color w:val="00ADBB"/>
        </w:rPr>
        <w:t>CISO</w:t>
      </w:r>
      <w:r>
        <w:rPr>
          <w:rFonts w:ascii="Arial" w:cs="Arial" w:eastAsia="Arial" w:hAnsi="Arial"/>
          <w:sz w:val="17"/>
          <w:szCs w:val="17"/>
          <w:color w:val="4C4C4C"/>
        </w:rPr>
        <w:t>”) to review our information technology and cybersecurity risk profile and to discuss our activities to manage those risks. Our CTO has overall responsibility for our information technology program, which includes the cybersecurity program. Our CISO is directly responsible for the Company’s cybersecurity program, which is designed to protect and preserve the integrity, confidentiality, and continued availability of the information owned by, or in the care of, the Company. The Company’s cybersecurity program also establishes procedures that are designed to enable us to effectively identify, evaluate, and respond to events that have the potential to negatively impact our operations. In addition, our Chief Compliance Officer regularly reports to the Audit Committee and the Board regarding the Company’s compliance with applicable regulations relating to information technology and cybersecurity.</w:t>
      </w:r>
    </w:p>
    <w:p>
      <w:pPr>
        <w:spacing w:after="0" w:line="5" w:lineRule="exact"/>
        <w:rPr>
          <w:rFonts w:ascii="Arial" w:cs="Arial" w:eastAsia="Arial" w:hAnsi="Arial"/>
          <w:sz w:val="17"/>
          <w:szCs w:val="17"/>
          <w:color w:val="4C4C4C"/>
        </w:rPr>
      </w:pPr>
    </w:p>
    <w:p>
      <w:pPr>
        <w:ind w:left="480" w:right="180" w:hanging="199"/>
        <w:spacing w:after="0" w:line="237" w:lineRule="auto"/>
        <w:tabs>
          <w:tab w:leader="none" w:pos="480" w:val="left"/>
        </w:tabs>
        <w:numPr>
          <w:ilvl w:val="0"/>
          <w:numId w:val="115"/>
        </w:numPr>
        <w:rPr>
          <w:rFonts w:ascii="Arial" w:cs="Arial" w:eastAsia="Arial" w:hAnsi="Arial"/>
          <w:sz w:val="18"/>
          <w:szCs w:val="18"/>
          <w:color w:val="4C4C4C"/>
        </w:rPr>
      </w:pPr>
      <w:r>
        <w:rPr>
          <w:rFonts w:ascii="Arial" w:cs="Arial" w:eastAsia="Arial" w:hAnsi="Arial"/>
          <w:sz w:val="18"/>
          <w:szCs w:val="18"/>
          <w:color w:val="00ADBB"/>
        </w:rPr>
        <w:t xml:space="preserve">Human Capital Management </w:t>
      </w:r>
      <w:r>
        <w:rPr>
          <w:rFonts w:ascii="Arial" w:cs="Arial" w:eastAsia="Arial" w:hAnsi="Arial"/>
          <w:sz w:val="18"/>
          <w:szCs w:val="18"/>
          <w:color w:val="4C4C4C"/>
        </w:rPr>
        <w:t>– the Board recognizes the importance of maintaining a highly skilled and engaged workforce, guided</w:t>
      </w:r>
      <w:r>
        <w:rPr>
          <w:rFonts w:ascii="Arial" w:cs="Arial" w:eastAsia="Arial" w:hAnsi="Arial"/>
          <w:sz w:val="18"/>
          <w:szCs w:val="18"/>
          <w:color w:val="00ADBB"/>
        </w:rPr>
        <w:t xml:space="preserve"> </w:t>
      </w:r>
      <w:r>
        <w:rPr>
          <w:rFonts w:ascii="Arial" w:cs="Arial" w:eastAsia="Arial" w:hAnsi="Arial"/>
          <w:sz w:val="18"/>
          <w:szCs w:val="18"/>
          <w:color w:val="4C4C4C"/>
        </w:rPr>
        <w:t>by a strong corporate culture and set of values. As described in its charter, the Compensation and Human Capital Committee has broad oversight of the Company’s human capital matters, including DE&amp;I, pay equity, leadership development, culture, and succession planning. At least annually, the Board discusses human capital issues with our Human Resources organization, including succession planning for certain executive positions, including the CEO, and key human capital metrics. The Board and the Committees also assess employee engagement, turnover, and workloads to help ensure that the Company has adequate resources to execute its strategy.</w:t>
      </w: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30 | 2021 Proxy Statement</w:t>
      </w:r>
    </w:p>
    <w:p>
      <w:pPr>
        <w:sectPr>
          <w:pgSz w:w="11900" w:h="16838" w:orient="portrait"/>
          <w:cols w:equalWidth="0" w:num="1">
            <w:col w:w="11140"/>
          </w:cols>
          <w:pgMar w:left="320" w:top="459" w:right="4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Information About Our Board Committees</w:t>
      </w:r>
    </w:p>
    <w:p>
      <w:pPr>
        <w:spacing w:after="0" w:line="200" w:lineRule="exact"/>
        <w:rPr>
          <w:sz w:val="20"/>
          <w:szCs w:val="20"/>
          <w:color w:val="auto"/>
        </w:rPr>
      </w:pPr>
    </w:p>
    <w:p>
      <w:pPr>
        <w:sectPr>
          <w:pgSz w:w="11900" w:h="16838" w:orient="portrait"/>
          <w:cols w:equalWidth="0" w:num="2">
            <w:col w:w="7800" w:space="720"/>
            <w:col w:w="2620"/>
          </w:cols>
          <w:pgMar w:left="320" w:top="459" w:right="43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The Board has delegated oversight of certain risk areas to the Committees, as follows:</w:t>
      </w:r>
    </w:p>
    <w:p>
      <w:pPr>
        <w:spacing w:after="0" w:line="117" w:lineRule="exact"/>
        <w:rPr>
          <w:sz w:val="20"/>
          <w:szCs w:val="20"/>
          <w:color w:val="auto"/>
        </w:rPr>
      </w:pPr>
    </w:p>
    <w:p>
      <w:pPr>
        <w:ind w:left="340" w:right="180" w:hanging="224"/>
        <w:spacing w:after="0" w:line="234" w:lineRule="auto"/>
        <w:tabs>
          <w:tab w:leader="none" w:pos="340" w:val="left"/>
        </w:tabs>
        <w:numPr>
          <w:ilvl w:val="0"/>
          <w:numId w:val="116"/>
        </w:numPr>
        <w:rPr>
          <w:rFonts w:ascii="Arial" w:cs="Arial" w:eastAsia="Arial" w:hAnsi="Arial"/>
          <w:sz w:val="18"/>
          <w:szCs w:val="18"/>
          <w:color w:val="4C4C4C"/>
        </w:rPr>
      </w:pPr>
      <w:r>
        <w:rPr>
          <w:rFonts w:ascii="Arial" w:cs="Arial" w:eastAsia="Arial" w:hAnsi="Arial"/>
          <w:sz w:val="18"/>
          <w:szCs w:val="18"/>
          <w:color w:val="00ADBB"/>
        </w:rPr>
        <w:t xml:space="preserve">Audit Committee </w:t>
      </w:r>
      <w:r>
        <w:rPr>
          <w:rFonts w:ascii="Arial" w:cs="Arial" w:eastAsia="Arial" w:hAnsi="Arial"/>
          <w:sz w:val="18"/>
          <w:szCs w:val="18"/>
          <w:color w:val="4C4C4C"/>
        </w:rPr>
        <w:t>– risks relating to financial statements, financial systems, financial reporting processes, internal control over financial</w:t>
      </w:r>
      <w:r>
        <w:rPr>
          <w:rFonts w:ascii="Arial" w:cs="Arial" w:eastAsia="Arial" w:hAnsi="Arial"/>
          <w:sz w:val="18"/>
          <w:szCs w:val="18"/>
          <w:color w:val="00ADBB"/>
        </w:rPr>
        <w:t xml:space="preserve"> </w:t>
      </w:r>
      <w:r>
        <w:rPr>
          <w:rFonts w:ascii="Arial" w:cs="Arial" w:eastAsia="Arial" w:hAnsi="Arial"/>
          <w:sz w:val="18"/>
          <w:szCs w:val="18"/>
          <w:color w:val="4C4C4C"/>
        </w:rPr>
        <w:t>reporting, compliance and auditing; operational risks, including third-party risk management and cybersecurity and information technology risk; regulatory compliance risks; and risks relating to Brighthouse’s public disclosures.</w:t>
      </w:r>
    </w:p>
    <w:p>
      <w:pPr>
        <w:spacing w:after="0" w:line="2" w:lineRule="exact"/>
        <w:rPr>
          <w:rFonts w:ascii="Arial" w:cs="Arial" w:eastAsia="Arial" w:hAnsi="Arial"/>
          <w:sz w:val="18"/>
          <w:szCs w:val="18"/>
          <w:color w:val="4C4C4C"/>
        </w:rPr>
      </w:pPr>
    </w:p>
    <w:p>
      <w:pPr>
        <w:ind w:left="340" w:right="80" w:hanging="224"/>
        <w:spacing w:after="0" w:line="234" w:lineRule="auto"/>
        <w:tabs>
          <w:tab w:leader="none" w:pos="340" w:val="left"/>
        </w:tabs>
        <w:numPr>
          <w:ilvl w:val="0"/>
          <w:numId w:val="116"/>
        </w:numPr>
        <w:rPr>
          <w:rFonts w:ascii="Arial" w:cs="Arial" w:eastAsia="Arial" w:hAnsi="Arial"/>
          <w:sz w:val="18"/>
          <w:szCs w:val="18"/>
          <w:color w:val="4C4C4C"/>
        </w:rPr>
      </w:pPr>
      <w:r>
        <w:rPr>
          <w:rFonts w:ascii="Arial" w:cs="Arial" w:eastAsia="Arial" w:hAnsi="Arial"/>
          <w:sz w:val="18"/>
          <w:szCs w:val="18"/>
          <w:color w:val="00ADBB"/>
        </w:rPr>
        <w:t xml:space="preserve">Compensation and Human Capital Committee </w:t>
      </w:r>
      <w:r>
        <w:rPr>
          <w:rFonts w:ascii="Arial" w:cs="Arial" w:eastAsia="Arial" w:hAnsi="Arial"/>
          <w:sz w:val="18"/>
          <w:szCs w:val="18"/>
          <w:color w:val="4C4C4C"/>
        </w:rPr>
        <w:t>– broad oversight of human capital management matters, including the design and</w:t>
      </w:r>
      <w:r>
        <w:rPr>
          <w:rFonts w:ascii="Arial" w:cs="Arial" w:eastAsia="Arial" w:hAnsi="Arial"/>
          <w:sz w:val="18"/>
          <w:szCs w:val="18"/>
          <w:color w:val="00ADBB"/>
        </w:rPr>
        <w:t xml:space="preserve"> </w:t>
      </w:r>
      <w:r>
        <w:rPr>
          <w:rFonts w:ascii="Arial" w:cs="Arial" w:eastAsia="Arial" w:hAnsi="Arial"/>
          <w:sz w:val="18"/>
          <w:szCs w:val="18"/>
          <w:color w:val="4C4C4C"/>
        </w:rPr>
        <w:t>operation of Brighthouse’s compensation arrangements to confirm that incentive compensation does not encourage unnecessary risk taking, as well as the relationship between risk management policies and practices, corporate strategy, and the compensation of senior executives.</w:t>
      </w:r>
    </w:p>
    <w:p>
      <w:pPr>
        <w:spacing w:after="0" w:line="2" w:lineRule="exact"/>
        <w:rPr>
          <w:rFonts w:ascii="Arial" w:cs="Arial" w:eastAsia="Arial" w:hAnsi="Arial"/>
          <w:sz w:val="18"/>
          <w:szCs w:val="18"/>
          <w:color w:val="4C4C4C"/>
        </w:rPr>
      </w:pPr>
    </w:p>
    <w:p>
      <w:pPr>
        <w:ind w:left="340" w:right="20" w:hanging="224"/>
        <w:spacing w:after="0" w:line="234" w:lineRule="auto"/>
        <w:tabs>
          <w:tab w:leader="none" w:pos="340" w:val="left"/>
        </w:tabs>
        <w:numPr>
          <w:ilvl w:val="0"/>
          <w:numId w:val="116"/>
        </w:numPr>
        <w:rPr>
          <w:rFonts w:ascii="Arial" w:cs="Arial" w:eastAsia="Arial" w:hAnsi="Arial"/>
          <w:sz w:val="18"/>
          <w:szCs w:val="18"/>
          <w:color w:val="4C4C4C"/>
        </w:rPr>
      </w:pPr>
      <w:r>
        <w:rPr>
          <w:rFonts w:ascii="Arial" w:cs="Arial" w:eastAsia="Arial" w:hAnsi="Arial"/>
          <w:sz w:val="18"/>
          <w:szCs w:val="18"/>
          <w:color w:val="00ADBB"/>
        </w:rPr>
        <w:t xml:space="preserve">Finance and Risk Committee </w:t>
      </w:r>
      <w:r>
        <w:rPr>
          <w:rFonts w:ascii="Arial" w:cs="Arial" w:eastAsia="Arial" w:hAnsi="Arial"/>
          <w:sz w:val="18"/>
          <w:szCs w:val="18"/>
          <w:color w:val="4C4C4C"/>
        </w:rPr>
        <w:t>– broad oversight of risk management, including regular review of the CRO’s assessment of Brighthouse’s</w:t>
      </w:r>
      <w:r>
        <w:rPr>
          <w:rFonts w:ascii="Arial" w:cs="Arial" w:eastAsia="Arial" w:hAnsi="Arial"/>
          <w:sz w:val="18"/>
          <w:szCs w:val="18"/>
          <w:color w:val="00ADBB"/>
        </w:rPr>
        <w:t xml:space="preserve"> </w:t>
      </w:r>
      <w:r>
        <w:rPr>
          <w:rFonts w:ascii="Arial" w:cs="Arial" w:eastAsia="Arial" w:hAnsi="Arial"/>
          <w:sz w:val="18"/>
          <w:szCs w:val="18"/>
          <w:color w:val="4C4C4C"/>
        </w:rPr>
        <w:t>risk profile, which includes macro risk, credit risk, market risk, liquidity risk, operational risk, model risk, cybersecurity and information technology risk, and third-party risk; oversight of our management of emerging risks, including climate risk; approval of Brighthouse’s risk appetite statement; and coordination with the Compensation and Human Capital Committee Chair to oversee compensation-related risk matters.</w:t>
      </w:r>
    </w:p>
    <w:p>
      <w:pPr>
        <w:spacing w:after="0" w:line="3" w:lineRule="exact"/>
        <w:rPr>
          <w:rFonts w:ascii="Arial" w:cs="Arial" w:eastAsia="Arial" w:hAnsi="Arial"/>
          <w:sz w:val="18"/>
          <w:szCs w:val="18"/>
          <w:color w:val="4C4C4C"/>
        </w:rPr>
      </w:pPr>
    </w:p>
    <w:p>
      <w:pPr>
        <w:ind w:left="340" w:right="180" w:hanging="224"/>
        <w:spacing w:after="0" w:line="234" w:lineRule="auto"/>
        <w:tabs>
          <w:tab w:leader="none" w:pos="340" w:val="left"/>
        </w:tabs>
        <w:numPr>
          <w:ilvl w:val="0"/>
          <w:numId w:val="116"/>
        </w:numPr>
        <w:rPr>
          <w:rFonts w:ascii="Arial" w:cs="Arial" w:eastAsia="Arial" w:hAnsi="Arial"/>
          <w:sz w:val="18"/>
          <w:szCs w:val="18"/>
          <w:color w:val="4C4C4C"/>
        </w:rPr>
      </w:pPr>
      <w:r>
        <w:rPr>
          <w:rFonts w:ascii="Arial" w:cs="Arial" w:eastAsia="Arial" w:hAnsi="Arial"/>
          <w:sz w:val="18"/>
          <w:szCs w:val="18"/>
          <w:color w:val="00ADBB"/>
        </w:rPr>
        <w:t xml:space="preserve">Investment Committee </w:t>
      </w:r>
      <w:r>
        <w:rPr>
          <w:rFonts w:ascii="Arial" w:cs="Arial" w:eastAsia="Arial" w:hAnsi="Arial"/>
          <w:sz w:val="18"/>
          <w:szCs w:val="18"/>
          <w:color w:val="4C4C4C"/>
        </w:rPr>
        <w:t>– risks associated with our investment portfolio, including credit risk, portfolio allocation and diversification risk,</w:t>
      </w:r>
      <w:r>
        <w:rPr>
          <w:rFonts w:ascii="Arial" w:cs="Arial" w:eastAsia="Arial" w:hAnsi="Arial"/>
          <w:sz w:val="18"/>
          <w:szCs w:val="18"/>
          <w:color w:val="00ADBB"/>
        </w:rPr>
        <w:t xml:space="preserve"> </w:t>
      </w:r>
      <w:r>
        <w:rPr>
          <w:rFonts w:ascii="Arial" w:cs="Arial" w:eastAsia="Arial" w:hAnsi="Arial"/>
          <w:sz w:val="18"/>
          <w:szCs w:val="18"/>
          <w:color w:val="4C4C4C"/>
        </w:rPr>
        <w:t>counterparty risk, ESG, and climate risk, as well as risks associated with our investments operating model and the selection and monitoring of our external asset managers.</w:t>
      </w:r>
    </w:p>
    <w:p>
      <w:pPr>
        <w:spacing w:after="0" w:line="2" w:lineRule="exact"/>
        <w:rPr>
          <w:rFonts w:ascii="Arial" w:cs="Arial" w:eastAsia="Arial" w:hAnsi="Arial"/>
          <w:sz w:val="18"/>
          <w:szCs w:val="18"/>
          <w:color w:val="4C4C4C"/>
        </w:rPr>
      </w:pPr>
    </w:p>
    <w:p>
      <w:pPr>
        <w:ind w:left="340" w:right="240" w:hanging="224"/>
        <w:spacing w:after="0"/>
        <w:tabs>
          <w:tab w:leader="none" w:pos="340" w:val="left"/>
        </w:tabs>
        <w:numPr>
          <w:ilvl w:val="0"/>
          <w:numId w:val="116"/>
        </w:numPr>
        <w:rPr>
          <w:rFonts w:ascii="Arial" w:cs="Arial" w:eastAsia="Arial" w:hAnsi="Arial"/>
          <w:sz w:val="18"/>
          <w:szCs w:val="18"/>
          <w:color w:val="4C4C4C"/>
        </w:rPr>
      </w:pPr>
      <w:r>
        <w:rPr>
          <w:rFonts w:ascii="Arial" w:cs="Arial" w:eastAsia="Arial" w:hAnsi="Arial"/>
          <w:sz w:val="18"/>
          <w:szCs w:val="18"/>
          <w:color w:val="00ADBB"/>
        </w:rPr>
        <w:t xml:space="preserve">Nominating and Corporate Governance Committee </w:t>
      </w:r>
      <w:r>
        <w:rPr>
          <w:rFonts w:ascii="Arial" w:cs="Arial" w:eastAsia="Arial" w:hAnsi="Arial"/>
          <w:sz w:val="18"/>
          <w:szCs w:val="18"/>
          <w:color w:val="4C4C4C"/>
        </w:rPr>
        <w:t>– risks relating to Brighthouse’s governance, our sustainability program (including</w:t>
      </w:r>
      <w:r>
        <w:rPr>
          <w:rFonts w:ascii="Arial" w:cs="Arial" w:eastAsia="Arial" w:hAnsi="Arial"/>
          <w:sz w:val="18"/>
          <w:szCs w:val="18"/>
          <w:color w:val="00ADBB"/>
        </w:rPr>
        <w:t xml:space="preserve"> </w:t>
      </w:r>
      <w:r>
        <w:rPr>
          <w:rFonts w:ascii="Arial" w:cs="Arial" w:eastAsia="Arial" w:hAnsi="Arial"/>
          <w:sz w:val="18"/>
          <w:szCs w:val="18"/>
          <w:color w:val="4C4C4C"/>
        </w:rPr>
        <w:t>environmental stewardship and corporate social responsibility), related person transaction policy, government relations, and the development and implementation of Brighthouse’s codes of conduct.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Information About Our Board Committees</w:t>
      </w:r>
    </w:p>
    <w:p>
      <w:pPr>
        <w:spacing w:after="0" w:line="125"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4C4C4C"/>
        </w:rPr>
        <w:t xml:space="preserve">The Board has established six standing Committees to assist it in carrying out its duties: Audit; Compensation and Human Capital; Executive; Finance and Risk; Investment; and Nominating and Corporate Governance. Each Committee has a Board-approved, written charter that describes such Committee’s role and responsibilities. Copies of the charters of the Audit, Compensation and Human Capital and Nominating and Corporate Governance Committees are posted on our website at </w:t>
      </w:r>
      <w:r>
        <w:rPr>
          <w:rFonts w:ascii="Arial" w:cs="Arial" w:eastAsia="Arial" w:hAnsi="Arial"/>
          <w:sz w:val="17"/>
          <w:szCs w:val="17"/>
          <w:u w:val="single" w:color="auto"/>
          <w:color w:val="4C4C4C"/>
        </w:rPr>
        <w:t>investor.brighthousefinancial.com/corporate-governance/governance-overview</w:t>
      </w:r>
      <w:r>
        <w:rPr>
          <w:rFonts w:ascii="Arial" w:cs="Arial" w:eastAsia="Arial" w:hAnsi="Arial"/>
          <w:sz w:val="17"/>
          <w:szCs w:val="17"/>
          <w:color w:val="4C4C4C"/>
        </w:rPr>
        <w:t>. The Audit, Compensation and Human Capital and Nominating and Corporate Governance Committees all comply with applicable requirements of the U.S. Securities and Exchange Commission (“</w:t>
      </w:r>
      <w:r>
        <w:rPr>
          <w:rFonts w:ascii="Arial" w:cs="Arial" w:eastAsia="Arial" w:hAnsi="Arial"/>
          <w:sz w:val="17"/>
          <w:szCs w:val="17"/>
          <w:b w:val="1"/>
          <w:bCs w:val="1"/>
          <w:color w:val="00ADBB"/>
        </w:rPr>
        <w:t>SEC</w:t>
      </w:r>
      <w:r>
        <w:rPr>
          <w:rFonts w:ascii="Arial" w:cs="Arial" w:eastAsia="Arial" w:hAnsi="Arial"/>
          <w:sz w:val="17"/>
          <w:szCs w:val="17"/>
          <w:color w:val="4C4C4C"/>
        </w:rPr>
        <w:t>”) and Nasdaq, and are chaired by, and consist solely of, Independent Directors. The Committee Chairs approve the meeting agendas for their respective Committees.</w:t>
      </w:r>
    </w:p>
    <w:p>
      <w:pPr>
        <w:spacing w:after="0" w:line="83" w:lineRule="exact"/>
        <w:rPr>
          <w:sz w:val="20"/>
          <w:szCs w:val="20"/>
          <w:color w:val="auto"/>
        </w:rPr>
      </w:pPr>
    </w:p>
    <w:p>
      <w:pPr>
        <w:jc w:val="both"/>
        <w:ind w:left="120" w:right="600"/>
        <w:spacing w:after="0" w:line="238" w:lineRule="auto"/>
        <w:rPr>
          <w:sz w:val="20"/>
          <w:szCs w:val="20"/>
          <w:color w:val="auto"/>
        </w:rPr>
      </w:pPr>
      <w:r>
        <w:rPr>
          <w:rFonts w:ascii="Arial" w:cs="Arial" w:eastAsia="Arial" w:hAnsi="Arial"/>
          <w:sz w:val="18"/>
          <w:szCs w:val="18"/>
          <w:color w:val="4C4C4C"/>
        </w:rPr>
        <w:t>Each Committee regularly reports on the matters discussed during its meetings to the full Board and presents recommendations on actions requiring Board approval. On an annual basis, each Committee conducts an evaluation of its performance and reviews the adequacy of, and proposes changes to, its charter for Board approval. Each Committee has full authority to retain, at Brighthouse’s expense, independent advisors or consultants.</w:t>
      </w:r>
    </w:p>
    <w:p>
      <w:pPr>
        <w:spacing w:after="0" w:line="205"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4C4C4C"/>
        </w:rPr>
        <w:t>Additional information about our Committees follows, including their composition, the number of meetings they held in 2020, and their primary 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142875</wp:posOffset>
            </wp:positionV>
            <wp:extent cx="8890"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142875</wp:posOffset>
            </wp:positionV>
            <wp:extent cx="8890" cy="274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294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Committee</w:t>
            </w:r>
          </w:p>
        </w:tc>
        <w:tc>
          <w:tcPr>
            <w:tcW w:w="2540" w:type="dxa"/>
            <w:vAlign w:val="bottom"/>
            <w:shd w:val="clear" w:color="auto" w:fill="00ADBB"/>
          </w:tcPr>
          <w:p>
            <w:pPr>
              <w:ind w:left="700"/>
              <w:spacing w:after="0"/>
              <w:rPr>
                <w:sz w:val="20"/>
                <w:szCs w:val="20"/>
                <w:color w:val="auto"/>
              </w:rPr>
            </w:pPr>
            <w:r>
              <w:rPr>
                <w:rFonts w:ascii="Arial" w:cs="Arial" w:eastAsia="Arial" w:hAnsi="Arial"/>
                <w:sz w:val="18"/>
                <w:szCs w:val="18"/>
                <w:b w:val="1"/>
                <w:bCs w:val="1"/>
                <w:color w:val="FFFFFF"/>
              </w:rPr>
              <w:t>Members in 2020</w:t>
            </w:r>
          </w:p>
        </w:tc>
        <w:tc>
          <w:tcPr>
            <w:tcW w:w="5540" w:type="dxa"/>
            <w:vAlign w:val="bottom"/>
            <w:shd w:val="clear" w:color="auto" w:fill="00ADBB"/>
          </w:tcPr>
          <w:p>
            <w:pPr>
              <w:ind w:left="248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00ADBB"/>
          </w:tcPr>
          <w:p>
            <w:pPr>
              <w:spacing w:after="0"/>
              <w:rPr>
                <w:sz w:val="12"/>
                <w:szCs w:val="12"/>
                <w:color w:val="auto"/>
              </w:rPr>
            </w:pPr>
          </w:p>
        </w:tc>
        <w:tc>
          <w:tcPr>
            <w:tcW w:w="2540" w:type="dxa"/>
            <w:vAlign w:val="bottom"/>
            <w:shd w:val="clear" w:color="auto" w:fill="00ADBB"/>
          </w:tcPr>
          <w:p>
            <w:pPr>
              <w:spacing w:after="0"/>
              <w:rPr>
                <w:sz w:val="12"/>
                <w:szCs w:val="12"/>
                <w:color w:val="auto"/>
              </w:rPr>
            </w:pPr>
          </w:p>
        </w:tc>
        <w:tc>
          <w:tcPr>
            <w:tcW w:w="5540" w:type="dxa"/>
            <w:vAlign w:val="bottom"/>
            <w:shd w:val="clear" w:color="auto" w:fill="00ADBB"/>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60"/>
              <w:spacing w:after="0" w:line="202" w:lineRule="exact"/>
              <w:rPr>
                <w:sz w:val="20"/>
                <w:szCs w:val="20"/>
                <w:color w:val="auto"/>
              </w:rPr>
            </w:pPr>
            <w:r>
              <w:rPr>
                <w:rFonts w:ascii="Arial" w:cs="Arial" w:eastAsia="Arial" w:hAnsi="Arial"/>
                <w:sz w:val="20"/>
                <w:szCs w:val="20"/>
                <w:b w:val="1"/>
                <w:bCs w:val="1"/>
                <w:color w:val="3F3F3F"/>
              </w:rPr>
              <w:t xml:space="preserve">Audit Committee </w:t>
            </w:r>
            <w:r>
              <w:rPr>
                <w:rFonts w:ascii="Arial" w:cs="Arial" w:eastAsia="Arial" w:hAnsi="Arial"/>
                <w:sz w:val="16"/>
                <w:szCs w:val="16"/>
                <w:b w:val="1"/>
                <w:bCs w:val="1"/>
                <w:color w:val="4C4C4C"/>
              </w:rPr>
              <w:t>(1)</w:t>
            </w:r>
          </w:p>
        </w:tc>
        <w:tc>
          <w:tcPr>
            <w:tcW w:w="2540" w:type="dxa"/>
            <w:vAlign w:val="bottom"/>
          </w:tcPr>
          <w:p>
            <w:pPr>
              <w:ind w:left="120"/>
              <w:spacing w:after="0" w:line="201" w:lineRule="exact"/>
              <w:rPr>
                <w:sz w:val="20"/>
                <w:szCs w:val="20"/>
                <w:color w:val="auto"/>
              </w:rPr>
            </w:pPr>
            <w:r>
              <w:rPr>
                <w:rFonts w:ascii="Arial" w:cs="Arial" w:eastAsia="Arial" w:hAnsi="Arial"/>
                <w:sz w:val="18"/>
                <w:szCs w:val="18"/>
                <w:color w:val="4C4C4C"/>
              </w:rPr>
              <w:t>Pat Shouvlin (Chair)</w:t>
            </w:r>
          </w:p>
        </w:tc>
        <w:tc>
          <w:tcPr>
            <w:tcW w:w="5540" w:type="dxa"/>
            <w:vAlign w:val="bottom"/>
          </w:tcPr>
          <w:p>
            <w:pPr>
              <w:ind w:left="400"/>
              <w:spacing w:after="0" w:line="201" w:lineRule="exact"/>
              <w:rPr>
                <w:sz w:val="20"/>
                <w:szCs w:val="20"/>
                <w:color w:val="auto"/>
              </w:rPr>
            </w:pPr>
            <w:r>
              <w:rPr>
                <w:rFonts w:ascii="Arial" w:cs="Arial" w:eastAsia="Arial" w:hAnsi="Arial"/>
                <w:sz w:val="18"/>
                <w:szCs w:val="18"/>
                <w:color w:val="4C4C4C"/>
              </w:rPr>
              <w:t>The Audit Committee oversees the Company’s accounting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vMerge w:val="restart"/>
          </w:tcPr>
          <w:p>
            <w:pPr>
              <w:ind w:left="40"/>
              <w:spacing w:after="0"/>
              <w:rPr>
                <w:sz w:val="20"/>
                <w:szCs w:val="20"/>
                <w:color w:val="auto"/>
              </w:rPr>
            </w:pPr>
            <w:r>
              <w:rPr>
                <w:rFonts w:ascii="Arial" w:cs="Arial" w:eastAsia="Arial" w:hAnsi="Arial"/>
                <w:sz w:val="18"/>
                <w:szCs w:val="18"/>
                <w:color w:val="4C4C4C"/>
              </w:rPr>
              <w:t>Meetings held in 2020: 10</w:t>
            </w:r>
          </w:p>
        </w:tc>
        <w:tc>
          <w:tcPr>
            <w:tcW w:w="2540" w:type="dxa"/>
            <w:vAlign w:val="bottom"/>
          </w:tcPr>
          <w:p>
            <w:pPr>
              <w:ind w:left="120"/>
              <w:spacing w:after="0" w:line="200" w:lineRule="exact"/>
              <w:rPr>
                <w:sz w:val="20"/>
                <w:szCs w:val="20"/>
                <w:color w:val="auto"/>
              </w:rPr>
            </w:pPr>
            <w:r>
              <w:rPr>
                <w:rFonts w:ascii="Arial" w:cs="Arial" w:eastAsia="Arial" w:hAnsi="Arial"/>
                <w:sz w:val="18"/>
                <w:szCs w:val="18"/>
                <w:color w:val="4C4C4C"/>
              </w:rPr>
              <w:t>Chuck Chaplin</w:t>
            </w:r>
          </w:p>
        </w:tc>
        <w:tc>
          <w:tcPr>
            <w:tcW w:w="5560" w:type="dxa"/>
            <w:vAlign w:val="bottom"/>
            <w:gridSpan w:val="2"/>
          </w:tcPr>
          <w:p>
            <w:pPr>
              <w:ind w:left="400"/>
              <w:spacing w:after="0" w:line="200" w:lineRule="exact"/>
              <w:rPr>
                <w:sz w:val="20"/>
                <w:szCs w:val="20"/>
                <w:color w:val="auto"/>
              </w:rPr>
            </w:pPr>
            <w:r>
              <w:rPr>
                <w:rFonts w:ascii="Arial" w:cs="Arial" w:eastAsia="Arial" w:hAnsi="Arial"/>
                <w:sz w:val="18"/>
                <w:szCs w:val="18"/>
                <w:color w:val="4C4C4C"/>
              </w:rPr>
              <w:t>financial reporting processes; internal control over financial</w:t>
            </w:r>
          </w:p>
        </w:tc>
        <w:tc>
          <w:tcPr>
            <w:tcW w:w="0" w:type="dxa"/>
            <w:vAlign w:val="bottom"/>
          </w:tcPr>
          <w:p>
            <w:pPr>
              <w:spacing w:after="0"/>
              <w:rPr>
                <w:sz w:val="1"/>
                <w:szCs w:val="1"/>
                <w:color w:val="auto"/>
              </w:rPr>
            </w:pPr>
          </w:p>
        </w:tc>
      </w:tr>
      <w:tr>
        <w:trPr>
          <w:trHeight w:val="152"/>
        </w:trPr>
        <w:tc>
          <w:tcPr>
            <w:tcW w:w="2940" w:type="dxa"/>
            <w:vAlign w:val="bottom"/>
            <w:vMerge w:val="continue"/>
          </w:tcPr>
          <w:p>
            <w:pPr>
              <w:spacing w:after="0"/>
              <w:rPr>
                <w:sz w:val="13"/>
                <w:szCs w:val="13"/>
                <w:color w:val="auto"/>
              </w:rPr>
            </w:pPr>
          </w:p>
        </w:tc>
        <w:tc>
          <w:tcPr>
            <w:tcW w:w="2540" w:type="dxa"/>
            <w:vAlign w:val="bottom"/>
            <w:vMerge w:val="restart"/>
          </w:tcPr>
          <w:p>
            <w:pPr>
              <w:ind w:left="120"/>
              <w:spacing w:after="0" w:line="202" w:lineRule="exact"/>
              <w:rPr>
                <w:sz w:val="20"/>
                <w:szCs w:val="20"/>
                <w:color w:val="auto"/>
              </w:rPr>
            </w:pPr>
            <w:r>
              <w:rPr>
                <w:rFonts w:ascii="Arial" w:cs="Arial" w:eastAsia="Arial" w:hAnsi="Arial"/>
                <w:sz w:val="18"/>
                <w:szCs w:val="18"/>
                <w:color w:val="4C4C4C"/>
              </w:rPr>
              <w:t xml:space="preserve">Steve Hooley </w:t>
            </w:r>
            <w:r>
              <w:rPr>
                <w:rFonts w:ascii="Arial" w:cs="Arial" w:eastAsia="Arial" w:hAnsi="Arial"/>
                <w:sz w:val="15"/>
                <w:szCs w:val="15"/>
                <w:color w:val="4C4C4C"/>
              </w:rPr>
              <w:t>(4)</w:t>
            </w:r>
          </w:p>
        </w:tc>
        <w:tc>
          <w:tcPr>
            <w:tcW w:w="5560" w:type="dxa"/>
            <w:vAlign w:val="bottom"/>
            <w:gridSpan w:val="2"/>
            <w:vMerge w:val="restart"/>
          </w:tcPr>
          <w:p>
            <w:pPr>
              <w:ind w:left="400"/>
              <w:spacing w:after="0" w:line="202" w:lineRule="exact"/>
              <w:rPr>
                <w:sz w:val="20"/>
                <w:szCs w:val="20"/>
                <w:color w:val="auto"/>
              </w:rPr>
            </w:pPr>
            <w:r>
              <w:rPr>
                <w:rFonts w:ascii="Arial" w:cs="Arial" w:eastAsia="Arial" w:hAnsi="Arial"/>
                <w:sz w:val="18"/>
                <w:szCs w:val="18"/>
                <w:color w:val="4C4C4C"/>
              </w:rPr>
              <w:t>reporting and disclosure and controls procedures; and the work</w:t>
            </w:r>
          </w:p>
        </w:tc>
        <w:tc>
          <w:tcPr>
            <w:tcW w:w="0" w:type="dxa"/>
            <w:vAlign w:val="bottom"/>
          </w:tcPr>
          <w:p>
            <w:pPr>
              <w:spacing w:after="0"/>
              <w:rPr>
                <w:sz w:val="1"/>
                <w:szCs w:val="1"/>
                <w:color w:val="auto"/>
              </w:rPr>
            </w:pPr>
          </w:p>
        </w:tc>
      </w:tr>
      <w:tr>
        <w:trPr>
          <w:trHeight w:val="51"/>
        </w:trPr>
        <w:tc>
          <w:tcPr>
            <w:tcW w:w="294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5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2540" w:type="dxa"/>
            <w:vAlign w:val="bottom"/>
          </w:tcPr>
          <w:p>
            <w:pPr>
              <w:ind w:left="120"/>
              <w:spacing w:after="0" w:line="205" w:lineRule="exact"/>
              <w:rPr>
                <w:sz w:val="20"/>
                <w:szCs w:val="20"/>
                <w:color w:val="auto"/>
              </w:rPr>
            </w:pPr>
            <w:r>
              <w:rPr>
                <w:rFonts w:ascii="Arial" w:cs="Arial" w:eastAsia="Arial" w:hAnsi="Arial"/>
                <w:sz w:val="18"/>
                <w:szCs w:val="18"/>
                <w:color w:val="4C4C4C"/>
              </w:rPr>
              <w:t xml:space="preserve">Meg McCarthy </w:t>
            </w:r>
            <w:r>
              <w:rPr>
                <w:rFonts w:ascii="Arial" w:cs="Arial" w:eastAsia="Arial" w:hAnsi="Arial"/>
                <w:sz w:val="15"/>
                <w:szCs w:val="15"/>
                <w:color w:val="4C4C4C"/>
              </w:rPr>
              <w:t>(5)</w:t>
            </w:r>
          </w:p>
        </w:tc>
        <w:tc>
          <w:tcPr>
            <w:tcW w:w="5560" w:type="dxa"/>
            <w:vAlign w:val="bottom"/>
            <w:gridSpan w:val="2"/>
          </w:tcPr>
          <w:p>
            <w:pPr>
              <w:ind w:left="400"/>
              <w:spacing w:after="0" w:line="205" w:lineRule="exact"/>
              <w:rPr>
                <w:sz w:val="20"/>
                <w:szCs w:val="20"/>
                <w:color w:val="auto"/>
              </w:rPr>
            </w:pPr>
            <w:r>
              <w:rPr>
                <w:rFonts w:ascii="Arial" w:cs="Arial" w:eastAsia="Arial" w:hAnsi="Arial"/>
                <w:sz w:val="18"/>
                <w:szCs w:val="18"/>
                <w:color w:val="4C4C4C"/>
              </w:rPr>
              <w:t>of internal audit and the independent auditor, including their</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respective audit plans and results. The Audit Committee also</w:t>
            </w:r>
          </w:p>
        </w:tc>
        <w:tc>
          <w:tcPr>
            <w:tcW w:w="0" w:type="dxa"/>
            <w:vAlign w:val="bottom"/>
          </w:tcPr>
          <w:p>
            <w:pPr>
              <w:spacing w:after="0"/>
              <w:rPr>
                <w:sz w:val="1"/>
                <w:szCs w:val="1"/>
                <w:color w:val="auto"/>
              </w:rPr>
            </w:pPr>
          </w:p>
        </w:tc>
      </w:tr>
      <w:tr>
        <w:trPr>
          <w:trHeight w:val="203"/>
        </w:trPr>
        <w:tc>
          <w:tcPr>
            <w:tcW w:w="2940" w:type="dxa"/>
            <w:vAlign w:val="bottom"/>
            <w:tcBorders>
              <w:bottom w:val="single" w:sz="8" w:color="4C4C4C"/>
            </w:tcBorders>
          </w:tcPr>
          <w:p>
            <w:pPr>
              <w:spacing w:after="0"/>
              <w:rPr>
                <w:sz w:val="17"/>
                <w:szCs w:val="17"/>
                <w:color w:val="auto"/>
              </w:rPr>
            </w:pPr>
          </w:p>
        </w:tc>
        <w:tc>
          <w:tcPr>
            <w:tcW w:w="2540" w:type="dxa"/>
            <w:vAlign w:val="bottom"/>
            <w:tcBorders>
              <w:bottom w:val="single" w:sz="8" w:color="4C4C4C"/>
            </w:tcBorders>
          </w:tcPr>
          <w:p>
            <w:pPr>
              <w:spacing w:after="0"/>
              <w:rPr>
                <w:sz w:val="17"/>
                <w:szCs w:val="17"/>
                <w:color w:val="auto"/>
              </w:rPr>
            </w:pPr>
          </w:p>
        </w:tc>
        <w:tc>
          <w:tcPr>
            <w:tcW w:w="5540" w:type="dxa"/>
            <w:vAlign w:val="bottom"/>
            <w:tcBorders>
              <w:bottom w:val="single" w:sz="8" w:color="4C4C4C"/>
            </w:tcBorders>
          </w:tcPr>
          <w:p>
            <w:pPr>
              <w:ind w:left="400"/>
              <w:spacing w:after="0" w:line="203" w:lineRule="exact"/>
              <w:rPr>
                <w:sz w:val="20"/>
                <w:szCs w:val="20"/>
                <w:color w:val="auto"/>
              </w:rPr>
            </w:pPr>
            <w:r>
              <w:rPr>
                <w:rFonts w:ascii="Arial" w:cs="Arial" w:eastAsia="Arial" w:hAnsi="Arial"/>
                <w:sz w:val="18"/>
                <w:szCs w:val="18"/>
                <w:color w:val="4C4C4C"/>
              </w:rPr>
              <w:t>oversees the engagement and continued independence of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560" w:type="dxa"/>
            <w:vAlign w:val="bottom"/>
            <w:gridSpan w:val="2"/>
          </w:tcPr>
          <w:p>
            <w:pPr>
              <w:ind w:left="3900"/>
              <w:spacing w:after="0"/>
              <w:rPr>
                <w:sz w:val="20"/>
                <w:szCs w:val="20"/>
                <w:color w:val="auto"/>
              </w:rPr>
            </w:pPr>
            <w:r>
              <w:rPr>
                <w:rFonts w:ascii="Arial" w:cs="Arial" w:eastAsia="Arial" w:hAnsi="Arial"/>
                <w:sz w:val="13"/>
                <w:szCs w:val="13"/>
                <w:b w:val="1"/>
                <w:bCs w:val="1"/>
                <w:color w:val="00ADBB"/>
              </w:rPr>
              <w:t>2021 Proxy Statement | 31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Information About Our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208915</wp:posOffset>
            </wp:positionV>
            <wp:extent cx="8255" cy="274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208915</wp:posOffset>
            </wp:positionV>
            <wp:extent cx="8890" cy="274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2"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60" w:type="dxa"/>
            <w:vAlign w:val="bottom"/>
          </w:tcPr>
          <w:p>
            <w:pPr>
              <w:spacing w:after="0"/>
              <w:rPr>
                <w:sz w:val="24"/>
                <w:szCs w:val="24"/>
                <w:color w:val="auto"/>
              </w:rPr>
            </w:pPr>
          </w:p>
        </w:tc>
        <w:tc>
          <w:tcPr>
            <w:tcW w:w="284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Committee</w:t>
            </w:r>
          </w:p>
        </w:tc>
        <w:tc>
          <w:tcPr>
            <w:tcW w:w="2540" w:type="dxa"/>
            <w:vAlign w:val="bottom"/>
            <w:shd w:val="clear" w:color="auto" w:fill="00ADBB"/>
          </w:tcPr>
          <w:p>
            <w:pPr>
              <w:ind w:left="680"/>
              <w:spacing w:after="0"/>
              <w:rPr>
                <w:sz w:val="20"/>
                <w:szCs w:val="20"/>
                <w:color w:val="auto"/>
              </w:rPr>
            </w:pPr>
            <w:r>
              <w:rPr>
                <w:rFonts w:ascii="Arial" w:cs="Arial" w:eastAsia="Arial" w:hAnsi="Arial"/>
                <w:sz w:val="18"/>
                <w:szCs w:val="18"/>
                <w:b w:val="1"/>
                <w:bCs w:val="1"/>
                <w:color w:val="FFFFFF"/>
              </w:rPr>
              <w:t>Members in 2020</w:t>
            </w:r>
          </w:p>
        </w:tc>
        <w:tc>
          <w:tcPr>
            <w:tcW w:w="5300" w:type="dxa"/>
            <w:vAlign w:val="bottom"/>
            <w:shd w:val="clear" w:color="auto" w:fill="00ADBB"/>
          </w:tcPr>
          <w:p>
            <w:pPr>
              <w:ind w:left="2320"/>
              <w:spacing w:after="0"/>
              <w:rPr>
                <w:sz w:val="20"/>
                <w:szCs w:val="20"/>
                <w:color w:val="auto"/>
              </w:rPr>
            </w:pPr>
            <w:r>
              <w:rPr>
                <w:rFonts w:ascii="Arial" w:cs="Arial" w:eastAsia="Arial" w:hAnsi="Arial"/>
                <w:sz w:val="18"/>
                <w:szCs w:val="18"/>
                <w:b w:val="1"/>
                <w:bCs w:val="1"/>
                <w:color w:val="FFFFFF"/>
              </w:rPr>
              <w:t>Description</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840" w:type="dxa"/>
            <w:vAlign w:val="bottom"/>
            <w:shd w:val="clear" w:color="auto" w:fill="00ADBB"/>
          </w:tcPr>
          <w:p>
            <w:pPr>
              <w:spacing w:after="0"/>
              <w:rPr>
                <w:sz w:val="12"/>
                <w:szCs w:val="12"/>
                <w:color w:val="auto"/>
              </w:rPr>
            </w:pPr>
          </w:p>
        </w:tc>
        <w:tc>
          <w:tcPr>
            <w:tcW w:w="2540" w:type="dxa"/>
            <w:vAlign w:val="bottom"/>
            <w:shd w:val="clear" w:color="auto" w:fill="00ADBB"/>
          </w:tcPr>
          <w:p>
            <w:pPr>
              <w:spacing w:after="0"/>
              <w:rPr>
                <w:sz w:val="12"/>
                <w:szCs w:val="12"/>
                <w:color w:val="auto"/>
              </w:rPr>
            </w:pPr>
          </w:p>
        </w:tc>
        <w:tc>
          <w:tcPr>
            <w:tcW w:w="5300" w:type="dxa"/>
            <w:vAlign w:val="bottom"/>
            <w:shd w:val="clear" w:color="auto" w:fill="00ADBB"/>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1" w:lineRule="exact"/>
              <w:rPr>
                <w:sz w:val="20"/>
                <w:szCs w:val="20"/>
                <w:color w:val="auto"/>
              </w:rPr>
            </w:pPr>
            <w:r>
              <w:rPr>
                <w:rFonts w:ascii="Arial" w:cs="Arial" w:eastAsia="Arial" w:hAnsi="Arial"/>
                <w:sz w:val="18"/>
                <w:szCs w:val="18"/>
                <w:color w:val="4C4C4C"/>
              </w:rPr>
              <w:t>Company’s independent auditor, assesses its performance,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and approves its compensation. The Audit Committee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oversees our legal and regulatory compliance processes and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programs; information technology, data privacy and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cybersecurity; and issues relating to the integrity of</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management and adherence with the Company’s codes of</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Borders>
              <w:bottom w:val="single" w:sz="8" w:color="4C4C4C"/>
            </w:tcBorders>
          </w:tcPr>
          <w:p>
            <w:pPr>
              <w:spacing w:after="0"/>
              <w:rPr>
                <w:sz w:val="17"/>
                <w:szCs w:val="17"/>
                <w:color w:val="auto"/>
              </w:rPr>
            </w:pPr>
          </w:p>
        </w:tc>
        <w:tc>
          <w:tcPr>
            <w:tcW w:w="2540" w:type="dxa"/>
            <w:vAlign w:val="bottom"/>
            <w:tcBorders>
              <w:bottom w:val="single" w:sz="8" w:color="4C4C4C"/>
            </w:tcBorders>
          </w:tcPr>
          <w:p>
            <w:pPr>
              <w:spacing w:after="0"/>
              <w:rPr>
                <w:sz w:val="17"/>
                <w:szCs w:val="17"/>
                <w:color w:val="auto"/>
              </w:rPr>
            </w:pPr>
          </w:p>
        </w:tc>
        <w:tc>
          <w:tcPr>
            <w:tcW w:w="5300" w:type="dxa"/>
            <w:vAlign w:val="bottom"/>
            <w:tcBorders>
              <w:bottom w:val="single" w:sz="8" w:color="4C4C4C"/>
            </w:tcBorders>
          </w:tcPr>
          <w:p>
            <w:pPr>
              <w:ind w:left="320"/>
              <w:spacing w:after="0" w:line="203" w:lineRule="exact"/>
              <w:rPr>
                <w:sz w:val="20"/>
                <w:szCs w:val="20"/>
                <w:color w:val="auto"/>
              </w:rPr>
            </w:pPr>
            <w:r>
              <w:rPr>
                <w:rFonts w:ascii="Arial" w:cs="Arial" w:eastAsia="Arial" w:hAnsi="Arial"/>
                <w:sz w:val="18"/>
                <w:szCs w:val="18"/>
                <w:color w:val="4C4C4C"/>
              </w:rPr>
              <w:t>conduct.</w:t>
            </w:r>
          </w:p>
        </w:tc>
        <w:tc>
          <w:tcPr>
            <w:tcW w:w="0" w:type="dxa"/>
            <w:vAlign w:val="bottom"/>
          </w:tcPr>
          <w:p>
            <w:pPr>
              <w:spacing w:after="0"/>
              <w:rPr>
                <w:sz w:val="1"/>
                <w:szCs w:val="1"/>
                <w:color w:val="auto"/>
              </w:rPr>
            </w:pPr>
          </w:p>
        </w:tc>
      </w:tr>
      <w:tr>
        <w:trPr>
          <w:trHeight w:val="249"/>
        </w:trPr>
        <w:tc>
          <w:tcPr>
            <w:tcW w:w="16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20"/>
                <w:szCs w:val="20"/>
                <w:b w:val="1"/>
                <w:bCs w:val="1"/>
                <w:color w:val="3F3F3F"/>
              </w:rPr>
              <w:t>Compensation and Human</w:t>
            </w:r>
          </w:p>
        </w:tc>
        <w:tc>
          <w:tcPr>
            <w:tcW w:w="2540" w:type="dxa"/>
            <w:vAlign w:val="bottom"/>
          </w:tcPr>
          <w:p>
            <w:pPr>
              <w:ind w:left="140"/>
              <w:spacing w:after="0"/>
              <w:rPr>
                <w:sz w:val="20"/>
                <w:szCs w:val="20"/>
                <w:color w:val="auto"/>
              </w:rPr>
            </w:pPr>
            <w:r>
              <w:rPr>
                <w:rFonts w:ascii="Arial" w:cs="Arial" w:eastAsia="Arial" w:hAnsi="Arial"/>
                <w:sz w:val="18"/>
                <w:szCs w:val="18"/>
                <w:color w:val="4C4C4C"/>
              </w:rPr>
              <w:t>Diane Offereins (Chair)</w:t>
            </w:r>
          </w:p>
        </w:tc>
        <w:tc>
          <w:tcPr>
            <w:tcW w:w="5300" w:type="dxa"/>
            <w:vAlign w:val="bottom"/>
          </w:tcPr>
          <w:p>
            <w:pPr>
              <w:ind w:left="320"/>
              <w:spacing w:after="0"/>
              <w:rPr>
                <w:sz w:val="20"/>
                <w:szCs w:val="20"/>
                <w:color w:val="auto"/>
              </w:rPr>
            </w:pPr>
            <w:r>
              <w:rPr>
                <w:rFonts w:ascii="Arial" w:cs="Arial" w:eastAsia="Arial" w:hAnsi="Arial"/>
                <w:sz w:val="18"/>
                <w:szCs w:val="18"/>
                <w:color w:val="4C4C4C"/>
              </w:rPr>
              <w:t>The Compensation and Human Capital Committee oversees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40" w:type="dxa"/>
            <w:vAlign w:val="bottom"/>
          </w:tcPr>
          <w:p>
            <w:pPr>
              <w:ind w:left="60"/>
              <w:spacing w:after="0" w:line="216" w:lineRule="exact"/>
              <w:rPr>
                <w:sz w:val="20"/>
                <w:szCs w:val="20"/>
                <w:color w:val="auto"/>
              </w:rPr>
            </w:pPr>
            <w:r>
              <w:rPr>
                <w:rFonts w:ascii="Arial" w:cs="Arial" w:eastAsia="Arial" w:hAnsi="Arial"/>
                <w:sz w:val="20"/>
                <w:szCs w:val="20"/>
                <w:b w:val="1"/>
                <w:bCs w:val="1"/>
                <w:color w:val="3F3F3F"/>
              </w:rPr>
              <w:t xml:space="preserve">Capital Committee </w:t>
            </w:r>
            <w:r>
              <w:rPr>
                <w:rFonts w:ascii="Arial" w:cs="Arial" w:eastAsia="Arial" w:hAnsi="Arial"/>
                <w:sz w:val="16"/>
                <w:szCs w:val="16"/>
                <w:b w:val="1"/>
                <w:bCs w:val="1"/>
                <w:color w:val="4C4C4C"/>
              </w:rPr>
              <w:t>(2)</w:t>
            </w:r>
          </w:p>
        </w:tc>
        <w:tc>
          <w:tcPr>
            <w:tcW w:w="2540" w:type="dxa"/>
            <w:vAlign w:val="bottom"/>
          </w:tcPr>
          <w:p>
            <w:pPr>
              <w:ind w:left="140"/>
              <w:spacing w:after="0"/>
              <w:rPr>
                <w:sz w:val="20"/>
                <w:szCs w:val="20"/>
                <w:color w:val="auto"/>
              </w:rPr>
            </w:pPr>
            <w:r>
              <w:rPr>
                <w:rFonts w:ascii="Arial" w:cs="Arial" w:eastAsia="Arial" w:hAnsi="Arial"/>
                <w:sz w:val="18"/>
                <w:szCs w:val="18"/>
                <w:color w:val="4C4C4C"/>
              </w:rPr>
              <w:t>Irene Chang Britt</w:t>
            </w:r>
          </w:p>
        </w:tc>
        <w:tc>
          <w:tcPr>
            <w:tcW w:w="5300" w:type="dxa"/>
            <w:vAlign w:val="bottom"/>
          </w:tcPr>
          <w:p>
            <w:pPr>
              <w:ind w:left="320"/>
              <w:spacing w:after="0"/>
              <w:rPr>
                <w:sz w:val="20"/>
                <w:szCs w:val="20"/>
                <w:color w:val="auto"/>
              </w:rPr>
            </w:pPr>
            <w:r>
              <w:rPr>
                <w:rFonts w:ascii="Arial" w:cs="Arial" w:eastAsia="Arial" w:hAnsi="Arial"/>
                <w:sz w:val="18"/>
                <w:szCs w:val="18"/>
                <w:color w:val="4C4C4C"/>
              </w:rPr>
              <w:t>the Company’s compensation and benefits policies and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vMerge w:val="restart"/>
          </w:tcPr>
          <w:p>
            <w:pPr>
              <w:ind w:left="60"/>
              <w:spacing w:after="0"/>
              <w:rPr>
                <w:sz w:val="20"/>
                <w:szCs w:val="20"/>
                <w:color w:val="auto"/>
              </w:rPr>
            </w:pPr>
            <w:r>
              <w:rPr>
                <w:rFonts w:ascii="Arial" w:cs="Arial" w:eastAsia="Arial" w:hAnsi="Arial"/>
                <w:sz w:val="18"/>
                <w:szCs w:val="18"/>
                <w:color w:val="4C4C4C"/>
              </w:rPr>
              <w:t>Meetings held in 2020: 8</w:t>
            </w: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Eileen Mallesch</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programs for our executives, including equity and non-equity</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Paul Wetzel</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incentive compensation plans and arrangements, awards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under such plans, severance benefits, stock ownership</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guidelines, and hedging, pledging, and clawback policies. The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Compensation and Human Capital Committee also oversees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human capital matters, including pay equity; DE&amp;I; leadership</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development; culture; and succession planning for the CEO</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and other executives. For additional information on the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w w:val="99"/>
              </w:rPr>
              <w:t>responsibilities and activities of the Compensation and Human</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Capital Committee, including the Committee’s processes for</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determining executive compensation, see “</w:t>
            </w:r>
            <w:r>
              <w:rPr>
                <w:rFonts w:ascii="Arial" w:cs="Arial" w:eastAsia="Arial" w:hAnsi="Arial"/>
                <w:sz w:val="18"/>
                <w:szCs w:val="18"/>
                <w:color w:val="4CC5CF"/>
              </w:rPr>
              <w:t>Compensation</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840" w:type="dxa"/>
            <w:vAlign w:val="bottom"/>
            <w:tcBorders>
              <w:bottom w:val="single" w:sz="8" w:color="4C4C4C"/>
            </w:tcBorders>
          </w:tcPr>
          <w:p>
            <w:pPr>
              <w:spacing w:after="0"/>
              <w:rPr>
                <w:sz w:val="18"/>
                <w:szCs w:val="18"/>
                <w:color w:val="auto"/>
              </w:rPr>
            </w:pPr>
          </w:p>
        </w:tc>
        <w:tc>
          <w:tcPr>
            <w:tcW w:w="2540" w:type="dxa"/>
            <w:vAlign w:val="bottom"/>
            <w:tcBorders>
              <w:bottom w:val="single" w:sz="8" w:color="4C4C4C"/>
            </w:tcBorders>
          </w:tcPr>
          <w:p>
            <w:pPr>
              <w:spacing w:after="0"/>
              <w:rPr>
                <w:sz w:val="18"/>
                <w:szCs w:val="18"/>
                <w:color w:val="auto"/>
              </w:rPr>
            </w:pPr>
          </w:p>
        </w:tc>
        <w:tc>
          <w:tcPr>
            <w:tcW w:w="5300" w:type="dxa"/>
            <w:vAlign w:val="bottom"/>
            <w:tcBorders>
              <w:bottom w:val="single" w:sz="8" w:color="4C4C4C"/>
            </w:tcBorders>
          </w:tcPr>
          <w:p>
            <w:pPr>
              <w:ind w:left="320"/>
              <w:spacing w:after="0"/>
              <w:rPr>
                <w:sz w:val="20"/>
                <w:szCs w:val="20"/>
                <w:color w:val="auto"/>
              </w:rPr>
            </w:pPr>
            <w:r>
              <w:rPr>
                <w:rFonts w:ascii="Arial" w:cs="Arial" w:eastAsia="Arial" w:hAnsi="Arial"/>
                <w:sz w:val="18"/>
                <w:szCs w:val="18"/>
                <w:color w:val="4CC5CF"/>
              </w:rPr>
              <w:t>Discussion and Analysis</w:t>
            </w:r>
            <w:r>
              <w:rPr>
                <w:rFonts w:ascii="Arial" w:cs="Arial" w:eastAsia="Arial" w:hAnsi="Arial"/>
                <w:sz w:val="18"/>
                <w:szCs w:val="18"/>
                <w:color w:val="4C4C4C"/>
              </w:rPr>
              <w:t>.”</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2840" w:type="dxa"/>
            <w:vAlign w:val="bottom"/>
          </w:tcPr>
          <w:p>
            <w:pPr>
              <w:ind w:left="60"/>
              <w:spacing w:after="0"/>
              <w:rPr>
                <w:sz w:val="20"/>
                <w:szCs w:val="20"/>
                <w:color w:val="auto"/>
              </w:rPr>
            </w:pPr>
            <w:r>
              <w:rPr>
                <w:rFonts w:ascii="Arial" w:cs="Arial" w:eastAsia="Arial" w:hAnsi="Arial"/>
                <w:sz w:val="20"/>
                <w:szCs w:val="20"/>
                <w:b w:val="1"/>
                <w:bCs w:val="1"/>
                <w:color w:val="4C4C4C"/>
              </w:rPr>
              <w:t>Executive Committee</w:t>
            </w:r>
          </w:p>
        </w:tc>
        <w:tc>
          <w:tcPr>
            <w:tcW w:w="2540" w:type="dxa"/>
            <w:vAlign w:val="bottom"/>
          </w:tcPr>
          <w:p>
            <w:pPr>
              <w:ind w:left="140"/>
              <w:spacing w:after="0"/>
              <w:rPr>
                <w:sz w:val="20"/>
                <w:szCs w:val="20"/>
                <w:color w:val="auto"/>
              </w:rPr>
            </w:pPr>
            <w:r>
              <w:rPr>
                <w:rFonts w:ascii="Arial" w:cs="Arial" w:eastAsia="Arial" w:hAnsi="Arial"/>
                <w:sz w:val="18"/>
                <w:szCs w:val="18"/>
                <w:color w:val="4C4C4C"/>
              </w:rPr>
              <w:t>Eric Steigerwalt (Chair)</w:t>
            </w:r>
          </w:p>
        </w:tc>
        <w:tc>
          <w:tcPr>
            <w:tcW w:w="5300" w:type="dxa"/>
            <w:vAlign w:val="bottom"/>
          </w:tcPr>
          <w:p>
            <w:pPr>
              <w:ind w:left="320"/>
              <w:spacing w:after="0"/>
              <w:rPr>
                <w:sz w:val="20"/>
                <w:szCs w:val="20"/>
                <w:color w:val="auto"/>
              </w:rPr>
            </w:pPr>
            <w:r>
              <w:rPr>
                <w:rFonts w:ascii="Arial" w:cs="Arial" w:eastAsia="Arial" w:hAnsi="Arial"/>
                <w:sz w:val="18"/>
                <w:szCs w:val="18"/>
                <w:color w:val="4C4C4C"/>
              </w:rPr>
              <w:t>The Executive Committee acts on behalf of the entire Board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vMerge w:val="restart"/>
          </w:tcPr>
          <w:p>
            <w:pPr>
              <w:ind w:left="60"/>
              <w:spacing w:after="0"/>
              <w:rPr>
                <w:sz w:val="20"/>
                <w:szCs w:val="20"/>
                <w:color w:val="auto"/>
              </w:rPr>
            </w:pPr>
            <w:r>
              <w:rPr>
                <w:rFonts w:ascii="Arial" w:cs="Arial" w:eastAsia="Arial" w:hAnsi="Arial"/>
                <w:sz w:val="18"/>
                <w:szCs w:val="18"/>
                <w:color w:val="4C4C4C"/>
              </w:rPr>
              <w:t>Meetings held in 2020: None</w:t>
            </w: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Chuck Chaplin</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with respect to certain exigent matters between meetings of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840" w:type="dxa"/>
            <w:vAlign w:val="bottom"/>
            <w:vMerge w:val="continue"/>
          </w:tcPr>
          <w:p>
            <w:pPr>
              <w:spacing w:after="0"/>
              <w:rPr>
                <w:sz w:val="12"/>
                <w:szCs w:val="12"/>
                <w:color w:val="auto"/>
              </w:rPr>
            </w:pPr>
          </w:p>
        </w:tc>
        <w:tc>
          <w:tcPr>
            <w:tcW w:w="2540" w:type="dxa"/>
            <w:vAlign w:val="bottom"/>
            <w:vMerge w:val="restart"/>
          </w:tcPr>
          <w:p>
            <w:pPr>
              <w:ind w:left="140"/>
              <w:spacing w:after="0"/>
              <w:rPr>
                <w:sz w:val="20"/>
                <w:szCs w:val="20"/>
                <w:color w:val="auto"/>
              </w:rPr>
            </w:pPr>
            <w:r>
              <w:rPr>
                <w:rFonts w:ascii="Arial" w:cs="Arial" w:eastAsia="Arial" w:hAnsi="Arial"/>
                <w:sz w:val="18"/>
                <w:szCs w:val="18"/>
                <w:color w:val="4C4C4C"/>
              </w:rPr>
              <w:t>Pat Shouvlin</w:t>
            </w:r>
          </w:p>
        </w:tc>
        <w:tc>
          <w:tcPr>
            <w:tcW w:w="5300" w:type="dxa"/>
            <w:vAlign w:val="bottom"/>
            <w:vMerge w:val="restart"/>
          </w:tcPr>
          <w:p>
            <w:pPr>
              <w:ind w:left="320"/>
              <w:spacing w:after="0"/>
              <w:rPr>
                <w:sz w:val="20"/>
                <w:szCs w:val="20"/>
                <w:color w:val="auto"/>
              </w:rPr>
            </w:pPr>
            <w:r>
              <w:rPr>
                <w:rFonts w:ascii="Arial" w:cs="Arial" w:eastAsia="Arial" w:hAnsi="Arial"/>
                <w:sz w:val="18"/>
                <w:szCs w:val="18"/>
                <w:color w:val="4C4C4C"/>
              </w:rPr>
              <w:t>the Board.</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2840" w:type="dxa"/>
            <w:vAlign w:val="bottom"/>
            <w:tcBorders>
              <w:bottom w:val="single" w:sz="8" w:color="4C4C4C"/>
            </w:tcBorders>
          </w:tcPr>
          <w:p>
            <w:pPr>
              <w:spacing w:after="0"/>
              <w:rPr>
                <w:sz w:val="5"/>
                <w:szCs w:val="5"/>
                <w:color w:val="auto"/>
              </w:rPr>
            </w:pPr>
          </w:p>
        </w:tc>
        <w:tc>
          <w:tcPr>
            <w:tcW w:w="2540" w:type="dxa"/>
            <w:vAlign w:val="bottom"/>
            <w:tcBorders>
              <w:bottom w:val="single" w:sz="8" w:color="4C4C4C"/>
            </w:tcBorders>
            <w:vMerge w:val="continue"/>
          </w:tcPr>
          <w:p>
            <w:pPr>
              <w:spacing w:after="0"/>
              <w:rPr>
                <w:sz w:val="5"/>
                <w:szCs w:val="5"/>
                <w:color w:val="auto"/>
              </w:rPr>
            </w:pPr>
          </w:p>
        </w:tc>
        <w:tc>
          <w:tcPr>
            <w:tcW w:w="5300" w:type="dxa"/>
            <w:vAlign w:val="bottom"/>
            <w:tcBorders>
              <w:bottom w:val="single" w:sz="8" w:color="4C4C4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60" w:type="dxa"/>
            <w:vAlign w:val="bottom"/>
          </w:tcPr>
          <w:p>
            <w:pPr>
              <w:spacing w:after="0"/>
              <w:rPr>
                <w:sz w:val="21"/>
                <w:szCs w:val="21"/>
                <w:color w:val="auto"/>
              </w:rPr>
            </w:pPr>
          </w:p>
        </w:tc>
        <w:tc>
          <w:tcPr>
            <w:tcW w:w="2840" w:type="dxa"/>
            <w:vAlign w:val="bottom"/>
          </w:tcPr>
          <w:p>
            <w:pPr>
              <w:ind w:left="60"/>
              <w:spacing w:after="0"/>
              <w:rPr>
                <w:sz w:val="20"/>
                <w:szCs w:val="20"/>
                <w:color w:val="auto"/>
              </w:rPr>
            </w:pPr>
            <w:r>
              <w:rPr>
                <w:rFonts w:ascii="Arial" w:cs="Arial" w:eastAsia="Arial" w:hAnsi="Arial"/>
                <w:sz w:val="20"/>
                <w:szCs w:val="20"/>
                <w:b w:val="1"/>
                <w:bCs w:val="1"/>
                <w:color w:val="3F3F3F"/>
              </w:rPr>
              <w:t>Finance and Risk</w:t>
            </w:r>
          </w:p>
        </w:tc>
        <w:tc>
          <w:tcPr>
            <w:tcW w:w="2540" w:type="dxa"/>
            <w:vAlign w:val="bottom"/>
          </w:tcPr>
          <w:p>
            <w:pPr>
              <w:ind w:left="140"/>
              <w:spacing w:after="0"/>
              <w:rPr>
                <w:sz w:val="20"/>
                <w:szCs w:val="20"/>
                <w:color w:val="auto"/>
              </w:rPr>
            </w:pPr>
            <w:r>
              <w:rPr>
                <w:rFonts w:ascii="Arial" w:cs="Arial" w:eastAsia="Arial" w:hAnsi="Arial"/>
                <w:sz w:val="18"/>
                <w:szCs w:val="18"/>
                <w:color w:val="4C4C4C"/>
              </w:rPr>
              <w:t>Chuck Chaplin (Chair)</w:t>
            </w:r>
          </w:p>
        </w:tc>
        <w:tc>
          <w:tcPr>
            <w:tcW w:w="5300" w:type="dxa"/>
            <w:vAlign w:val="bottom"/>
          </w:tcPr>
          <w:p>
            <w:pPr>
              <w:ind w:left="320"/>
              <w:spacing w:after="0"/>
              <w:rPr>
                <w:sz w:val="20"/>
                <w:szCs w:val="20"/>
                <w:color w:val="auto"/>
              </w:rPr>
            </w:pPr>
            <w:r>
              <w:rPr>
                <w:rFonts w:ascii="Arial" w:cs="Arial" w:eastAsia="Arial" w:hAnsi="Arial"/>
                <w:sz w:val="18"/>
                <w:szCs w:val="18"/>
                <w:color w:val="4C4C4C"/>
              </w:rPr>
              <w:t>The Finance and Risk Committee oversees Brighthouse’s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40" w:type="dxa"/>
            <w:vAlign w:val="bottom"/>
          </w:tcPr>
          <w:p>
            <w:pPr>
              <w:ind w:left="60"/>
              <w:spacing w:after="0" w:line="216" w:lineRule="exact"/>
              <w:rPr>
                <w:sz w:val="20"/>
                <w:szCs w:val="20"/>
                <w:color w:val="auto"/>
              </w:rPr>
            </w:pPr>
            <w:r>
              <w:rPr>
                <w:rFonts w:ascii="Arial" w:cs="Arial" w:eastAsia="Arial" w:hAnsi="Arial"/>
                <w:sz w:val="20"/>
                <w:szCs w:val="20"/>
                <w:b w:val="1"/>
                <w:bCs w:val="1"/>
                <w:color w:val="3F3F3F"/>
              </w:rPr>
              <w:t xml:space="preserve">Committee </w:t>
            </w:r>
            <w:r>
              <w:rPr>
                <w:rFonts w:ascii="Arial" w:cs="Arial" w:eastAsia="Arial" w:hAnsi="Arial"/>
                <w:sz w:val="16"/>
                <w:szCs w:val="16"/>
                <w:b w:val="1"/>
                <w:bCs w:val="1"/>
                <w:color w:val="4C4C4C"/>
              </w:rPr>
              <w:t>(3)</w:t>
            </w:r>
          </w:p>
        </w:tc>
        <w:tc>
          <w:tcPr>
            <w:tcW w:w="2540" w:type="dxa"/>
            <w:vAlign w:val="bottom"/>
          </w:tcPr>
          <w:p>
            <w:pPr>
              <w:ind w:left="140"/>
              <w:spacing w:after="0"/>
              <w:rPr>
                <w:sz w:val="20"/>
                <w:szCs w:val="20"/>
                <w:color w:val="auto"/>
              </w:rPr>
            </w:pPr>
            <w:r>
              <w:rPr>
                <w:rFonts w:ascii="Arial" w:cs="Arial" w:eastAsia="Arial" w:hAnsi="Arial"/>
                <w:sz w:val="18"/>
                <w:szCs w:val="18"/>
                <w:color w:val="4C4C4C"/>
              </w:rPr>
              <w:t xml:space="preserve">Meg McCarthy </w:t>
            </w:r>
            <w:r>
              <w:rPr>
                <w:rFonts w:ascii="Arial" w:cs="Arial" w:eastAsia="Arial" w:hAnsi="Arial"/>
                <w:sz w:val="15"/>
                <w:szCs w:val="15"/>
                <w:color w:val="4C4C4C"/>
              </w:rPr>
              <w:t>(5)</w:t>
            </w:r>
          </w:p>
        </w:tc>
        <w:tc>
          <w:tcPr>
            <w:tcW w:w="5300" w:type="dxa"/>
            <w:vAlign w:val="bottom"/>
          </w:tcPr>
          <w:p>
            <w:pPr>
              <w:ind w:left="320"/>
              <w:spacing w:after="0"/>
              <w:rPr>
                <w:sz w:val="20"/>
                <w:szCs w:val="20"/>
                <w:color w:val="auto"/>
              </w:rPr>
            </w:pPr>
            <w:r>
              <w:rPr>
                <w:rFonts w:ascii="Arial" w:cs="Arial" w:eastAsia="Arial" w:hAnsi="Arial"/>
                <w:sz w:val="18"/>
                <w:szCs w:val="18"/>
                <w:color w:val="4C4C4C"/>
              </w:rPr>
              <w:t>financial plan, policies, and strategies (including capital and</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vMerge w:val="restart"/>
          </w:tcPr>
          <w:p>
            <w:pPr>
              <w:ind w:left="60"/>
              <w:spacing w:after="0"/>
              <w:rPr>
                <w:sz w:val="20"/>
                <w:szCs w:val="20"/>
                <w:color w:val="auto"/>
              </w:rPr>
            </w:pPr>
            <w:r>
              <w:rPr>
                <w:rFonts w:ascii="Arial" w:cs="Arial" w:eastAsia="Arial" w:hAnsi="Arial"/>
                <w:sz w:val="18"/>
                <w:szCs w:val="18"/>
                <w:color w:val="4C4C4C"/>
              </w:rPr>
              <w:t>Meetings held in 2020: 7</w:t>
            </w: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Diane Offereins</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liquidity management strategies, the capitalization of</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Paul Wetzel</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Brighthouse and its subsidiaries, and our hedging strategy)</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w w:val="99"/>
              </w:rPr>
              <w:t>and measures Brighthouse’s performance against its business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and financial plans. The Finance and Risk Committee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oversees and approves actions and policies relating to equity</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and debt issuances, share repurchase programs, dividends,</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840" w:type="dxa"/>
            <w:vAlign w:val="bottom"/>
            <w:tcBorders>
              <w:bottom w:val="single" w:sz="8" w:color="4C4C4C"/>
            </w:tcBorders>
          </w:tcPr>
          <w:p>
            <w:pPr>
              <w:spacing w:after="0"/>
              <w:rPr>
                <w:sz w:val="18"/>
                <w:szCs w:val="18"/>
                <w:color w:val="auto"/>
              </w:rPr>
            </w:pPr>
          </w:p>
        </w:tc>
        <w:tc>
          <w:tcPr>
            <w:tcW w:w="2540" w:type="dxa"/>
            <w:vAlign w:val="bottom"/>
            <w:tcBorders>
              <w:bottom w:val="single" w:sz="8" w:color="4C4C4C"/>
            </w:tcBorders>
          </w:tcPr>
          <w:p>
            <w:pPr>
              <w:spacing w:after="0"/>
              <w:rPr>
                <w:sz w:val="18"/>
                <w:szCs w:val="18"/>
                <w:color w:val="auto"/>
              </w:rPr>
            </w:pPr>
          </w:p>
        </w:tc>
        <w:tc>
          <w:tcPr>
            <w:tcW w:w="5300" w:type="dxa"/>
            <w:vAlign w:val="bottom"/>
            <w:tcBorders>
              <w:bottom w:val="single" w:sz="8" w:color="4C4C4C"/>
            </w:tcBorders>
          </w:tcPr>
          <w:p>
            <w:pPr>
              <w:ind w:left="320"/>
              <w:spacing w:after="0"/>
              <w:rPr>
                <w:sz w:val="20"/>
                <w:szCs w:val="20"/>
                <w:color w:val="auto"/>
              </w:rPr>
            </w:pPr>
            <w:r>
              <w:rPr>
                <w:rFonts w:ascii="Arial" w:cs="Arial" w:eastAsia="Arial" w:hAnsi="Arial"/>
                <w:sz w:val="18"/>
                <w:szCs w:val="18"/>
                <w:color w:val="4C4C4C"/>
              </w:rPr>
              <w:t>and mergers and acquisitions.</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2840" w:type="dxa"/>
            <w:vAlign w:val="bottom"/>
          </w:tcPr>
          <w:p>
            <w:pPr>
              <w:ind w:left="120"/>
              <w:spacing w:after="0"/>
              <w:rPr>
                <w:sz w:val="20"/>
                <w:szCs w:val="20"/>
                <w:color w:val="auto"/>
              </w:rPr>
            </w:pPr>
            <w:r>
              <w:rPr>
                <w:rFonts w:ascii="Arial" w:cs="Arial" w:eastAsia="Arial" w:hAnsi="Arial"/>
                <w:sz w:val="20"/>
                <w:szCs w:val="20"/>
                <w:b w:val="1"/>
                <w:bCs w:val="1"/>
                <w:color w:val="3F3F3F"/>
              </w:rPr>
              <w:t xml:space="preserve">Investment Committee </w:t>
            </w:r>
            <w:r>
              <w:rPr>
                <w:rFonts w:ascii="Arial" w:cs="Arial" w:eastAsia="Arial" w:hAnsi="Arial"/>
                <w:sz w:val="16"/>
                <w:szCs w:val="16"/>
                <w:b w:val="1"/>
                <w:bCs w:val="1"/>
                <w:color w:val="4C4C4C"/>
              </w:rPr>
              <w:t>(3)</w:t>
            </w:r>
          </w:p>
        </w:tc>
        <w:tc>
          <w:tcPr>
            <w:tcW w:w="2540" w:type="dxa"/>
            <w:vAlign w:val="bottom"/>
          </w:tcPr>
          <w:p>
            <w:pPr>
              <w:ind w:left="140"/>
              <w:spacing w:after="0"/>
              <w:rPr>
                <w:sz w:val="20"/>
                <w:szCs w:val="20"/>
                <w:color w:val="auto"/>
              </w:rPr>
            </w:pPr>
            <w:r>
              <w:rPr>
                <w:rFonts w:ascii="Arial" w:cs="Arial" w:eastAsia="Arial" w:hAnsi="Arial"/>
                <w:sz w:val="18"/>
                <w:szCs w:val="18"/>
                <w:color w:val="4C4C4C"/>
              </w:rPr>
              <w:t xml:space="preserve">Eileen Mallesch (Chair) </w:t>
            </w:r>
            <w:r>
              <w:rPr>
                <w:rFonts w:ascii="Arial" w:cs="Arial" w:eastAsia="Arial" w:hAnsi="Arial"/>
                <w:sz w:val="15"/>
                <w:szCs w:val="15"/>
                <w:color w:val="4C4C4C"/>
              </w:rPr>
              <w:t>(6)</w:t>
            </w:r>
          </w:p>
        </w:tc>
        <w:tc>
          <w:tcPr>
            <w:tcW w:w="5300" w:type="dxa"/>
            <w:vAlign w:val="bottom"/>
          </w:tcPr>
          <w:p>
            <w:pPr>
              <w:ind w:left="320"/>
              <w:spacing w:after="0"/>
              <w:rPr>
                <w:sz w:val="20"/>
                <w:szCs w:val="20"/>
                <w:color w:val="auto"/>
              </w:rPr>
            </w:pPr>
            <w:r>
              <w:rPr>
                <w:rFonts w:ascii="Arial" w:cs="Arial" w:eastAsia="Arial" w:hAnsi="Arial"/>
                <w:sz w:val="18"/>
                <w:szCs w:val="18"/>
                <w:color w:val="4C4C4C"/>
                <w:w w:val="99"/>
              </w:rPr>
              <w:t>The Investment Committee oversees, on a consolidated basis,</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840" w:type="dxa"/>
            <w:vAlign w:val="bottom"/>
            <w:vMerge w:val="restart"/>
          </w:tcPr>
          <w:p>
            <w:pPr>
              <w:ind w:left="100"/>
              <w:spacing w:after="0"/>
              <w:rPr>
                <w:sz w:val="20"/>
                <w:szCs w:val="20"/>
                <w:color w:val="auto"/>
              </w:rPr>
            </w:pPr>
            <w:r>
              <w:rPr>
                <w:rFonts w:ascii="Arial" w:cs="Arial" w:eastAsia="Arial" w:hAnsi="Arial"/>
                <w:sz w:val="18"/>
                <w:szCs w:val="18"/>
                <w:color w:val="4C4C4C"/>
              </w:rPr>
              <w:t>Meetings held in 2020: 5</w:t>
            </w:r>
          </w:p>
        </w:tc>
        <w:tc>
          <w:tcPr>
            <w:tcW w:w="2540" w:type="dxa"/>
            <w:vAlign w:val="bottom"/>
          </w:tcPr>
          <w:p>
            <w:pPr>
              <w:ind w:left="140"/>
              <w:spacing w:after="0" w:line="200" w:lineRule="exact"/>
              <w:rPr>
                <w:sz w:val="20"/>
                <w:szCs w:val="20"/>
                <w:color w:val="auto"/>
              </w:rPr>
            </w:pPr>
            <w:r>
              <w:rPr>
                <w:rFonts w:ascii="Arial" w:cs="Arial" w:eastAsia="Arial" w:hAnsi="Arial"/>
                <w:sz w:val="18"/>
                <w:szCs w:val="18"/>
                <w:color w:val="4C4C4C"/>
              </w:rPr>
              <w:t>Irene Chang Britt</w:t>
            </w:r>
          </w:p>
        </w:tc>
        <w:tc>
          <w:tcPr>
            <w:tcW w:w="5300" w:type="dxa"/>
            <w:vAlign w:val="bottom"/>
          </w:tcPr>
          <w:p>
            <w:pPr>
              <w:ind w:left="320"/>
              <w:spacing w:after="0" w:line="200" w:lineRule="exact"/>
              <w:rPr>
                <w:sz w:val="20"/>
                <w:szCs w:val="20"/>
                <w:color w:val="auto"/>
              </w:rPr>
            </w:pPr>
            <w:r>
              <w:rPr>
                <w:rFonts w:ascii="Arial" w:cs="Arial" w:eastAsia="Arial" w:hAnsi="Arial"/>
                <w:sz w:val="18"/>
                <w:szCs w:val="18"/>
                <w:color w:val="4C4C4C"/>
              </w:rPr>
              <w:t>the activities and performance of Brighthouse and its</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540" w:type="dxa"/>
            <w:vAlign w:val="bottom"/>
            <w:vMerge w:val="restart"/>
          </w:tcPr>
          <w:p>
            <w:pPr>
              <w:ind w:left="140"/>
              <w:spacing w:after="0" w:line="205" w:lineRule="exact"/>
              <w:rPr>
                <w:sz w:val="20"/>
                <w:szCs w:val="20"/>
                <w:color w:val="auto"/>
              </w:rPr>
            </w:pPr>
            <w:r>
              <w:rPr>
                <w:rFonts w:ascii="Arial" w:cs="Arial" w:eastAsia="Arial" w:hAnsi="Arial"/>
                <w:sz w:val="18"/>
                <w:szCs w:val="18"/>
                <w:color w:val="4C4C4C"/>
              </w:rPr>
              <w:t xml:space="preserve">Steve Hooley </w:t>
            </w:r>
            <w:r>
              <w:rPr>
                <w:rFonts w:ascii="Arial" w:cs="Arial" w:eastAsia="Arial" w:hAnsi="Arial"/>
                <w:sz w:val="15"/>
                <w:szCs w:val="15"/>
                <w:color w:val="4C4C4C"/>
              </w:rPr>
              <w:t>(4)</w:t>
            </w:r>
          </w:p>
        </w:tc>
        <w:tc>
          <w:tcPr>
            <w:tcW w:w="5300" w:type="dxa"/>
            <w:vAlign w:val="bottom"/>
            <w:vMerge w:val="restart"/>
          </w:tcPr>
          <w:p>
            <w:pPr>
              <w:ind w:left="320"/>
              <w:spacing w:after="0" w:line="205" w:lineRule="exact"/>
              <w:rPr>
                <w:sz w:val="20"/>
                <w:szCs w:val="20"/>
                <w:color w:val="auto"/>
              </w:rPr>
            </w:pPr>
            <w:r>
              <w:rPr>
                <w:rFonts w:ascii="Arial" w:cs="Arial" w:eastAsia="Arial" w:hAnsi="Arial"/>
                <w:sz w:val="18"/>
                <w:szCs w:val="18"/>
                <w:color w:val="4C4C4C"/>
              </w:rPr>
              <w:t>subsidiaries’ general accounts and consolidated separate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5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ind w:left="140"/>
              <w:spacing w:after="0" w:line="202" w:lineRule="exact"/>
              <w:rPr>
                <w:sz w:val="20"/>
                <w:szCs w:val="20"/>
                <w:color w:val="auto"/>
              </w:rPr>
            </w:pPr>
            <w:r>
              <w:rPr>
                <w:rFonts w:ascii="Arial" w:cs="Arial" w:eastAsia="Arial" w:hAnsi="Arial"/>
                <w:sz w:val="18"/>
                <w:szCs w:val="18"/>
                <w:color w:val="4C4C4C"/>
              </w:rPr>
              <w:t>Pat Shouvlin</w:t>
            </w: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accounts (including our non-variable annuity derivatives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ind w:left="320"/>
              <w:spacing w:after="0" w:line="202" w:lineRule="exact"/>
              <w:rPr>
                <w:sz w:val="20"/>
                <w:szCs w:val="20"/>
                <w:color w:val="auto"/>
              </w:rPr>
            </w:pPr>
            <w:r>
              <w:rPr>
                <w:rFonts w:ascii="Arial" w:cs="Arial" w:eastAsia="Arial" w:hAnsi="Arial"/>
                <w:sz w:val="18"/>
                <w:szCs w:val="18"/>
                <w:color w:val="4C4C4C"/>
              </w:rPr>
              <w:t>activity). The Investment Committee oversees the enterprise</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300" w:type="dxa"/>
            <w:vAlign w:val="bottom"/>
          </w:tcPr>
          <w:p>
            <w:pPr>
              <w:ind w:left="320"/>
              <w:spacing w:after="0" w:line="181" w:lineRule="exact"/>
              <w:rPr>
                <w:sz w:val="20"/>
                <w:szCs w:val="20"/>
                <w:color w:val="auto"/>
              </w:rPr>
            </w:pPr>
            <w:r>
              <w:rPr>
                <w:rFonts w:ascii="Arial" w:cs="Arial" w:eastAsia="Arial" w:hAnsi="Arial"/>
                <w:sz w:val="18"/>
                <w:szCs w:val="18"/>
                <w:color w:val="4C4C4C"/>
              </w:rPr>
              <w:t>investment strategy, including the review and approval of</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4C4C4C"/>
              </w:rPr>
              <w:t>Enterprise Investment Authorities (“</w:t>
            </w:r>
            <w:r>
              <w:rPr>
                <w:rFonts w:ascii="Arial" w:cs="Arial" w:eastAsia="Arial" w:hAnsi="Arial"/>
                <w:sz w:val="18"/>
                <w:szCs w:val="18"/>
                <w:b w:val="1"/>
                <w:bCs w:val="1"/>
                <w:color w:val="00ADBB"/>
              </w:rPr>
              <w:t>EIAs</w:t>
            </w:r>
            <w:r>
              <w:rPr>
                <w:rFonts w:ascii="Arial" w:cs="Arial" w:eastAsia="Arial" w:hAnsi="Arial"/>
                <w:sz w:val="18"/>
                <w:szCs w:val="18"/>
                <w:color w:val="4C4C4C"/>
              </w:rPr>
              <w:t>”) relating to our</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840" w:type="dxa"/>
            <w:vAlign w:val="bottom"/>
            <w:tcBorders>
              <w:bottom w:val="single" w:sz="8" w:color="4C4C4C"/>
            </w:tcBorders>
          </w:tcPr>
          <w:p>
            <w:pPr>
              <w:spacing w:after="0"/>
              <w:rPr>
                <w:sz w:val="18"/>
                <w:szCs w:val="18"/>
                <w:color w:val="auto"/>
              </w:rPr>
            </w:pPr>
          </w:p>
        </w:tc>
        <w:tc>
          <w:tcPr>
            <w:tcW w:w="2540" w:type="dxa"/>
            <w:vAlign w:val="bottom"/>
            <w:tcBorders>
              <w:bottom w:val="single" w:sz="8" w:color="4C4C4C"/>
            </w:tcBorders>
          </w:tcPr>
          <w:p>
            <w:pPr>
              <w:spacing w:after="0"/>
              <w:rPr>
                <w:sz w:val="18"/>
                <w:szCs w:val="18"/>
                <w:color w:val="auto"/>
              </w:rPr>
            </w:pPr>
          </w:p>
        </w:tc>
        <w:tc>
          <w:tcPr>
            <w:tcW w:w="5300" w:type="dxa"/>
            <w:vAlign w:val="bottom"/>
            <w:tcBorders>
              <w:bottom w:val="single" w:sz="8" w:color="4C4C4C"/>
            </w:tcBorders>
          </w:tcPr>
          <w:p>
            <w:pPr>
              <w:ind w:left="320"/>
              <w:spacing w:after="0"/>
              <w:rPr>
                <w:sz w:val="20"/>
                <w:szCs w:val="20"/>
                <w:color w:val="auto"/>
              </w:rPr>
            </w:pPr>
            <w:r>
              <w:rPr>
                <w:rFonts w:ascii="Arial" w:cs="Arial" w:eastAsia="Arial" w:hAnsi="Arial"/>
                <w:sz w:val="18"/>
                <w:szCs w:val="18"/>
                <w:color w:val="4C4C4C"/>
              </w:rPr>
              <w:t>general accounts and consolidated separate accounts and</w:t>
            </w:r>
          </w:p>
        </w:tc>
        <w:tc>
          <w:tcPr>
            <w:tcW w:w="0" w:type="dxa"/>
            <w:vAlign w:val="bottom"/>
          </w:tcPr>
          <w:p>
            <w:pPr>
              <w:spacing w:after="0"/>
              <w:rPr>
                <w:sz w:val="1"/>
                <w:szCs w:val="1"/>
                <w:color w:val="auto"/>
              </w:rPr>
            </w:pPr>
          </w:p>
        </w:tc>
      </w:tr>
      <w:tr>
        <w:trPr>
          <w:trHeight w:val="679"/>
        </w:trPr>
        <w:tc>
          <w:tcPr>
            <w:tcW w:w="3000" w:type="dxa"/>
            <w:vAlign w:val="bottom"/>
            <w:gridSpan w:val="2"/>
          </w:tcPr>
          <w:p>
            <w:pPr>
              <w:spacing w:after="0"/>
              <w:rPr>
                <w:sz w:val="20"/>
                <w:szCs w:val="20"/>
                <w:color w:val="auto"/>
              </w:rPr>
            </w:pPr>
            <w:r>
              <w:rPr>
                <w:rFonts w:ascii="Arial" w:cs="Arial" w:eastAsia="Arial" w:hAnsi="Arial"/>
                <w:sz w:val="13"/>
                <w:szCs w:val="13"/>
                <w:b w:val="1"/>
                <w:bCs w:val="1"/>
                <w:color w:val="00ADBB"/>
              </w:rPr>
              <w:t>32 | 2021 Proxy Statement</w:t>
            </w:r>
          </w:p>
        </w:tc>
        <w:tc>
          <w:tcPr>
            <w:tcW w:w="25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b w:val="1"/>
                <w:bCs w:val="1"/>
                <w:color w:val="00ADBB"/>
              </w:rPr>
              <w:t>Brighthouse Financial, Inc.</w:t>
            </w:r>
          </w:p>
        </w:tc>
        <w:tc>
          <w:tcPr>
            <w:tcW w:w="2540" w:type="dxa"/>
            <w:vAlign w:val="bottom"/>
          </w:tcPr>
          <w:p>
            <w:pPr>
              <w:spacing w:after="0"/>
              <w:rPr>
                <w:sz w:val="13"/>
                <w:szCs w:val="13"/>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00ADBB"/>
              </w:rPr>
              <w:t>Board and Corporate Governance Practices</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00ADBB"/>
              </w:rPr>
              <w:t>Information About Our Board Committees</w:t>
            </w:r>
          </w:p>
        </w:tc>
        <w:tc>
          <w:tcPr>
            <w:tcW w:w="0" w:type="dxa"/>
            <w:vAlign w:val="bottom"/>
          </w:tcPr>
          <w:p>
            <w:pPr>
              <w:spacing w:after="0"/>
              <w:rPr>
                <w:sz w:val="1"/>
                <w:szCs w:val="1"/>
                <w:color w:val="auto"/>
              </w:rPr>
            </w:pPr>
          </w:p>
        </w:tc>
      </w:tr>
      <w:tr>
        <w:trPr>
          <w:trHeight w:val="246"/>
        </w:trPr>
        <w:tc>
          <w:tcPr>
            <w:tcW w:w="2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5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94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Committee</w:t>
            </w:r>
          </w:p>
        </w:tc>
        <w:tc>
          <w:tcPr>
            <w:tcW w:w="2540" w:type="dxa"/>
            <w:vAlign w:val="bottom"/>
            <w:shd w:val="clear" w:color="auto" w:fill="00ADBB"/>
          </w:tcPr>
          <w:p>
            <w:pPr>
              <w:ind w:left="700"/>
              <w:spacing w:after="0"/>
              <w:rPr>
                <w:sz w:val="20"/>
                <w:szCs w:val="20"/>
                <w:color w:val="auto"/>
              </w:rPr>
            </w:pPr>
            <w:r>
              <w:rPr>
                <w:rFonts w:ascii="Arial" w:cs="Arial" w:eastAsia="Arial" w:hAnsi="Arial"/>
                <w:sz w:val="18"/>
                <w:szCs w:val="18"/>
                <w:b w:val="1"/>
                <w:bCs w:val="1"/>
                <w:color w:val="FFFFFF"/>
              </w:rPr>
              <w:t>Members in 2020</w:t>
            </w:r>
          </w:p>
        </w:tc>
        <w:tc>
          <w:tcPr>
            <w:tcW w:w="5540" w:type="dxa"/>
            <w:vAlign w:val="bottom"/>
            <w:shd w:val="clear" w:color="auto" w:fill="00ADBB"/>
          </w:tcPr>
          <w:p>
            <w:pPr>
              <w:ind w:left="2480"/>
              <w:spacing w:after="0"/>
              <w:rPr>
                <w:sz w:val="20"/>
                <w:szCs w:val="20"/>
                <w:color w:val="auto"/>
              </w:rPr>
            </w:pPr>
            <w:r>
              <w:rPr>
                <w:rFonts w:ascii="Arial" w:cs="Arial" w:eastAsia="Arial" w:hAnsi="Arial"/>
                <w:sz w:val="18"/>
                <w:szCs w:val="18"/>
                <w:b w:val="1"/>
                <w:bCs w:val="1"/>
                <w:color w:val="FFFFFF"/>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00ADBB"/>
          </w:tcPr>
          <w:p>
            <w:pPr>
              <w:spacing w:after="0"/>
              <w:rPr>
                <w:sz w:val="12"/>
                <w:szCs w:val="12"/>
                <w:color w:val="auto"/>
              </w:rPr>
            </w:pPr>
          </w:p>
        </w:tc>
        <w:tc>
          <w:tcPr>
            <w:tcW w:w="2540" w:type="dxa"/>
            <w:vAlign w:val="bottom"/>
            <w:shd w:val="clear" w:color="auto" w:fill="00ADBB"/>
          </w:tcPr>
          <w:p>
            <w:pPr>
              <w:spacing w:after="0"/>
              <w:rPr>
                <w:sz w:val="12"/>
                <w:szCs w:val="12"/>
                <w:color w:val="auto"/>
              </w:rPr>
            </w:pPr>
          </w:p>
        </w:tc>
        <w:tc>
          <w:tcPr>
            <w:tcW w:w="5540" w:type="dxa"/>
            <w:vAlign w:val="bottom"/>
            <w:shd w:val="clear" w:color="auto" w:fill="00ADBB"/>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40" w:type="dxa"/>
            <w:vAlign w:val="bottom"/>
          </w:tcPr>
          <w:p>
            <w:pPr>
              <w:ind w:left="400"/>
              <w:spacing w:after="0" w:line="201" w:lineRule="exact"/>
              <w:rPr>
                <w:sz w:val="20"/>
                <w:szCs w:val="20"/>
                <w:color w:val="auto"/>
              </w:rPr>
            </w:pPr>
            <w:r>
              <w:rPr>
                <w:rFonts w:ascii="Arial" w:cs="Arial" w:eastAsia="Arial" w:hAnsi="Arial"/>
                <w:sz w:val="18"/>
                <w:szCs w:val="18"/>
                <w:color w:val="4C4C4C"/>
              </w:rPr>
              <w:t>the compliance of our investments with our EIAs.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Investment Committee also oversees the implementation and</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execution of our investments operating model, which includes</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60" w:type="dxa"/>
            <w:vAlign w:val="bottom"/>
            <w:gridSpan w:val="2"/>
          </w:tcPr>
          <w:p>
            <w:pPr>
              <w:ind w:left="400"/>
              <w:spacing w:after="0"/>
              <w:rPr>
                <w:sz w:val="20"/>
                <w:szCs w:val="20"/>
                <w:color w:val="auto"/>
              </w:rPr>
            </w:pPr>
            <w:r>
              <w:rPr>
                <w:rFonts w:ascii="Arial" w:cs="Arial" w:eastAsia="Arial" w:hAnsi="Arial"/>
                <w:sz w:val="18"/>
                <w:szCs w:val="18"/>
                <w:color w:val="4C4C4C"/>
              </w:rPr>
              <w:t>the oversight of our engagement of external asset managers.</w:t>
            </w:r>
          </w:p>
        </w:tc>
        <w:tc>
          <w:tcPr>
            <w:tcW w:w="0" w:type="dxa"/>
            <w:vAlign w:val="bottom"/>
          </w:tcPr>
          <w:p>
            <w:pPr>
              <w:spacing w:after="0"/>
              <w:rPr>
                <w:sz w:val="1"/>
                <w:szCs w:val="1"/>
                <w:color w:val="auto"/>
              </w:rPr>
            </w:pPr>
          </w:p>
        </w:tc>
      </w:tr>
      <w:tr>
        <w:trPr>
          <w:trHeight w:val="81"/>
        </w:trPr>
        <w:tc>
          <w:tcPr>
            <w:tcW w:w="2940" w:type="dxa"/>
            <w:vAlign w:val="bottom"/>
            <w:tcBorders>
              <w:bottom w:val="single" w:sz="8" w:color="4C4C4C"/>
            </w:tcBorders>
          </w:tcPr>
          <w:p>
            <w:pPr>
              <w:spacing w:after="0"/>
              <w:rPr>
                <w:sz w:val="7"/>
                <w:szCs w:val="7"/>
                <w:color w:val="auto"/>
              </w:rPr>
            </w:pPr>
          </w:p>
        </w:tc>
        <w:tc>
          <w:tcPr>
            <w:tcW w:w="2540" w:type="dxa"/>
            <w:vAlign w:val="bottom"/>
            <w:tcBorders>
              <w:bottom w:val="single" w:sz="8" w:color="4C4C4C"/>
            </w:tcBorders>
          </w:tcPr>
          <w:p>
            <w:pPr>
              <w:spacing w:after="0"/>
              <w:rPr>
                <w:sz w:val="7"/>
                <w:szCs w:val="7"/>
                <w:color w:val="auto"/>
              </w:rPr>
            </w:pPr>
          </w:p>
        </w:tc>
        <w:tc>
          <w:tcPr>
            <w:tcW w:w="5540" w:type="dxa"/>
            <w:vAlign w:val="bottom"/>
            <w:tcBorders>
              <w:bottom w:val="single" w:sz="8" w:color="4C4C4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940" w:type="dxa"/>
            <w:vAlign w:val="bottom"/>
          </w:tcPr>
          <w:p>
            <w:pPr>
              <w:ind w:left="100"/>
              <w:spacing w:after="0"/>
              <w:rPr>
                <w:sz w:val="20"/>
                <w:szCs w:val="20"/>
                <w:color w:val="auto"/>
              </w:rPr>
            </w:pPr>
            <w:r>
              <w:rPr>
                <w:rFonts w:ascii="Arial" w:cs="Arial" w:eastAsia="Arial" w:hAnsi="Arial"/>
                <w:sz w:val="20"/>
                <w:szCs w:val="20"/>
                <w:b w:val="1"/>
                <w:bCs w:val="1"/>
                <w:color w:val="3F3F3F"/>
              </w:rPr>
              <w:t>Nominating and Corporate</w:t>
            </w:r>
          </w:p>
        </w:tc>
        <w:tc>
          <w:tcPr>
            <w:tcW w:w="2540" w:type="dxa"/>
            <w:vAlign w:val="bottom"/>
          </w:tcPr>
          <w:p>
            <w:pPr>
              <w:ind w:left="120"/>
              <w:spacing w:after="0"/>
              <w:rPr>
                <w:sz w:val="20"/>
                <w:szCs w:val="20"/>
                <w:color w:val="auto"/>
              </w:rPr>
            </w:pPr>
            <w:r>
              <w:rPr>
                <w:rFonts w:ascii="Arial" w:cs="Arial" w:eastAsia="Arial" w:hAnsi="Arial"/>
                <w:sz w:val="18"/>
                <w:szCs w:val="18"/>
                <w:color w:val="4C4C4C"/>
              </w:rPr>
              <w:t>Irene Chang Britt (Chair)</w:t>
            </w:r>
          </w:p>
        </w:tc>
        <w:tc>
          <w:tcPr>
            <w:tcW w:w="5560" w:type="dxa"/>
            <w:vAlign w:val="bottom"/>
            <w:gridSpan w:val="2"/>
          </w:tcPr>
          <w:p>
            <w:pPr>
              <w:ind w:left="400"/>
              <w:spacing w:after="0"/>
              <w:rPr>
                <w:sz w:val="20"/>
                <w:szCs w:val="20"/>
                <w:color w:val="auto"/>
              </w:rPr>
            </w:pPr>
            <w:r>
              <w:rPr>
                <w:rFonts w:ascii="Arial" w:cs="Arial" w:eastAsia="Arial" w:hAnsi="Arial"/>
                <w:sz w:val="18"/>
                <w:szCs w:val="18"/>
                <w:color w:val="4C4C4C"/>
              </w:rPr>
              <w:t>The Nominating and Corporate Governance Committee</w:t>
            </w: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line="216" w:lineRule="exact"/>
              <w:rPr>
                <w:sz w:val="20"/>
                <w:szCs w:val="20"/>
                <w:color w:val="auto"/>
              </w:rPr>
            </w:pPr>
            <w:r>
              <w:rPr>
                <w:rFonts w:ascii="Arial" w:cs="Arial" w:eastAsia="Arial" w:hAnsi="Arial"/>
                <w:sz w:val="20"/>
                <w:szCs w:val="20"/>
                <w:b w:val="1"/>
                <w:bCs w:val="1"/>
                <w:color w:val="3F3F3F"/>
              </w:rPr>
              <w:t xml:space="preserve">Governance Committee </w:t>
            </w:r>
            <w:r>
              <w:rPr>
                <w:rFonts w:ascii="Arial" w:cs="Arial" w:eastAsia="Arial" w:hAnsi="Arial"/>
                <w:sz w:val="16"/>
                <w:szCs w:val="16"/>
                <w:b w:val="1"/>
                <w:bCs w:val="1"/>
                <w:color w:val="4C4C4C"/>
              </w:rPr>
              <w:t>(3)</w:t>
            </w:r>
          </w:p>
        </w:tc>
        <w:tc>
          <w:tcPr>
            <w:tcW w:w="2540" w:type="dxa"/>
            <w:vAlign w:val="bottom"/>
          </w:tcPr>
          <w:p>
            <w:pPr>
              <w:ind w:left="120"/>
              <w:spacing w:after="0"/>
              <w:rPr>
                <w:sz w:val="20"/>
                <w:szCs w:val="20"/>
                <w:color w:val="auto"/>
              </w:rPr>
            </w:pPr>
            <w:r>
              <w:rPr>
                <w:rFonts w:ascii="Arial" w:cs="Arial" w:eastAsia="Arial" w:hAnsi="Arial"/>
                <w:sz w:val="18"/>
                <w:szCs w:val="18"/>
                <w:color w:val="4C4C4C"/>
              </w:rPr>
              <w:t>Eileen Mallesch</w:t>
            </w:r>
          </w:p>
        </w:tc>
        <w:tc>
          <w:tcPr>
            <w:tcW w:w="5560" w:type="dxa"/>
            <w:vAlign w:val="bottom"/>
            <w:gridSpan w:val="2"/>
          </w:tcPr>
          <w:p>
            <w:pPr>
              <w:ind w:left="400"/>
              <w:spacing w:after="0"/>
              <w:rPr>
                <w:sz w:val="20"/>
                <w:szCs w:val="20"/>
                <w:color w:val="auto"/>
              </w:rPr>
            </w:pPr>
            <w:r>
              <w:rPr>
                <w:rFonts w:ascii="Arial" w:cs="Arial" w:eastAsia="Arial" w:hAnsi="Arial"/>
                <w:sz w:val="18"/>
                <w:szCs w:val="18"/>
                <w:color w:val="4C4C4C"/>
              </w:rPr>
              <w:t>oversees Brighthouse’s corporate governance policies and</w:t>
            </w:r>
          </w:p>
        </w:tc>
        <w:tc>
          <w:tcPr>
            <w:tcW w:w="0" w:type="dxa"/>
            <w:vAlign w:val="bottom"/>
          </w:tcPr>
          <w:p>
            <w:pPr>
              <w:spacing w:after="0"/>
              <w:rPr>
                <w:sz w:val="1"/>
                <w:szCs w:val="1"/>
                <w:color w:val="auto"/>
              </w:rPr>
            </w:pPr>
          </w:p>
        </w:tc>
      </w:tr>
      <w:tr>
        <w:trPr>
          <w:trHeight w:val="203"/>
        </w:trPr>
        <w:tc>
          <w:tcPr>
            <w:tcW w:w="2940" w:type="dxa"/>
            <w:vAlign w:val="bottom"/>
            <w:vMerge w:val="restart"/>
          </w:tcPr>
          <w:p>
            <w:pPr>
              <w:ind w:left="100"/>
              <w:spacing w:after="0"/>
              <w:rPr>
                <w:sz w:val="20"/>
                <w:szCs w:val="20"/>
                <w:color w:val="auto"/>
              </w:rPr>
            </w:pPr>
            <w:r>
              <w:rPr>
                <w:rFonts w:ascii="Arial" w:cs="Arial" w:eastAsia="Arial" w:hAnsi="Arial"/>
                <w:sz w:val="18"/>
                <w:szCs w:val="18"/>
                <w:color w:val="4C4C4C"/>
              </w:rPr>
              <w:t>Meetings held in 2020: 6</w:t>
            </w:r>
          </w:p>
        </w:tc>
        <w:tc>
          <w:tcPr>
            <w:tcW w:w="2540" w:type="dxa"/>
            <w:vAlign w:val="bottom"/>
          </w:tcPr>
          <w:p>
            <w:pPr>
              <w:ind w:left="120"/>
              <w:spacing w:after="0" w:line="202" w:lineRule="exact"/>
              <w:rPr>
                <w:sz w:val="20"/>
                <w:szCs w:val="20"/>
                <w:color w:val="auto"/>
              </w:rPr>
            </w:pPr>
            <w:r>
              <w:rPr>
                <w:rFonts w:ascii="Arial" w:cs="Arial" w:eastAsia="Arial" w:hAnsi="Arial"/>
                <w:sz w:val="18"/>
                <w:szCs w:val="18"/>
                <w:color w:val="4C4C4C"/>
              </w:rPr>
              <w:t>Diane Offereins</w:t>
            </w: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practices, including the Board and Committees’ structure and</w:t>
            </w:r>
          </w:p>
        </w:tc>
        <w:tc>
          <w:tcPr>
            <w:tcW w:w="0" w:type="dxa"/>
            <w:vAlign w:val="bottom"/>
          </w:tcPr>
          <w:p>
            <w:pPr>
              <w:spacing w:after="0"/>
              <w:rPr>
                <w:sz w:val="1"/>
                <w:szCs w:val="1"/>
                <w:color w:val="auto"/>
              </w:rPr>
            </w:pPr>
          </w:p>
        </w:tc>
      </w:tr>
      <w:tr>
        <w:trPr>
          <w:trHeight w:val="203"/>
        </w:trPr>
        <w:tc>
          <w:tcPr>
            <w:tcW w:w="2940" w:type="dxa"/>
            <w:vAlign w:val="bottom"/>
            <w:vMerge w:val="continue"/>
          </w:tcPr>
          <w:p>
            <w:pPr>
              <w:spacing w:after="0"/>
              <w:rPr>
                <w:sz w:val="17"/>
                <w:szCs w:val="17"/>
                <w:color w:val="auto"/>
              </w:rPr>
            </w:pPr>
          </w:p>
        </w:tc>
        <w:tc>
          <w:tcPr>
            <w:tcW w:w="2540" w:type="dxa"/>
            <w:vAlign w:val="bottom"/>
          </w:tcPr>
          <w:p>
            <w:pPr>
              <w:ind w:left="120"/>
              <w:spacing w:after="0" w:line="202" w:lineRule="exact"/>
              <w:rPr>
                <w:sz w:val="20"/>
                <w:szCs w:val="20"/>
                <w:color w:val="auto"/>
              </w:rPr>
            </w:pPr>
            <w:r>
              <w:rPr>
                <w:rFonts w:ascii="Arial" w:cs="Arial" w:eastAsia="Arial" w:hAnsi="Arial"/>
                <w:sz w:val="18"/>
                <w:szCs w:val="18"/>
                <w:color w:val="4C4C4C"/>
              </w:rPr>
              <w:t>Paul Wetzel</w:t>
            </w: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composition, recruitment and recommendation of Director</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nominees, Committee assignments, and determinations of</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Director independence. The Nominating and Corporate</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Governance Committee develops and oversees the annual self-</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evaluations for the Board and Committees, as well as the</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Director orientation process and continuing education programs.</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The Nominating and Corporate Governance Committee</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oversees Brighthouse’s codes of conduct, related person</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transaction policy (coordinating with the Audit Committee where</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appropriate), our government relations activities, and our</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60" w:type="dxa"/>
            <w:vAlign w:val="bottom"/>
            <w:gridSpan w:val="2"/>
          </w:tcPr>
          <w:p>
            <w:pPr>
              <w:ind w:left="400"/>
              <w:spacing w:after="0" w:line="202" w:lineRule="exact"/>
              <w:rPr>
                <w:sz w:val="20"/>
                <w:szCs w:val="20"/>
                <w:color w:val="auto"/>
              </w:rPr>
            </w:pPr>
            <w:r>
              <w:rPr>
                <w:rFonts w:ascii="Arial" w:cs="Arial" w:eastAsia="Arial" w:hAnsi="Arial"/>
                <w:sz w:val="18"/>
                <w:szCs w:val="18"/>
                <w:color w:val="4C4C4C"/>
              </w:rPr>
              <w:t>sustainability program, including our activities related to</w:t>
            </w:r>
          </w:p>
        </w:tc>
        <w:tc>
          <w:tcPr>
            <w:tcW w:w="0" w:type="dxa"/>
            <w:vAlign w:val="bottom"/>
          </w:tcPr>
          <w:p>
            <w:pPr>
              <w:spacing w:after="0"/>
              <w:rPr>
                <w:sz w:val="1"/>
                <w:szCs w:val="1"/>
                <w:color w:val="auto"/>
              </w:rPr>
            </w:pPr>
          </w:p>
        </w:tc>
      </w:tr>
      <w:tr>
        <w:trPr>
          <w:trHeight w:val="217"/>
        </w:trPr>
        <w:tc>
          <w:tcPr>
            <w:tcW w:w="2940" w:type="dxa"/>
            <w:vAlign w:val="bottom"/>
            <w:tcBorders>
              <w:bottom w:val="single" w:sz="8" w:color="4C4C4C"/>
            </w:tcBorders>
          </w:tcPr>
          <w:p>
            <w:pPr>
              <w:spacing w:after="0"/>
              <w:rPr>
                <w:sz w:val="18"/>
                <w:szCs w:val="18"/>
                <w:color w:val="auto"/>
              </w:rPr>
            </w:pPr>
          </w:p>
        </w:tc>
        <w:tc>
          <w:tcPr>
            <w:tcW w:w="2540" w:type="dxa"/>
            <w:vAlign w:val="bottom"/>
            <w:tcBorders>
              <w:bottom w:val="single" w:sz="8" w:color="4C4C4C"/>
            </w:tcBorders>
          </w:tcPr>
          <w:p>
            <w:pPr>
              <w:spacing w:after="0"/>
              <w:rPr>
                <w:sz w:val="18"/>
                <w:szCs w:val="18"/>
                <w:color w:val="auto"/>
              </w:rPr>
            </w:pPr>
          </w:p>
        </w:tc>
        <w:tc>
          <w:tcPr>
            <w:tcW w:w="5540" w:type="dxa"/>
            <w:vAlign w:val="bottom"/>
            <w:tcBorders>
              <w:bottom w:val="single" w:sz="8" w:color="4C4C4C"/>
            </w:tcBorders>
          </w:tcPr>
          <w:p>
            <w:pPr>
              <w:ind w:left="400"/>
              <w:spacing w:after="0"/>
              <w:rPr>
                <w:sz w:val="20"/>
                <w:szCs w:val="20"/>
                <w:color w:val="auto"/>
              </w:rPr>
            </w:pPr>
            <w:r>
              <w:rPr>
                <w:rFonts w:ascii="Arial" w:cs="Arial" w:eastAsia="Arial" w:hAnsi="Arial"/>
                <w:sz w:val="18"/>
                <w:szCs w:val="18"/>
                <w:color w:val="4C4C4C"/>
              </w:rPr>
              <w:t>environmental stewardship and corporate social responsibility.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-2845435</wp:posOffset>
            </wp:positionV>
            <wp:extent cx="8890"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-2845435</wp:posOffset>
            </wp:positionV>
            <wp:extent cx="8890"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60" w:lineRule="exact"/>
        <w:rPr>
          <w:sz w:val="20"/>
          <w:szCs w:val="20"/>
          <w:color w:val="auto"/>
        </w:rPr>
      </w:pPr>
    </w:p>
    <w:p>
      <w:pPr>
        <w:ind w:left="540" w:right="120" w:hanging="424"/>
        <w:spacing w:after="0"/>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All Audit Committee members are independent under applicable SEC and Nasdaq rules and are “financially literate.” The Board has determined that Pat Shouvlin, the Committee’s Chair, and Chuck Chaplin each qualifies as an “audit committee financial expert” under applicable SEC rules.</w:t>
      </w:r>
    </w:p>
    <w:p>
      <w:pPr>
        <w:spacing w:after="0" w:line="67" w:lineRule="exact"/>
        <w:rPr>
          <w:rFonts w:ascii="Arial" w:cs="Arial" w:eastAsia="Arial" w:hAnsi="Arial"/>
          <w:sz w:val="18"/>
          <w:szCs w:val="18"/>
          <w:color w:val="4C4C4C"/>
        </w:rPr>
      </w:pPr>
    </w:p>
    <w:p>
      <w:pPr>
        <w:ind w:left="540" w:right="180" w:hanging="424"/>
        <w:spacing w:after="0"/>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All Compensation and Human Capital Committee members are independent under applicable SEC and Nasdaq rules and are “non-employee directors” for purposes of Section 16 of the Exchange Act, and “outside directors” for purposes of Section 162(m) of the Internal Revenue Code of 1986, as amended (the “</w:t>
      </w:r>
      <w:r>
        <w:rPr>
          <w:rFonts w:ascii="Arial" w:cs="Arial" w:eastAsia="Arial" w:hAnsi="Arial"/>
          <w:sz w:val="18"/>
          <w:szCs w:val="18"/>
          <w:b w:val="1"/>
          <w:bCs w:val="1"/>
          <w:color w:val="00ADBB"/>
        </w:rPr>
        <w:t>Code</w:t>
      </w:r>
      <w:r>
        <w:rPr>
          <w:rFonts w:ascii="Arial" w:cs="Arial" w:eastAsia="Arial" w:hAnsi="Arial"/>
          <w:sz w:val="18"/>
          <w:szCs w:val="18"/>
          <w:color w:val="4C4C4C"/>
        </w:rPr>
        <w:t>”).</w:t>
      </w:r>
    </w:p>
    <w:p>
      <w:pPr>
        <w:spacing w:after="0" w:line="67" w:lineRule="exact"/>
        <w:rPr>
          <w:rFonts w:ascii="Arial" w:cs="Arial" w:eastAsia="Arial" w:hAnsi="Arial"/>
          <w:sz w:val="18"/>
          <w:szCs w:val="18"/>
          <w:color w:val="4C4C4C"/>
        </w:rPr>
      </w:pPr>
    </w:p>
    <w:p>
      <w:pPr>
        <w:ind w:left="540" w:right="520" w:hanging="424"/>
        <w:spacing w:after="0" w:line="246" w:lineRule="auto"/>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All Finance and Risk Committee, Investment Committee, and Nominating and Corporate Governance Committee members are independent under applicable SEC and Nasdaq rules.</w:t>
      </w:r>
    </w:p>
    <w:p>
      <w:pPr>
        <w:spacing w:after="0" w:line="61" w:lineRule="exact"/>
        <w:rPr>
          <w:rFonts w:ascii="Arial" w:cs="Arial" w:eastAsia="Arial" w:hAnsi="Arial"/>
          <w:sz w:val="18"/>
          <w:szCs w:val="18"/>
          <w:color w:val="4C4C4C"/>
        </w:rPr>
      </w:pPr>
    </w:p>
    <w:p>
      <w:pPr>
        <w:ind w:left="540" w:right="240" w:hanging="424"/>
        <w:spacing w:after="0"/>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Steve Hooley was elected to the Board on August 19, 2020, and assigned to the Audit and Investment Committees. William F. Wallace retired from the Board as of our 2020 annual meeting of stockholders. Until that time, Mr. Wallace served on the Audit and Investment (Chair) Committees.</w:t>
      </w:r>
    </w:p>
    <w:p>
      <w:pPr>
        <w:spacing w:after="0" w:line="67" w:lineRule="exact"/>
        <w:rPr>
          <w:rFonts w:ascii="Arial" w:cs="Arial" w:eastAsia="Arial" w:hAnsi="Arial"/>
          <w:sz w:val="18"/>
          <w:szCs w:val="18"/>
          <w:color w:val="4C4C4C"/>
        </w:rPr>
      </w:pPr>
    </w:p>
    <w:p>
      <w:pPr>
        <w:ind w:left="540" w:right="440" w:hanging="424"/>
        <w:spacing w:after="0" w:line="246" w:lineRule="auto"/>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Meg McCarthy is not standing for reelection at the Annual Meeting. She will continue to serve as a Director and on her assigned Committees until the Annual Meeting.</w:t>
      </w:r>
    </w:p>
    <w:p>
      <w:pPr>
        <w:spacing w:after="0" w:line="61" w:lineRule="exact"/>
        <w:rPr>
          <w:rFonts w:ascii="Arial" w:cs="Arial" w:eastAsia="Arial" w:hAnsi="Arial"/>
          <w:sz w:val="18"/>
          <w:szCs w:val="18"/>
          <w:color w:val="4C4C4C"/>
        </w:rPr>
      </w:pPr>
    </w:p>
    <w:p>
      <w:pPr>
        <w:ind w:left="540" w:right="20" w:hanging="424"/>
        <w:spacing w:after="0" w:line="246" w:lineRule="auto"/>
        <w:tabs>
          <w:tab w:leader="none" w:pos="540" w:val="left"/>
        </w:tabs>
        <w:numPr>
          <w:ilvl w:val="0"/>
          <w:numId w:val="117"/>
        </w:numPr>
        <w:rPr>
          <w:rFonts w:ascii="Arial" w:cs="Arial" w:eastAsia="Arial" w:hAnsi="Arial"/>
          <w:sz w:val="18"/>
          <w:szCs w:val="18"/>
          <w:color w:val="4C4C4C"/>
        </w:rPr>
      </w:pPr>
      <w:r>
        <w:rPr>
          <w:rFonts w:ascii="Arial" w:cs="Arial" w:eastAsia="Arial" w:hAnsi="Arial"/>
          <w:sz w:val="18"/>
          <w:szCs w:val="18"/>
          <w:color w:val="4C4C4C"/>
        </w:rPr>
        <w:t>Eileen Mallesch succeeded Mr. Wallace as Chair of the Investment Committee following his retirement from the Board as of our 2020 annual meeting of stockholders.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33</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Director Compensation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2"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0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Director Compensation</w:t>
      </w:r>
    </w:p>
    <w:p>
      <w:pPr>
        <w:spacing w:after="0" w:line="125" w:lineRule="exact"/>
        <w:rPr>
          <w:sz w:val="20"/>
          <w:szCs w:val="20"/>
          <w:color w:val="auto"/>
        </w:rPr>
      </w:pPr>
    </w:p>
    <w:p>
      <w:pPr>
        <w:ind w:left="280" w:right="220"/>
        <w:spacing w:after="0" w:line="236" w:lineRule="auto"/>
        <w:rPr>
          <w:sz w:val="20"/>
          <w:szCs w:val="20"/>
          <w:color w:val="auto"/>
        </w:rPr>
      </w:pPr>
      <w:r>
        <w:rPr>
          <w:rFonts w:ascii="Arial" w:cs="Arial" w:eastAsia="Arial" w:hAnsi="Arial"/>
          <w:sz w:val="18"/>
          <w:szCs w:val="18"/>
          <w:color w:val="4C4C4C"/>
        </w:rPr>
        <w:t>Our director compensation program is designed in a manner intended to fairly compensate our non-management Directors for their work as members of the Board and to align their interests with those of our stockholders by delivering half of the annual retainer in the form of equity-based awards. In designing the Director compensation program, compensation was targeted at the median of the same Comparator Group we used for our NEOs (see “</w:t>
      </w:r>
      <w:r>
        <w:rPr>
          <w:rFonts w:ascii="Arial" w:cs="Arial" w:eastAsia="Arial" w:hAnsi="Arial"/>
          <w:sz w:val="18"/>
          <w:szCs w:val="18"/>
          <w:color w:val="00ADBB"/>
        </w:rPr>
        <w:t>Compensation Discussion and Analysis – Section 2 – Our 2020 Executive</w:t>
      </w:r>
      <w:r>
        <w:rPr>
          <w:rFonts w:ascii="Arial" w:cs="Arial" w:eastAsia="Arial" w:hAnsi="Arial"/>
          <w:sz w:val="18"/>
          <w:szCs w:val="18"/>
          <w:color w:val="4C4C4C"/>
        </w:rPr>
        <w:t xml:space="preserve"> </w:t>
      </w:r>
      <w:r>
        <w:rPr>
          <w:rFonts w:ascii="Arial" w:cs="Arial" w:eastAsia="Arial" w:hAnsi="Arial"/>
          <w:sz w:val="18"/>
          <w:szCs w:val="18"/>
          <w:color w:val="00ADBB"/>
        </w:rPr>
        <w:t>Compensation Program – Role of the Compensation Committee and Others in Determining Compensation – Establishing a Compensation Comparator Group</w:t>
      </w:r>
      <w:r>
        <w:rPr>
          <w:rFonts w:ascii="Arial" w:cs="Arial" w:eastAsia="Arial" w:hAnsi="Arial"/>
          <w:sz w:val="18"/>
          <w:szCs w:val="18"/>
          <w:color w:val="4C4C4C"/>
        </w:rPr>
        <w:t>”). The Nominating and Corporate Governance Committee regularly reviews director compensation</w:t>
      </w:r>
      <w:r>
        <w:rPr>
          <w:rFonts w:ascii="Arial" w:cs="Arial" w:eastAsia="Arial" w:hAnsi="Arial"/>
          <w:sz w:val="18"/>
          <w:szCs w:val="18"/>
          <w:color w:val="00ADBB"/>
        </w:rPr>
        <w:t xml:space="preserve"> </w:t>
      </w:r>
      <w:r>
        <w:rPr>
          <w:rFonts w:ascii="Arial" w:cs="Arial" w:eastAsia="Arial" w:hAnsi="Arial"/>
          <w:sz w:val="18"/>
          <w:szCs w:val="18"/>
          <w:color w:val="4C4C4C"/>
        </w:rPr>
        <w:t>and recommends changes to the Board as necessary. The following table sets forth the compensation program for our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72390</wp:posOffset>
            </wp:positionV>
            <wp:extent cx="8255" cy="2311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72390</wp:posOffset>
            </wp:positionV>
            <wp:extent cx="8890" cy="2311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231140"/>
                    </a:xfrm>
                    <a:prstGeom prst="rect">
                      <a:avLst/>
                    </a:prstGeom>
                    <a:noFill/>
                  </pic:spPr>
                </pic:pic>
              </a:graphicData>
            </a:graphic>
          </wp:anchor>
        </w:drawing>
      </w:r>
    </w:p>
    <w:p>
      <w:pPr>
        <w:spacing w:after="0" w:line="94" w:lineRule="exact"/>
        <w:rPr>
          <w:sz w:val="20"/>
          <w:szCs w:val="20"/>
          <w:color w:val="auto"/>
        </w:rPr>
      </w:pPr>
    </w:p>
    <w:tbl>
      <w:tblPr>
        <w:tblLayout w:type="fixed"/>
        <w:tblInd w:w="280" w:type="dxa"/>
        <w:tblCellMar>
          <w:top w:w="0" w:type="dxa"/>
          <w:left w:w="0" w:type="dxa"/>
          <w:bottom w:w="0" w:type="dxa"/>
          <w:right w:w="0" w:type="dxa"/>
        </w:tblCellMar>
      </w:tblPr>
      <w:tr>
        <w:trPr>
          <w:trHeight w:val="283"/>
        </w:trPr>
        <w:tc>
          <w:tcPr>
            <w:tcW w:w="6820" w:type="dxa"/>
            <w:vAlign w:val="bottom"/>
            <w:shd w:val="clear" w:color="auto" w:fill="00ADBB"/>
          </w:tcPr>
          <w:p>
            <w:pPr>
              <w:ind w:left="160"/>
              <w:spacing w:after="0"/>
              <w:rPr>
                <w:sz w:val="20"/>
                <w:szCs w:val="20"/>
                <w:color w:val="auto"/>
              </w:rPr>
            </w:pPr>
            <w:r>
              <w:rPr>
                <w:rFonts w:ascii="Arial" w:cs="Arial" w:eastAsia="Arial" w:hAnsi="Arial"/>
                <w:sz w:val="18"/>
                <w:szCs w:val="18"/>
                <w:b w:val="1"/>
                <w:bCs w:val="1"/>
                <w:color w:val="FFFFFF"/>
              </w:rPr>
              <w:t>Description</w:t>
            </w:r>
          </w:p>
        </w:tc>
        <w:tc>
          <w:tcPr>
            <w:tcW w:w="280" w:type="dxa"/>
            <w:vAlign w:val="bottom"/>
            <w:shd w:val="clear" w:color="auto" w:fill="00ADBB"/>
          </w:tcPr>
          <w:p>
            <w:pPr>
              <w:spacing w:after="0"/>
              <w:rPr>
                <w:sz w:val="24"/>
                <w:szCs w:val="24"/>
                <w:color w:val="auto"/>
              </w:rPr>
            </w:pPr>
          </w:p>
        </w:tc>
        <w:tc>
          <w:tcPr>
            <w:tcW w:w="1180" w:type="dxa"/>
            <w:vAlign w:val="bottom"/>
            <w:shd w:val="clear" w:color="auto" w:fill="00ADBB"/>
          </w:tcPr>
          <w:p>
            <w:pPr>
              <w:jc w:val="right"/>
              <w:ind w:right="350"/>
              <w:spacing w:after="0"/>
              <w:rPr>
                <w:sz w:val="20"/>
                <w:szCs w:val="20"/>
                <w:color w:val="auto"/>
              </w:rPr>
            </w:pPr>
            <w:r>
              <w:rPr>
                <w:rFonts w:ascii="Arial" w:cs="Arial" w:eastAsia="Arial" w:hAnsi="Arial"/>
                <w:sz w:val="18"/>
                <w:szCs w:val="18"/>
                <w:b w:val="1"/>
                <w:bCs w:val="1"/>
                <w:color w:val="FFFFFF"/>
              </w:rPr>
              <w:t>Amount</w:t>
            </w:r>
          </w:p>
        </w:tc>
        <w:tc>
          <w:tcPr>
            <w:tcW w:w="2400" w:type="dxa"/>
            <w:vAlign w:val="bottom"/>
            <w:shd w:val="clear" w:color="auto" w:fill="00ADBB"/>
          </w:tcPr>
          <w:p>
            <w:pPr>
              <w:jc w:val="center"/>
              <w:ind w:left="70"/>
              <w:spacing w:after="0"/>
              <w:rPr>
                <w:sz w:val="20"/>
                <w:szCs w:val="20"/>
                <w:color w:val="auto"/>
              </w:rPr>
            </w:pPr>
            <w:r>
              <w:rPr>
                <w:rFonts w:ascii="Arial" w:cs="Arial" w:eastAsia="Arial" w:hAnsi="Arial"/>
                <w:sz w:val="18"/>
                <w:szCs w:val="18"/>
                <w:b w:val="1"/>
                <w:bCs w:val="1"/>
                <w:color w:val="FFFFFF"/>
                <w:w w:val="97"/>
              </w:rPr>
              <w:t>Form</w:t>
            </w:r>
          </w:p>
        </w:tc>
        <w:tc>
          <w:tcPr>
            <w:tcW w:w="0" w:type="dxa"/>
            <w:vAlign w:val="bottom"/>
          </w:tcPr>
          <w:p>
            <w:pPr>
              <w:spacing w:after="0"/>
              <w:rPr>
                <w:sz w:val="1"/>
                <w:szCs w:val="1"/>
                <w:color w:val="auto"/>
              </w:rPr>
            </w:pPr>
          </w:p>
        </w:tc>
      </w:tr>
      <w:tr>
        <w:trPr>
          <w:trHeight w:val="81"/>
        </w:trPr>
        <w:tc>
          <w:tcPr>
            <w:tcW w:w="6820" w:type="dxa"/>
            <w:vAlign w:val="bottom"/>
            <w:shd w:val="clear" w:color="auto" w:fill="00ADBB"/>
          </w:tcPr>
          <w:p>
            <w:pPr>
              <w:spacing w:after="0"/>
              <w:rPr>
                <w:sz w:val="7"/>
                <w:szCs w:val="7"/>
                <w:color w:val="auto"/>
              </w:rPr>
            </w:pPr>
          </w:p>
        </w:tc>
        <w:tc>
          <w:tcPr>
            <w:tcW w:w="280" w:type="dxa"/>
            <w:vAlign w:val="bottom"/>
            <w:shd w:val="clear" w:color="auto" w:fill="00ADBB"/>
          </w:tcPr>
          <w:p>
            <w:pPr>
              <w:spacing w:after="0"/>
              <w:rPr>
                <w:sz w:val="7"/>
                <w:szCs w:val="7"/>
                <w:color w:val="auto"/>
              </w:rPr>
            </w:pPr>
          </w:p>
        </w:tc>
        <w:tc>
          <w:tcPr>
            <w:tcW w:w="1180" w:type="dxa"/>
            <w:vAlign w:val="bottom"/>
            <w:shd w:val="clear" w:color="auto" w:fill="00ADBB"/>
          </w:tcPr>
          <w:p>
            <w:pPr>
              <w:spacing w:after="0"/>
              <w:rPr>
                <w:sz w:val="7"/>
                <w:szCs w:val="7"/>
                <w:color w:val="auto"/>
              </w:rPr>
            </w:pPr>
          </w:p>
        </w:tc>
        <w:tc>
          <w:tcPr>
            <w:tcW w:w="2400" w:type="dxa"/>
            <w:vAlign w:val="bottom"/>
            <w:shd w:val="clear" w:color="auto" w:fill="00ADBB"/>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b w:val="1"/>
                <w:bCs w:val="1"/>
                <w:color w:val="4C4C4C"/>
              </w:rPr>
              <w:t>Pay for Board Service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00"/>
              <w:spacing w:after="0"/>
              <w:rPr>
                <w:sz w:val="20"/>
                <w:szCs w:val="20"/>
                <w:color w:val="auto"/>
              </w:rPr>
            </w:pPr>
            <w:r>
              <w:rPr>
                <w:rFonts w:ascii="Arial" w:cs="Arial" w:eastAsia="Arial" w:hAnsi="Arial"/>
                <w:sz w:val="18"/>
                <w:szCs w:val="18"/>
                <w:color w:val="4C4C4C"/>
              </w:rPr>
              <w:t>Annual retainer</w:t>
            </w:r>
          </w:p>
        </w:tc>
        <w:tc>
          <w:tcPr>
            <w:tcW w:w="280" w:type="dxa"/>
            <w:vAlign w:val="bottom"/>
          </w:tcPr>
          <w:p>
            <w:pPr>
              <w:jc w:val="right"/>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4C4C4C"/>
              </w:rPr>
              <w:t>240,000</w:t>
            </w:r>
          </w:p>
        </w:tc>
        <w:tc>
          <w:tcPr>
            <w:tcW w:w="2400" w:type="dxa"/>
            <w:vAlign w:val="bottom"/>
          </w:tcPr>
          <w:p>
            <w:pPr>
              <w:jc w:val="center"/>
              <w:ind w:left="70"/>
              <w:spacing w:after="0"/>
              <w:rPr>
                <w:sz w:val="20"/>
                <w:szCs w:val="20"/>
                <w:color w:val="auto"/>
              </w:rPr>
            </w:pPr>
            <w:r>
              <w:rPr>
                <w:rFonts w:ascii="Arial" w:cs="Arial" w:eastAsia="Arial" w:hAnsi="Arial"/>
                <w:sz w:val="18"/>
                <w:szCs w:val="18"/>
                <w:color w:val="4C4C4C"/>
                <w:w w:val="99"/>
              </w:rPr>
              <w:t>50% cash and 50% equity</w:t>
            </w:r>
          </w:p>
        </w:tc>
        <w:tc>
          <w:tcPr>
            <w:tcW w:w="0" w:type="dxa"/>
            <w:vAlign w:val="bottom"/>
          </w:tcPr>
          <w:p>
            <w:pPr>
              <w:spacing w:after="0"/>
              <w:rPr>
                <w:sz w:val="1"/>
                <w:szCs w:val="1"/>
                <w:color w:val="auto"/>
              </w:rPr>
            </w:pPr>
          </w:p>
        </w:tc>
      </w:tr>
      <w:tr>
        <w:trPr>
          <w:trHeight w:val="418"/>
        </w:trPr>
        <w:tc>
          <w:tcPr>
            <w:tcW w:w="6820" w:type="dxa"/>
            <w:vAlign w:val="bottom"/>
          </w:tcPr>
          <w:p>
            <w:pPr>
              <w:ind w:left="100"/>
              <w:spacing w:after="0"/>
              <w:rPr>
                <w:sz w:val="20"/>
                <w:szCs w:val="20"/>
                <w:color w:val="auto"/>
              </w:rPr>
            </w:pPr>
            <w:r>
              <w:rPr>
                <w:rFonts w:ascii="Arial" w:cs="Arial" w:eastAsia="Arial" w:hAnsi="Arial"/>
                <w:sz w:val="18"/>
                <w:szCs w:val="18"/>
                <w:b w:val="1"/>
                <w:bCs w:val="1"/>
                <w:color w:val="4C4C4C"/>
              </w:rPr>
              <w:t>Additional Pay for Service as Chairman or Committee Chair</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00"/>
              <w:spacing w:after="0"/>
              <w:rPr>
                <w:sz w:val="20"/>
                <w:szCs w:val="20"/>
                <w:color w:val="auto"/>
              </w:rPr>
            </w:pPr>
            <w:r>
              <w:rPr>
                <w:rFonts w:ascii="Arial" w:cs="Arial" w:eastAsia="Arial" w:hAnsi="Arial"/>
                <w:sz w:val="18"/>
                <w:szCs w:val="18"/>
                <w:color w:val="4C4C4C"/>
              </w:rPr>
              <w:t>Chairman</w:t>
            </w:r>
          </w:p>
        </w:tc>
        <w:tc>
          <w:tcPr>
            <w:tcW w:w="280" w:type="dxa"/>
            <w:vAlign w:val="bottom"/>
          </w:tcPr>
          <w:p>
            <w:pPr>
              <w:jc w:val="right"/>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4C4C4C"/>
              </w:rPr>
              <w:t>200,000</w:t>
            </w:r>
          </w:p>
        </w:tc>
        <w:tc>
          <w:tcPr>
            <w:tcW w:w="2400" w:type="dxa"/>
            <w:vAlign w:val="bottom"/>
          </w:tcPr>
          <w:p>
            <w:pPr>
              <w:jc w:val="center"/>
              <w:ind w:left="70"/>
              <w:spacing w:after="0"/>
              <w:rPr>
                <w:sz w:val="20"/>
                <w:szCs w:val="20"/>
                <w:color w:val="auto"/>
              </w:rPr>
            </w:pPr>
            <w:r>
              <w:rPr>
                <w:rFonts w:ascii="Arial" w:cs="Arial" w:eastAsia="Arial" w:hAnsi="Arial"/>
                <w:sz w:val="18"/>
                <w:szCs w:val="18"/>
                <w:color w:val="4C4C4C"/>
                <w:w w:val="99"/>
              </w:rPr>
              <w:t>50% cash and 50% equity</w:t>
            </w:r>
          </w:p>
        </w:tc>
        <w:tc>
          <w:tcPr>
            <w:tcW w:w="0" w:type="dxa"/>
            <w:vAlign w:val="bottom"/>
          </w:tcPr>
          <w:p>
            <w:pPr>
              <w:spacing w:after="0"/>
              <w:rPr>
                <w:sz w:val="1"/>
                <w:szCs w:val="1"/>
                <w:color w:val="auto"/>
              </w:rPr>
            </w:pPr>
          </w:p>
        </w:tc>
      </w:tr>
      <w:tr>
        <w:trPr>
          <w:trHeight w:val="229"/>
        </w:trPr>
        <w:tc>
          <w:tcPr>
            <w:tcW w:w="6820" w:type="dxa"/>
            <w:vAlign w:val="bottom"/>
          </w:tcPr>
          <w:p>
            <w:pPr>
              <w:ind w:left="100"/>
              <w:spacing w:after="0"/>
              <w:rPr>
                <w:sz w:val="20"/>
                <w:szCs w:val="20"/>
                <w:color w:val="auto"/>
              </w:rPr>
            </w:pPr>
            <w:r>
              <w:rPr>
                <w:rFonts w:ascii="Arial" w:cs="Arial" w:eastAsia="Arial" w:hAnsi="Arial"/>
                <w:sz w:val="18"/>
                <w:szCs w:val="18"/>
                <w:color w:val="4C4C4C"/>
              </w:rPr>
              <w:t>Audit Committee Chair</w:t>
            </w:r>
          </w:p>
        </w:tc>
        <w:tc>
          <w:tcPr>
            <w:tcW w:w="280" w:type="dxa"/>
            <w:vAlign w:val="bottom"/>
          </w:tcPr>
          <w:p>
            <w:pPr>
              <w:jc w:val="right"/>
              <w:spacing w:after="0"/>
              <w:rPr>
                <w:sz w:val="20"/>
                <w:szCs w:val="20"/>
                <w:color w:val="auto"/>
              </w:rPr>
            </w:pPr>
            <w:r>
              <w:rPr>
                <w:rFonts w:ascii="Arial" w:cs="Arial" w:eastAsia="Arial" w:hAnsi="Arial"/>
                <w:sz w:val="18"/>
                <w:szCs w:val="18"/>
                <w:color w:val="4C4C4C"/>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4C4C4C"/>
              </w:rPr>
              <w:t>22,500</w:t>
            </w:r>
          </w:p>
        </w:tc>
        <w:tc>
          <w:tcPr>
            <w:tcW w:w="2400" w:type="dxa"/>
            <w:vAlign w:val="bottom"/>
          </w:tcPr>
          <w:p>
            <w:pPr>
              <w:jc w:val="center"/>
              <w:ind w:left="70"/>
              <w:spacing w:after="0"/>
              <w:rPr>
                <w:sz w:val="20"/>
                <w:szCs w:val="20"/>
                <w:color w:val="auto"/>
              </w:rPr>
            </w:pPr>
            <w:r>
              <w:rPr>
                <w:rFonts w:ascii="Arial" w:cs="Arial" w:eastAsia="Arial" w:hAnsi="Arial"/>
                <w:sz w:val="18"/>
                <w:szCs w:val="18"/>
                <w:color w:val="4C4C4C"/>
                <w:w w:val="98"/>
              </w:rPr>
              <w:t>100% cash</w:t>
            </w:r>
          </w:p>
        </w:tc>
        <w:tc>
          <w:tcPr>
            <w:tcW w:w="0" w:type="dxa"/>
            <w:vAlign w:val="bottom"/>
          </w:tcPr>
          <w:p>
            <w:pPr>
              <w:spacing w:after="0"/>
              <w:rPr>
                <w:sz w:val="1"/>
                <w:szCs w:val="1"/>
                <w:color w:val="auto"/>
              </w:rPr>
            </w:pPr>
          </w:p>
        </w:tc>
      </w:tr>
      <w:tr>
        <w:trPr>
          <w:trHeight w:val="215"/>
        </w:trPr>
        <w:tc>
          <w:tcPr>
            <w:tcW w:w="6820" w:type="dxa"/>
            <w:vAlign w:val="bottom"/>
          </w:tcPr>
          <w:p>
            <w:pPr>
              <w:ind w:left="100"/>
              <w:spacing w:after="0"/>
              <w:rPr>
                <w:sz w:val="20"/>
                <w:szCs w:val="20"/>
                <w:color w:val="auto"/>
              </w:rPr>
            </w:pPr>
            <w:r>
              <w:rPr>
                <w:rFonts w:ascii="Arial" w:cs="Arial" w:eastAsia="Arial" w:hAnsi="Arial"/>
                <w:sz w:val="18"/>
                <w:szCs w:val="18"/>
                <w:color w:val="4C4C4C"/>
              </w:rPr>
              <w:t>Other Committee Chairs (Compensation and Human Capital; Nominating and</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4C4C4C"/>
              </w:rPr>
              <w:t>$</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4C4C4C"/>
              </w:rPr>
              <w:t>17,500</w:t>
            </w:r>
          </w:p>
        </w:tc>
        <w:tc>
          <w:tcPr>
            <w:tcW w:w="2400" w:type="dxa"/>
            <w:vAlign w:val="bottom"/>
            <w:vMerge w:val="restart"/>
          </w:tcPr>
          <w:p>
            <w:pPr>
              <w:jc w:val="center"/>
              <w:ind w:left="70"/>
              <w:spacing w:after="0"/>
              <w:rPr>
                <w:sz w:val="20"/>
                <w:szCs w:val="20"/>
                <w:color w:val="auto"/>
              </w:rPr>
            </w:pPr>
            <w:r>
              <w:rPr>
                <w:rFonts w:ascii="Arial" w:cs="Arial" w:eastAsia="Arial" w:hAnsi="Arial"/>
                <w:sz w:val="18"/>
                <w:szCs w:val="18"/>
                <w:color w:val="4C4C4C"/>
                <w:w w:val="98"/>
              </w:rPr>
              <w:t>100% cash</w:t>
            </w:r>
          </w:p>
        </w:tc>
        <w:tc>
          <w:tcPr>
            <w:tcW w:w="0" w:type="dxa"/>
            <w:vAlign w:val="bottom"/>
          </w:tcPr>
          <w:p>
            <w:pPr>
              <w:spacing w:after="0"/>
              <w:rPr>
                <w:sz w:val="1"/>
                <w:szCs w:val="1"/>
                <w:color w:val="auto"/>
              </w:rPr>
            </w:pPr>
          </w:p>
        </w:tc>
      </w:tr>
      <w:tr>
        <w:trPr>
          <w:trHeight w:val="109"/>
        </w:trPr>
        <w:tc>
          <w:tcPr>
            <w:tcW w:w="6820" w:type="dxa"/>
            <w:vAlign w:val="bottom"/>
            <w:vMerge w:val="restart"/>
          </w:tcPr>
          <w:p>
            <w:pPr>
              <w:ind w:left="100"/>
              <w:spacing w:after="0"/>
              <w:rPr>
                <w:sz w:val="20"/>
                <w:szCs w:val="20"/>
                <w:color w:val="auto"/>
              </w:rPr>
            </w:pPr>
            <w:r>
              <w:rPr>
                <w:rFonts w:ascii="Arial" w:cs="Arial" w:eastAsia="Arial" w:hAnsi="Arial"/>
                <w:sz w:val="18"/>
                <w:szCs w:val="18"/>
                <w:color w:val="4C4C4C"/>
              </w:rPr>
              <w:t>Corporate Governance; Finance and Risk; Investment)</w:t>
            </w:r>
          </w:p>
        </w:tc>
        <w:tc>
          <w:tcPr>
            <w:tcW w:w="2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Annual Equity Awards</w:t>
      </w:r>
    </w:p>
    <w:p>
      <w:pPr>
        <w:spacing w:after="0" w:line="13" w:lineRule="exact"/>
        <w:rPr>
          <w:sz w:val="20"/>
          <w:szCs w:val="20"/>
          <w:color w:val="auto"/>
        </w:rPr>
      </w:pPr>
    </w:p>
    <w:p>
      <w:pPr>
        <w:ind w:left="280" w:right="200"/>
        <w:spacing w:after="0" w:line="237" w:lineRule="auto"/>
        <w:rPr>
          <w:sz w:val="20"/>
          <w:szCs w:val="20"/>
          <w:color w:val="auto"/>
        </w:rPr>
      </w:pPr>
      <w:r>
        <w:rPr>
          <w:rFonts w:ascii="Arial" w:cs="Arial" w:eastAsia="Arial" w:hAnsi="Arial"/>
          <w:sz w:val="18"/>
          <w:szCs w:val="18"/>
          <w:color w:val="4C4C4C"/>
        </w:rPr>
        <w:t>The Board approved annual RSU awards as part of our director compensation program. Annual awards to non-management Directors generally vest on the earlier of the one-year anniversary of the grant date or the date of the next annual meeting of stockholders. The number of RSUs to be granted to each non-management Director is determined by dividing the intended value of the equity award by the closing price of the Company’s common stock on the grant date, rounded down to the nearest whole number of RSUs. The RSU grants are made pursuant to the Brighthouse Financial, Inc. 2017 Non-Management Director Stock Compensation Plan (the “</w:t>
      </w:r>
      <w:r>
        <w:rPr>
          <w:rFonts w:ascii="Arial" w:cs="Arial" w:eastAsia="Arial" w:hAnsi="Arial"/>
          <w:sz w:val="18"/>
          <w:szCs w:val="18"/>
          <w:b w:val="1"/>
          <w:bCs w:val="1"/>
          <w:color w:val="00ADBB"/>
        </w:rPr>
        <w:t>Director</w:t>
      </w:r>
      <w:r>
        <w:rPr>
          <w:rFonts w:ascii="Arial" w:cs="Arial" w:eastAsia="Arial" w:hAnsi="Arial"/>
          <w:sz w:val="18"/>
          <w:szCs w:val="18"/>
          <w:color w:val="4C4C4C"/>
        </w:rPr>
        <w:t xml:space="preserve"> </w:t>
      </w:r>
      <w:r>
        <w:rPr>
          <w:rFonts w:ascii="Arial" w:cs="Arial" w:eastAsia="Arial" w:hAnsi="Arial"/>
          <w:sz w:val="18"/>
          <w:szCs w:val="18"/>
          <w:b w:val="1"/>
          <w:bCs w:val="1"/>
          <w:color w:val="00ADBB"/>
        </w:rPr>
        <w:t>Plan</w:t>
      </w:r>
      <w:r>
        <w:rPr>
          <w:rFonts w:ascii="Arial" w:cs="Arial" w:eastAsia="Arial" w:hAnsi="Arial"/>
          <w:sz w:val="18"/>
          <w:szCs w:val="18"/>
          <w:color w:val="4C4C4C"/>
        </w:rPr>
        <w:t>”), which was approved by stockholders at the 2018 Annual Meeting.</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Compensation paid to our non-management Directors in 2020 is presented in the following table.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2020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88265</wp:posOffset>
            </wp:positionV>
            <wp:extent cx="8255" cy="411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88265</wp:posOffset>
            </wp:positionV>
            <wp:extent cx="8255" cy="411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88265</wp:posOffset>
            </wp:positionV>
            <wp:extent cx="8255" cy="411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119" w:lineRule="exact"/>
        <w:rPr>
          <w:sz w:val="20"/>
          <w:szCs w:val="20"/>
          <w:color w:val="auto"/>
        </w:rPr>
      </w:pPr>
    </w:p>
    <w:tbl>
      <w:tblPr>
        <w:tblLayout w:type="fixed"/>
        <w:tblInd w:w="280" w:type="dxa"/>
        <w:tblCellMar>
          <w:top w:w="0" w:type="dxa"/>
          <w:left w:w="0" w:type="dxa"/>
          <w:bottom w:w="0" w:type="dxa"/>
          <w:right w:w="0" w:type="dxa"/>
        </w:tblCellMar>
      </w:tblPr>
      <w:tr>
        <w:trPr>
          <w:trHeight w:val="247"/>
        </w:trPr>
        <w:tc>
          <w:tcPr>
            <w:tcW w:w="5160" w:type="dxa"/>
            <w:vAlign w:val="bottom"/>
            <w:shd w:val="clear" w:color="auto" w:fill="00ADBB"/>
          </w:tcPr>
          <w:p>
            <w:pPr>
              <w:spacing w:after="0"/>
              <w:rPr>
                <w:sz w:val="21"/>
                <w:szCs w:val="21"/>
                <w:color w:val="auto"/>
              </w:rPr>
            </w:pPr>
          </w:p>
        </w:tc>
        <w:tc>
          <w:tcPr>
            <w:tcW w:w="1880" w:type="dxa"/>
            <w:vAlign w:val="bottom"/>
            <w:gridSpan w:val="2"/>
            <w:shd w:val="clear" w:color="auto" w:fill="00ADBB"/>
          </w:tcPr>
          <w:p>
            <w:pPr>
              <w:jc w:val="right"/>
              <w:ind w:right="190"/>
              <w:spacing w:after="0"/>
              <w:rPr>
                <w:sz w:val="20"/>
                <w:szCs w:val="20"/>
                <w:color w:val="auto"/>
              </w:rPr>
            </w:pPr>
            <w:r>
              <w:rPr>
                <w:rFonts w:ascii="Arial" w:cs="Arial" w:eastAsia="Arial" w:hAnsi="Arial"/>
                <w:sz w:val="18"/>
                <w:szCs w:val="18"/>
                <w:b w:val="1"/>
                <w:bCs w:val="1"/>
                <w:color w:val="FFFFFF"/>
              </w:rPr>
              <w:t>Fees Earned or</w:t>
            </w:r>
          </w:p>
        </w:tc>
        <w:tc>
          <w:tcPr>
            <w:tcW w:w="740" w:type="dxa"/>
            <w:vAlign w:val="bottom"/>
            <w:shd w:val="clear" w:color="auto" w:fill="00ADBB"/>
          </w:tcPr>
          <w:p>
            <w:pPr>
              <w:spacing w:after="0"/>
              <w:rPr>
                <w:sz w:val="21"/>
                <w:szCs w:val="21"/>
                <w:color w:val="auto"/>
              </w:rPr>
            </w:pPr>
          </w:p>
        </w:tc>
        <w:tc>
          <w:tcPr>
            <w:tcW w:w="1480" w:type="dxa"/>
            <w:vAlign w:val="bottom"/>
            <w:shd w:val="clear" w:color="auto" w:fill="00ADBB"/>
          </w:tcPr>
          <w:p>
            <w:pPr>
              <w:spacing w:after="0"/>
              <w:rPr>
                <w:sz w:val="21"/>
                <w:szCs w:val="21"/>
                <w:color w:val="auto"/>
              </w:rPr>
            </w:pPr>
          </w:p>
        </w:tc>
        <w:tc>
          <w:tcPr>
            <w:tcW w:w="560" w:type="dxa"/>
            <w:vAlign w:val="bottom"/>
            <w:shd w:val="clear" w:color="auto" w:fill="00ADBB"/>
          </w:tcPr>
          <w:p>
            <w:pPr>
              <w:spacing w:after="0"/>
              <w:rPr>
                <w:sz w:val="21"/>
                <w:szCs w:val="21"/>
                <w:color w:val="auto"/>
              </w:rPr>
            </w:pPr>
          </w:p>
        </w:tc>
        <w:tc>
          <w:tcPr>
            <w:tcW w:w="860" w:type="dxa"/>
            <w:vAlign w:val="bottom"/>
            <w:shd w:val="clear" w:color="auto" w:fill="00ADBB"/>
          </w:tcPr>
          <w:p>
            <w:pPr>
              <w:spacing w:after="0"/>
              <w:rPr>
                <w:sz w:val="21"/>
                <w:szCs w:val="21"/>
                <w:color w:val="auto"/>
              </w:rPr>
            </w:pPr>
          </w:p>
        </w:tc>
      </w:tr>
      <w:tr>
        <w:trPr>
          <w:trHeight w:val="239"/>
        </w:trPr>
        <w:tc>
          <w:tcPr>
            <w:tcW w:w="5160" w:type="dxa"/>
            <w:vAlign w:val="bottom"/>
            <w:shd w:val="clear" w:color="auto" w:fill="00ADBB"/>
          </w:tcPr>
          <w:p>
            <w:pPr>
              <w:ind w:left="120"/>
              <w:spacing w:after="0"/>
              <w:rPr>
                <w:sz w:val="20"/>
                <w:szCs w:val="20"/>
                <w:color w:val="auto"/>
              </w:rPr>
            </w:pPr>
            <w:r>
              <w:rPr>
                <w:rFonts w:ascii="Arial" w:cs="Arial" w:eastAsia="Arial" w:hAnsi="Arial"/>
                <w:sz w:val="18"/>
                <w:szCs w:val="18"/>
                <w:b w:val="1"/>
                <w:bCs w:val="1"/>
                <w:color w:val="FFFFFF"/>
              </w:rPr>
              <w:t>Name</w:t>
            </w:r>
          </w:p>
        </w:tc>
        <w:tc>
          <w:tcPr>
            <w:tcW w:w="1880" w:type="dxa"/>
            <w:vAlign w:val="bottom"/>
            <w:gridSpan w:val="2"/>
            <w:shd w:val="clear" w:color="auto" w:fill="00ADBB"/>
          </w:tcPr>
          <w:p>
            <w:pPr>
              <w:jc w:val="right"/>
              <w:ind w:right="170"/>
              <w:spacing w:after="0"/>
              <w:rPr>
                <w:sz w:val="20"/>
                <w:szCs w:val="20"/>
                <w:color w:val="auto"/>
              </w:rPr>
            </w:pPr>
            <w:r>
              <w:rPr>
                <w:rFonts w:ascii="Arial" w:cs="Arial" w:eastAsia="Arial" w:hAnsi="Arial"/>
                <w:sz w:val="18"/>
                <w:szCs w:val="18"/>
                <w:b w:val="1"/>
                <w:bCs w:val="1"/>
                <w:color w:val="FFFFFF"/>
              </w:rPr>
              <w:t xml:space="preserve">Paid in Cash </w:t>
            </w:r>
            <w:r>
              <w:rPr>
                <w:rFonts w:ascii="Arial" w:cs="Arial" w:eastAsia="Arial" w:hAnsi="Arial"/>
                <w:sz w:val="15"/>
                <w:szCs w:val="15"/>
                <w:b w:val="1"/>
                <w:bCs w:val="1"/>
                <w:color w:val="FFFFFF"/>
              </w:rPr>
              <w:t>(1)</w:t>
            </w:r>
          </w:p>
        </w:tc>
        <w:tc>
          <w:tcPr>
            <w:tcW w:w="2220" w:type="dxa"/>
            <w:vAlign w:val="bottom"/>
            <w:gridSpan w:val="2"/>
            <w:shd w:val="clear" w:color="auto" w:fill="00ADBB"/>
          </w:tcPr>
          <w:p>
            <w:pPr>
              <w:jc w:val="right"/>
              <w:ind w:right="390"/>
              <w:spacing w:after="0"/>
              <w:rPr>
                <w:sz w:val="20"/>
                <w:szCs w:val="20"/>
                <w:color w:val="auto"/>
              </w:rPr>
            </w:pPr>
            <w:r>
              <w:rPr>
                <w:rFonts w:ascii="Arial" w:cs="Arial" w:eastAsia="Arial" w:hAnsi="Arial"/>
                <w:sz w:val="18"/>
                <w:szCs w:val="18"/>
                <w:b w:val="1"/>
                <w:bCs w:val="1"/>
                <w:color w:val="FFFFFF"/>
              </w:rPr>
              <w:t xml:space="preserve">Stock Awards </w:t>
            </w:r>
            <w:r>
              <w:rPr>
                <w:rFonts w:ascii="Arial" w:cs="Arial" w:eastAsia="Arial" w:hAnsi="Arial"/>
                <w:sz w:val="15"/>
                <w:szCs w:val="15"/>
                <w:b w:val="1"/>
                <w:bCs w:val="1"/>
                <w:color w:val="FFFFFF"/>
              </w:rPr>
              <w:t>(2)</w:t>
            </w:r>
          </w:p>
        </w:tc>
        <w:tc>
          <w:tcPr>
            <w:tcW w:w="560" w:type="dxa"/>
            <w:vAlign w:val="bottom"/>
            <w:shd w:val="clear" w:color="auto" w:fill="00ADBB"/>
          </w:tcPr>
          <w:p>
            <w:pPr>
              <w:spacing w:after="0"/>
              <w:rPr>
                <w:sz w:val="20"/>
                <w:szCs w:val="20"/>
                <w:color w:val="auto"/>
              </w:rPr>
            </w:pPr>
          </w:p>
        </w:tc>
        <w:tc>
          <w:tcPr>
            <w:tcW w:w="860" w:type="dxa"/>
            <w:vAlign w:val="bottom"/>
            <w:shd w:val="clear" w:color="auto" w:fill="00ADBB"/>
          </w:tcPr>
          <w:p>
            <w:pPr>
              <w:jc w:val="right"/>
              <w:ind w:right="270"/>
              <w:spacing w:after="0"/>
              <w:rPr>
                <w:sz w:val="20"/>
                <w:szCs w:val="20"/>
                <w:color w:val="auto"/>
              </w:rPr>
            </w:pPr>
            <w:r>
              <w:rPr>
                <w:rFonts w:ascii="Arial" w:cs="Arial" w:eastAsia="Arial" w:hAnsi="Arial"/>
                <w:sz w:val="18"/>
                <w:szCs w:val="18"/>
                <w:b w:val="1"/>
                <w:bCs w:val="1"/>
                <w:color w:val="FFFFFF"/>
              </w:rPr>
              <w:t>Total</w:t>
            </w:r>
          </w:p>
        </w:tc>
      </w:tr>
      <w:tr>
        <w:trPr>
          <w:trHeight w:val="162"/>
        </w:trPr>
        <w:tc>
          <w:tcPr>
            <w:tcW w:w="5160" w:type="dxa"/>
            <w:vAlign w:val="bottom"/>
            <w:shd w:val="clear" w:color="auto" w:fill="00ADBB"/>
          </w:tcPr>
          <w:p>
            <w:pPr>
              <w:spacing w:after="0"/>
              <w:rPr>
                <w:sz w:val="14"/>
                <w:szCs w:val="14"/>
                <w:color w:val="auto"/>
              </w:rPr>
            </w:pPr>
          </w:p>
        </w:tc>
        <w:tc>
          <w:tcPr>
            <w:tcW w:w="680" w:type="dxa"/>
            <w:vAlign w:val="bottom"/>
            <w:shd w:val="clear" w:color="auto" w:fill="00ADBB"/>
          </w:tcPr>
          <w:p>
            <w:pPr>
              <w:spacing w:after="0"/>
              <w:rPr>
                <w:sz w:val="14"/>
                <w:szCs w:val="14"/>
                <w:color w:val="auto"/>
              </w:rPr>
            </w:pPr>
          </w:p>
        </w:tc>
        <w:tc>
          <w:tcPr>
            <w:tcW w:w="1200" w:type="dxa"/>
            <w:vAlign w:val="bottom"/>
            <w:shd w:val="clear" w:color="auto" w:fill="00ADBB"/>
          </w:tcPr>
          <w:p>
            <w:pPr>
              <w:spacing w:after="0"/>
              <w:rPr>
                <w:sz w:val="14"/>
                <w:szCs w:val="14"/>
                <w:color w:val="auto"/>
              </w:rPr>
            </w:pPr>
          </w:p>
        </w:tc>
        <w:tc>
          <w:tcPr>
            <w:tcW w:w="740" w:type="dxa"/>
            <w:vAlign w:val="bottom"/>
            <w:shd w:val="clear" w:color="auto" w:fill="00ADBB"/>
          </w:tcPr>
          <w:p>
            <w:pPr>
              <w:spacing w:after="0"/>
              <w:rPr>
                <w:sz w:val="14"/>
                <w:szCs w:val="14"/>
                <w:color w:val="auto"/>
              </w:rPr>
            </w:pPr>
          </w:p>
        </w:tc>
        <w:tc>
          <w:tcPr>
            <w:tcW w:w="1480" w:type="dxa"/>
            <w:vAlign w:val="bottom"/>
            <w:shd w:val="clear" w:color="auto" w:fill="00ADBB"/>
          </w:tcPr>
          <w:p>
            <w:pPr>
              <w:spacing w:after="0"/>
              <w:rPr>
                <w:sz w:val="14"/>
                <w:szCs w:val="14"/>
                <w:color w:val="auto"/>
              </w:rPr>
            </w:pPr>
          </w:p>
        </w:tc>
        <w:tc>
          <w:tcPr>
            <w:tcW w:w="560" w:type="dxa"/>
            <w:vAlign w:val="bottom"/>
            <w:shd w:val="clear" w:color="auto" w:fill="00ADBB"/>
          </w:tcPr>
          <w:p>
            <w:pPr>
              <w:spacing w:after="0"/>
              <w:rPr>
                <w:sz w:val="14"/>
                <w:szCs w:val="14"/>
                <w:color w:val="auto"/>
              </w:rPr>
            </w:pPr>
          </w:p>
        </w:tc>
        <w:tc>
          <w:tcPr>
            <w:tcW w:w="860" w:type="dxa"/>
            <w:vAlign w:val="bottom"/>
            <w:shd w:val="clear" w:color="auto" w:fill="00ADBB"/>
          </w:tcPr>
          <w:p>
            <w:pPr>
              <w:spacing w:after="0"/>
              <w:rPr>
                <w:sz w:val="14"/>
                <w:szCs w:val="14"/>
                <w:color w:val="auto"/>
              </w:rPr>
            </w:pPr>
          </w:p>
        </w:tc>
      </w:tr>
      <w:tr>
        <w:trPr>
          <w:trHeight w:val="311"/>
        </w:trPr>
        <w:tc>
          <w:tcPr>
            <w:tcW w:w="5160" w:type="dxa"/>
            <w:vAlign w:val="bottom"/>
          </w:tcPr>
          <w:p>
            <w:pPr>
              <w:ind w:left="120"/>
              <w:spacing w:after="0"/>
              <w:rPr>
                <w:sz w:val="20"/>
                <w:szCs w:val="20"/>
                <w:color w:val="auto"/>
              </w:rPr>
            </w:pPr>
            <w:r>
              <w:rPr>
                <w:rFonts w:ascii="Arial" w:cs="Arial" w:eastAsia="Arial" w:hAnsi="Arial"/>
                <w:sz w:val="18"/>
                <w:szCs w:val="18"/>
                <w:color w:val="4C4C4C"/>
              </w:rPr>
              <w:t>Irene Chang Britt</w:t>
            </w:r>
          </w:p>
        </w:tc>
        <w:tc>
          <w:tcPr>
            <w:tcW w:w="680" w:type="dxa"/>
            <w:vAlign w:val="bottom"/>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Pr>
          <w:p>
            <w:pPr>
              <w:jc w:val="right"/>
              <w:ind w:right="450"/>
              <w:spacing w:after="0"/>
              <w:rPr>
                <w:sz w:val="20"/>
                <w:szCs w:val="20"/>
                <w:color w:val="auto"/>
              </w:rPr>
            </w:pPr>
            <w:r>
              <w:rPr>
                <w:rFonts w:ascii="Arial" w:cs="Arial" w:eastAsia="Arial" w:hAnsi="Arial"/>
                <w:sz w:val="18"/>
                <w:szCs w:val="18"/>
                <w:color w:val="4C4C4C"/>
                <w:w w:val="98"/>
              </w:rPr>
              <w:t>137,500</w:t>
            </w:r>
          </w:p>
        </w:tc>
        <w:tc>
          <w:tcPr>
            <w:tcW w:w="740" w:type="dxa"/>
            <w:vAlign w:val="bottom"/>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Pr>
          <w:p>
            <w:pPr>
              <w:jc w:val="right"/>
              <w:spacing w:after="0"/>
              <w:rPr>
                <w:sz w:val="20"/>
                <w:szCs w:val="20"/>
                <w:color w:val="auto"/>
              </w:rPr>
            </w:pPr>
            <w:r>
              <w:rPr>
                <w:rFonts w:ascii="Arial" w:cs="Arial" w:eastAsia="Arial" w:hAnsi="Arial"/>
                <w:sz w:val="18"/>
                <w:szCs w:val="18"/>
                <w:color w:val="4C4C4C"/>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4C4C4C"/>
                <w:w w:val="98"/>
              </w:rPr>
              <w:t>257,492</w:t>
            </w:r>
          </w:p>
        </w:tc>
      </w:tr>
      <w:tr>
        <w:trPr>
          <w:trHeight w:val="27"/>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23"/>
        </w:trPr>
        <w:tc>
          <w:tcPr>
            <w:tcW w:w="516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8"/>
                <w:szCs w:val="18"/>
                <w:color w:val="4C4C4C"/>
              </w:rPr>
              <w:t>Chuck Chaplin</w:t>
            </w:r>
          </w:p>
        </w:tc>
        <w:tc>
          <w:tcPr>
            <w:tcW w:w="68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bottom w:val="single" w:sz="8" w:color="E5F6F8"/>
            </w:tcBorders>
            <w:shd w:val="clear" w:color="auto" w:fill="E5F6F8"/>
          </w:tcPr>
          <w:p>
            <w:pPr>
              <w:jc w:val="right"/>
              <w:ind w:right="450"/>
              <w:spacing w:after="0"/>
              <w:rPr>
                <w:sz w:val="20"/>
                <w:szCs w:val="20"/>
                <w:color w:val="auto"/>
              </w:rPr>
            </w:pPr>
            <w:r>
              <w:rPr>
                <w:rFonts w:ascii="Arial" w:cs="Arial" w:eastAsia="Arial" w:hAnsi="Arial"/>
                <w:sz w:val="18"/>
                <w:szCs w:val="18"/>
                <w:color w:val="4C4C4C"/>
                <w:w w:val="98"/>
              </w:rPr>
              <w:t>237,500</w:t>
            </w:r>
          </w:p>
        </w:tc>
        <w:tc>
          <w:tcPr>
            <w:tcW w:w="74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bottom w:val="single" w:sz="8" w:color="E5F6F8"/>
            </w:tcBorders>
            <w:shd w:val="clear" w:color="auto" w:fill="E5F6F8"/>
          </w:tcPr>
          <w:p>
            <w:pPr>
              <w:jc w:val="right"/>
              <w:ind w:right="750"/>
              <w:spacing w:after="0"/>
              <w:rPr>
                <w:sz w:val="20"/>
                <w:szCs w:val="20"/>
                <w:color w:val="auto"/>
              </w:rPr>
            </w:pPr>
            <w:r>
              <w:rPr>
                <w:rFonts w:ascii="Arial" w:cs="Arial" w:eastAsia="Arial" w:hAnsi="Arial"/>
                <w:sz w:val="18"/>
                <w:szCs w:val="18"/>
                <w:color w:val="4C4C4C"/>
                <w:w w:val="95"/>
              </w:rPr>
              <w:t>219,974</w:t>
            </w:r>
          </w:p>
        </w:tc>
        <w:tc>
          <w:tcPr>
            <w:tcW w:w="5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bottom w:val="single" w:sz="8" w:color="E5F6F8"/>
            </w:tcBorders>
            <w:shd w:val="clear" w:color="auto" w:fill="E5F6F8"/>
          </w:tcPr>
          <w:p>
            <w:pPr>
              <w:jc w:val="right"/>
              <w:ind w:right="110"/>
              <w:spacing w:after="0"/>
              <w:rPr>
                <w:sz w:val="20"/>
                <w:szCs w:val="20"/>
                <w:color w:val="auto"/>
              </w:rPr>
            </w:pPr>
            <w:r>
              <w:rPr>
                <w:rFonts w:ascii="Arial" w:cs="Arial" w:eastAsia="Arial" w:hAnsi="Arial"/>
                <w:sz w:val="18"/>
                <w:szCs w:val="18"/>
                <w:color w:val="4C4C4C"/>
                <w:w w:val="98"/>
              </w:rPr>
              <w:t>457,474</w:t>
            </w:r>
          </w:p>
        </w:tc>
      </w:tr>
      <w:tr>
        <w:trPr>
          <w:trHeight w:val="290"/>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4C4C4C"/>
              </w:rPr>
              <w:t>Steve Hooley</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4C4C4C"/>
              </w:rPr>
              <w:t>60,000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4C4C4C"/>
              </w:rPr>
              <w:t>99,998</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4C4C4C"/>
                <w:w w:val="98"/>
              </w:rPr>
              <w:t>159,998</w:t>
            </w:r>
          </w:p>
        </w:tc>
      </w:tr>
      <w:tr>
        <w:trPr>
          <w:trHeight w:val="27"/>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23"/>
        </w:trPr>
        <w:tc>
          <w:tcPr>
            <w:tcW w:w="516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8"/>
                <w:szCs w:val="18"/>
                <w:color w:val="4C4C4C"/>
              </w:rPr>
              <w:t>Eileen Mallesch</w:t>
            </w:r>
          </w:p>
        </w:tc>
        <w:tc>
          <w:tcPr>
            <w:tcW w:w="68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bottom w:val="single" w:sz="8" w:color="E5F6F8"/>
            </w:tcBorders>
            <w:shd w:val="clear" w:color="auto" w:fill="E5F6F8"/>
          </w:tcPr>
          <w:p>
            <w:pPr>
              <w:jc w:val="right"/>
              <w:ind w:right="450"/>
              <w:spacing w:after="0"/>
              <w:rPr>
                <w:sz w:val="20"/>
                <w:szCs w:val="20"/>
                <w:color w:val="auto"/>
              </w:rPr>
            </w:pPr>
            <w:r>
              <w:rPr>
                <w:rFonts w:ascii="Arial" w:cs="Arial" w:eastAsia="Arial" w:hAnsi="Arial"/>
                <w:sz w:val="18"/>
                <w:szCs w:val="18"/>
                <w:color w:val="4C4C4C"/>
                <w:w w:val="98"/>
              </w:rPr>
              <w:t>128,750</w:t>
            </w:r>
          </w:p>
        </w:tc>
        <w:tc>
          <w:tcPr>
            <w:tcW w:w="74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bottom w:val="single" w:sz="8" w:color="E5F6F8"/>
            </w:tcBorders>
            <w:shd w:val="clear" w:color="auto" w:fill="E5F6F8"/>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bottom w:val="single" w:sz="8" w:color="E5F6F8"/>
            </w:tcBorders>
            <w:shd w:val="clear" w:color="auto" w:fill="E5F6F8"/>
          </w:tcPr>
          <w:p>
            <w:pPr>
              <w:jc w:val="right"/>
              <w:ind w:right="110"/>
              <w:spacing w:after="0"/>
              <w:rPr>
                <w:sz w:val="20"/>
                <w:szCs w:val="20"/>
                <w:color w:val="auto"/>
              </w:rPr>
            </w:pPr>
            <w:r>
              <w:rPr>
                <w:rFonts w:ascii="Arial" w:cs="Arial" w:eastAsia="Arial" w:hAnsi="Arial"/>
                <w:sz w:val="18"/>
                <w:szCs w:val="18"/>
                <w:color w:val="4C4C4C"/>
                <w:w w:val="98"/>
              </w:rPr>
              <w:t>248,742</w:t>
            </w:r>
          </w:p>
        </w:tc>
      </w:tr>
      <w:tr>
        <w:trPr>
          <w:trHeight w:val="290"/>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4C4C4C"/>
              </w:rPr>
              <w:t>Meg McCarthy</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4C4C4C"/>
                <w:w w:val="98"/>
              </w:rPr>
              <w:t>120,000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4C4C4C"/>
                <w:w w:val="98"/>
              </w:rPr>
              <w:t>239,992</w:t>
            </w:r>
          </w:p>
        </w:tc>
      </w:tr>
      <w:tr>
        <w:trPr>
          <w:trHeight w:val="27"/>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23"/>
        </w:trPr>
        <w:tc>
          <w:tcPr>
            <w:tcW w:w="516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8"/>
                <w:szCs w:val="18"/>
                <w:color w:val="4C4C4C"/>
              </w:rPr>
              <w:t>Diane Offereins</w:t>
            </w:r>
          </w:p>
        </w:tc>
        <w:tc>
          <w:tcPr>
            <w:tcW w:w="68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bottom w:val="single" w:sz="8" w:color="E5F6F8"/>
            </w:tcBorders>
            <w:shd w:val="clear" w:color="auto" w:fill="E5F6F8"/>
          </w:tcPr>
          <w:p>
            <w:pPr>
              <w:jc w:val="right"/>
              <w:ind w:right="450"/>
              <w:spacing w:after="0"/>
              <w:rPr>
                <w:sz w:val="20"/>
                <w:szCs w:val="20"/>
                <w:color w:val="auto"/>
              </w:rPr>
            </w:pPr>
            <w:r>
              <w:rPr>
                <w:rFonts w:ascii="Arial" w:cs="Arial" w:eastAsia="Arial" w:hAnsi="Arial"/>
                <w:sz w:val="18"/>
                <w:szCs w:val="18"/>
                <w:color w:val="4C4C4C"/>
                <w:w w:val="98"/>
              </w:rPr>
              <w:t>137,500</w:t>
            </w:r>
          </w:p>
        </w:tc>
        <w:tc>
          <w:tcPr>
            <w:tcW w:w="74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bottom w:val="single" w:sz="8" w:color="E5F6F8"/>
            </w:tcBorders>
            <w:shd w:val="clear" w:color="auto" w:fill="E5F6F8"/>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bottom w:val="single" w:sz="8" w:color="E5F6F8"/>
            </w:tcBorders>
            <w:shd w:val="clear" w:color="auto" w:fill="E5F6F8"/>
          </w:tcPr>
          <w:p>
            <w:pPr>
              <w:jc w:val="right"/>
              <w:ind w:right="110"/>
              <w:spacing w:after="0"/>
              <w:rPr>
                <w:sz w:val="20"/>
                <w:szCs w:val="20"/>
                <w:color w:val="auto"/>
              </w:rPr>
            </w:pPr>
            <w:r>
              <w:rPr>
                <w:rFonts w:ascii="Arial" w:cs="Arial" w:eastAsia="Arial" w:hAnsi="Arial"/>
                <w:sz w:val="18"/>
                <w:szCs w:val="18"/>
                <w:color w:val="4C4C4C"/>
                <w:w w:val="98"/>
              </w:rPr>
              <w:t>257,492</w:t>
            </w:r>
          </w:p>
        </w:tc>
      </w:tr>
      <w:tr>
        <w:trPr>
          <w:trHeight w:val="290"/>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4C4C4C"/>
              </w:rPr>
              <w:t>Pat Shouvlin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4C4C4C"/>
                <w:w w:val="98"/>
              </w:rPr>
              <w:t>142,500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4C4C4C"/>
                <w:w w:val="98"/>
              </w:rPr>
              <w:t>262,492</w:t>
            </w:r>
          </w:p>
        </w:tc>
      </w:tr>
      <w:tr>
        <w:trPr>
          <w:trHeight w:val="27"/>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22"/>
        </w:trPr>
        <w:tc>
          <w:tcPr>
            <w:tcW w:w="516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8"/>
                <w:szCs w:val="18"/>
                <w:color w:val="4C4C4C"/>
              </w:rPr>
              <w:t xml:space="preserve">Bill Wallace </w:t>
            </w:r>
            <w:r>
              <w:rPr>
                <w:rFonts w:ascii="Arial" w:cs="Arial" w:eastAsia="Arial" w:hAnsi="Arial"/>
                <w:sz w:val="15"/>
                <w:szCs w:val="15"/>
                <w:color w:val="4C4C4C"/>
              </w:rPr>
              <w:t>(3)</w:t>
            </w:r>
          </w:p>
        </w:tc>
        <w:tc>
          <w:tcPr>
            <w:tcW w:w="68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bottom w:val="single" w:sz="8" w:color="E5F6F8"/>
            </w:tcBorders>
            <w:shd w:val="clear" w:color="auto" w:fill="E5F6F8"/>
          </w:tcPr>
          <w:p>
            <w:pPr>
              <w:jc w:val="right"/>
              <w:ind w:right="450"/>
              <w:spacing w:after="0"/>
              <w:rPr>
                <w:sz w:val="20"/>
                <w:szCs w:val="20"/>
                <w:color w:val="auto"/>
              </w:rPr>
            </w:pPr>
            <w:r>
              <w:rPr>
                <w:rFonts w:ascii="Arial" w:cs="Arial" w:eastAsia="Arial" w:hAnsi="Arial"/>
                <w:sz w:val="18"/>
                <w:szCs w:val="18"/>
                <w:color w:val="4C4C4C"/>
              </w:rPr>
              <w:t>68,750</w:t>
            </w:r>
          </w:p>
        </w:tc>
        <w:tc>
          <w:tcPr>
            <w:tcW w:w="740" w:type="dxa"/>
            <w:vAlign w:val="bottom"/>
            <w:tcBorders>
              <w:bottom w:val="single" w:sz="8" w:color="E5F6F8"/>
            </w:tcBorders>
            <w:shd w:val="clear" w:color="auto" w:fill="E5F6F8"/>
          </w:tcPr>
          <w:p>
            <w:pPr>
              <w:spacing w:after="0"/>
              <w:rPr>
                <w:sz w:val="24"/>
                <w:szCs w:val="24"/>
                <w:color w:val="auto"/>
              </w:rPr>
            </w:pPr>
          </w:p>
        </w:tc>
        <w:tc>
          <w:tcPr>
            <w:tcW w:w="1480" w:type="dxa"/>
            <w:vAlign w:val="bottom"/>
            <w:tcBorders>
              <w:bottom w:val="single" w:sz="8" w:color="E5F6F8"/>
            </w:tcBorders>
            <w:shd w:val="clear" w:color="auto" w:fill="E5F6F8"/>
          </w:tcPr>
          <w:p>
            <w:pPr>
              <w:spacing w:after="0"/>
              <w:rPr>
                <w:sz w:val="24"/>
                <w:szCs w:val="24"/>
                <w:color w:val="auto"/>
              </w:rPr>
            </w:pPr>
          </w:p>
        </w:tc>
        <w:tc>
          <w:tcPr>
            <w:tcW w:w="5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bottom w:val="single" w:sz="8" w:color="E5F6F8"/>
            </w:tcBorders>
            <w:shd w:val="clear" w:color="auto" w:fill="E5F6F8"/>
          </w:tcPr>
          <w:p>
            <w:pPr>
              <w:jc w:val="right"/>
              <w:ind w:right="110"/>
              <w:spacing w:after="0"/>
              <w:rPr>
                <w:sz w:val="20"/>
                <w:szCs w:val="20"/>
                <w:color w:val="auto"/>
              </w:rPr>
            </w:pPr>
            <w:r>
              <w:rPr>
                <w:rFonts w:ascii="Arial" w:cs="Arial" w:eastAsia="Arial" w:hAnsi="Arial"/>
                <w:sz w:val="18"/>
                <w:szCs w:val="18"/>
                <w:color w:val="4C4C4C"/>
              </w:rPr>
              <w:t>68,750</w:t>
            </w:r>
          </w:p>
        </w:tc>
      </w:tr>
      <w:tr>
        <w:trPr>
          <w:trHeight w:val="290"/>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4C4C4C"/>
              </w:rPr>
              <w:t>Paul Wetzel</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4C4C4C"/>
                <w:w w:val="98"/>
              </w:rPr>
              <w:t>120,000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14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4C4C4C"/>
                <w:w w:val="95"/>
              </w:rPr>
              <w:t>119,992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C4C4C"/>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4C4C4C"/>
                <w:w w:val="98"/>
              </w:rPr>
              <w:t>239,992</w:t>
            </w:r>
          </w:p>
        </w:tc>
      </w:tr>
      <w:tr>
        <w:trPr>
          <w:trHeight w:val="27"/>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34 | 2021 Proxy Statement</w:t>
      </w:r>
    </w:p>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Board and Corporate Governance Practices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Director Stock Ownership Guidelines</w:t>
      </w:r>
    </w:p>
    <w:p>
      <w:pPr>
        <w:spacing w:after="0" w:line="200" w:lineRule="exact"/>
        <w:rPr>
          <w:sz w:val="20"/>
          <w:szCs w:val="20"/>
          <w:color w:val="auto"/>
        </w:rPr>
      </w:pPr>
    </w:p>
    <w:p>
      <w:pPr>
        <w:sectPr>
          <w:pgSz w:w="11900" w:h="16838" w:orient="portrait"/>
          <w:cols w:equalWidth="0" w:num="2">
            <w:col w:w="7800" w:space="720"/>
            <w:col w:w="2620"/>
          </w:cols>
          <w:pgMar w:left="320" w:top="459" w:right="439" w:bottom="1440" w:gutter="0" w:footer="0" w:header="0"/>
          <w:type w:val="continuous"/>
        </w:sectPr>
      </w:pPr>
    </w:p>
    <w:p>
      <w:pPr>
        <w:spacing w:after="0" w:line="147" w:lineRule="exact"/>
        <w:rPr>
          <w:sz w:val="20"/>
          <w:szCs w:val="20"/>
          <w:color w:val="auto"/>
        </w:rPr>
      </w:pPr>
    </w:p>
    <w:p>
      <w:pPr>
        <w:ind w:left="540" w:right="100" w:hanging="424"/>
        <w:spacing w:after="0" w:line="247" w:lineRule="auto"/>
        <w:tabs>
          <w:tab w:leader="none" w:pos="540" w:val="left"/>
        </w:tabs>
        <w:numPr>
          <w:ilvl w:val="0"/>
          <w:numId w:val="118"/>
        </w:numPr>
        <w:rPr>
          <w:rFonts w:ascii="Arial" w:cs="Arial" w:eastAsia="Arial" w:hAnsi="Arial"/>
          <w:sz w:val="18"/>
          <w:szCs w:val="18"/>
          <w:color w:val="4C4C4C"/>
        </w:rPr>
      </w:pPr>
      <w:r>
        <w:rPr>
          <w:rFonts w:ascii="Arial" w:cs="Arial" w:eastAsia="Arial" w:hAnsi="Arial"/>
          <w:sz w:val="18"/>
          <w:szCs w:val="18"/>
          <w:b w:val="1"/>
          <w:bCs w:val="1"/>
          <w:color w:val="3F3F3F"/>
        </w:rPr>
        <w:t>Fees Earned or Paid in Cash</w:t>
      </w:r>
      <w:r>
        <w:rPr>
          <w:rFonts w:ascii="Arial" w:cs="Arial" w:eastAsia="Arial" w:hAnsi="Arial"/>
          <w:sz w:val="18"/>
          <w:szCs w:val="18"/>
          <w:color w:val="4C4C4C"/>
        </w:rPr>
        <w:t>. Each non-management Director is entitled to receive an annual cash retainer of $120,000, or a</w:t>
      </w:r>
      <w:r>
        <w:rPr>
          <w:rFonts w:ascii="Arial" w:cs="Arial" w:eastAsia="Arial" w:hAnsi="Arial"/>
          <w:sz w:val="18"/>
          <w:szCs w:val="18"/>
          <w:b w:val="1"/>
          <w:bCs w:val="1"/>
          <w:color w:val="3F3F3F"/>
        </w:rPr>
        <w:t xml:space="preserve"> </w:t>
      </w:r>
      <w:r>
        <w:rPr>
          <w:rFonts w:ascii="Arial" w:cs="Arial" w:eastAsia="Arial" w:hAnsi="Arial"/>
          <w:sz w:val="18"/>
          <w:szCs w:val="18"/>
          <w:color w:val="4C4C4C"/>
        </w:rPr>
        <w:t>prorated amount for a shorter period of service. We provide additional retainers to the Chairman and to each Director who serves as the Chair of a standing Committee, the amounts of which are set forth above under the heading “</w:t>
      </w:r>
      <w:r>
        <w:rPr>
          <w:rFonts w:ascii="Arial" w:cs="Arial" w:eastAsia="Arial" w:hAnsi="Arial"/>
          <w:sz w:val="18"/>
          <w:szCs w:val="18"/>
          <w:color w:val="4CC5CF"/>
        </w:rPr>
        <w:t>Director Compensation</w:t>
      </w:r>
      <w:r>
        <w:rPr>
          <w:rFonts w:ascii="Arial" w:cs="Arial" w:eastAsia="Arial" w:hAnsi="Arial"/>
          <w:sz w:val="18"/>
          <w:szCs w:val="18"/>
          <w:color w:val="4C4C4C"/>
        </w:rPr>
        <w:t>.” All cash retainers are paid in quarterly installments in arrears, unless deferred.</w:t>
      </w:r>
    </w:p>
    <w:p>
      <w:pPr>
        <w:spacing w:after="0" w:line="38" w:lineRule="exact"/>
        <w:rPr>
          <w:rFonts w:ascii="Arial" w:cs="Arial" w:eastAsia="Arial" w:hAnsi="Arial"/>
          <w:sz w:val="18"/>
          <w:szCs w:val="18"/>
          <w:color w:val="4C4C4C"/>
        </w:rPr>
      </w:pPr>
    </w:p>
    <w:p>
      <w:pPr>
        <w:ind w:left="540" w:right="20" w:hanging="424"/>
        <w:spacing w:after="0" w:line="250" w:lineRule="auto"/>
        <w:tabs>
          <w:tab w:leader="none" w:pos="540" w:val="left"/>
        </w:tabs>
        <w:numPr>
          <w:ilvl w:val="0"/>
          <w:numId w:val="118"/>
        </w:numPr>
        <w:rPr>
          <w:rFonts w:ascii="Arial" w:cs="Arial" w:eastAsia="Arial" w:hAnsi="Arial"/>
          <w:sz w:val="17"/>
          <w:szCs w:val="17"/>
          <w:color w:val="4C4C4C"/>
        </w:rPr>
      </w:pPr>
      <w:r>
        <w:rPr>
          <w:rFonts w:ascii="Arial" w:cs="Arial" w:eastAsia="Arial" w:hAnsi="Arial"/>
          <w:sz w:val="17"/>
          <w:szCs w:val="17"/>
          <w:b w:val="1"/>
          <w:bCs w:val="1"/>
          <w:color w:val="3F3F3F"/>
        </w:rPr>
        <w:t>Stock Awards</w:t>
      </w:r>
      <w:r>
        <w:rPr>
          <w:rFonts w:ascii="Arial" w:cs="Arial" w:eastAsia="Arial" w:hAnsi="Arial"/>
          <w:sz w:val="17"/>
          <w:szCs w:val="17"/>
          <w:color w:val="4C4C4C"/>
        </w:rPr>
        <w:t>. As part of their annual retainers for 2020, each non-management Director (other than Mr. Hooley) was granted an</w:t>
      </w:r>
      <w:r>
        <w:rPr>
          <w:rFonts w:ascii="Arial" w:cs="Arial" w:eastAsia="Arial" w:hAnsi="Arial"/>
          <w:sz w:val="17"/>
          <w:szCs w:val="17"/>
          <w:b w:val="1"/>
          <w:bCs w:val="1"/>
          <w:color w:val="3F3F3F"/>
        </w:rPr>
        <w:t xml:space="preserve"> </w:t>
      </w:r>
      <w:r>
        <w:rPr>
          <w:rFonts w:ascii="Arial" w:cs="Arial" w:eastAsia="Arial" w:hAnsi="Arial"/>
          <w:sz w:val="17"/>
          <w:szCs w:val="17"/>
          <w:color w:val="4C4C4C"/>
        </w:rPr>
        <w:t>equity award of 3,454 RSUs on June 10, 2020, with an aggregate grant date fair value equal to $119,992. Upon Mr. Hooley’s election to the Board on August 19, 2020, he received a prorated portion of the annual equity award of 3,350 RSUs, with an aggregate grant date fair value equal to $99,998. For his service as Chairman, Mr. Chaplin was granted an additional equity award of 2,878 RSUs on June 10, 2020, with an aggregate grant date fair value equal to $99,982. The Directors’ awards will vest on the earlier of the one-year anniversary of the grant date or the date of the next annual meeting of stockholders. Amounts in this column represent the aggregate grant date fair value of each applicable award of RSUs, computed in accordance with Financial Accounting Standards Board (“</w:t>
      </w:r>
      <w:r>
        <w:rPr>
          <w:rFonts w:ascii="Arial" w:cs="Arial" w:eastAsia="Arial" w:hAnsi="Arial"/>
          <w:sz w:val="17"/>
          <w:szCs w:val="17"/>
          <w:b w:val="1"/>
          <w:bCs w:val="1"/>
          <w:color w:val="00ADBB"/>
        </w:rPr>
        <w:t>FASB</w:t>
      </w:r>
      <w:r>
        <w:rPr>
          <w:rFonts w:ascii="Arial" w:cs="Arial" w:eastAsia="Arial" w:hAnsi="Arial"/>
          <w:sz w:val="17"/>
          <w:szCs w:val="17"/>
          <w:color w:val="4C4C4C"/>
        </w:rPr>
        <w:t>”) Accounting Standards Codification (“</w:t>
      </w:r>
      <w:r>
        <w:rPr>
          <w:rFonts w:ascii="Arial" w:cs="Arial" w:eastAsia="Arial" w:hAnsi="Arial"/>
          <w:sz w:val="17"/>
          <w:szCs w:val="17"/>
          <w:b w:val="1"/>
          <w:bCs w:val="1"/>
          <w:color w:val="00ADBB"/>
        </w:rPr>
        <w:t>ASC</w:t>
      </w:r>
      <w:r>
        <w:rPr>
          <w:rFonts w:ascii="Arial" w:cs="Arial" w:eastAsia="Arial" w:hAnsi="Arial"/>
          <w:sz w:val="17"/>
          <w:szCs w:val="17"/>
          <w:color w:val="4C4C4C"/>
        </w:rPr>
        <w:t>”) Topic 718. For a description of the methodology and assumptions made in determining the aggregate grant date fair value of Share awards, see Note 10 of the Notes to the Consolidated Financial Statements in our annual report on Form 10-K for the year ended December 31, 2020 (“</w:t>
      </w:r>
      <w:r>
        <w:rPr>
          <w:rFonts w:ascii="Arial" w:cs="Arial" w:eastAsia="Arial" w:hAnsi="Arial"/>
          <w:sz w:val="17"/>
          <w:szCs w:val="17"/>
          <w:b w:val="1"/>
          <w:bCs w:val="1"/>
          <w:color w:val="00ADBB"/>
        </w:rPr>
        <w:t>2020 Annual Report on Form 10-K</w:t>
      </w:r>
      <w:r>
        <w:rPr>
          <w:rFonts w:ascii="Arial" w:cs="Arial" w:eastAsia="Arial" w:hAnsi="Arial"/>
          <w:sz w:val="17"/>
          <w:szCs w:val="17"/>
          <w:color w:val="4C4C4C"/>
        </w:rPr>
        <w:t>”). As of December 31, 2020, the Directors listed in the above table held the following number of outstanding, unvested RSUs: Britt (3,454); Chaplin (6,332); Hooley (3,350); Mallesch (3,454); McCarthy (3,454); Offereins (3,454); Shouvlin (3,454); and Wetzel (3,454).</w:t>
      </w:r>
    </w:p>
    <w:p>
      <w:pPr>
        <w:spacing w:after="0" w:line="8" w:lineRule="exact"/>
        <w:rPr>
          <w:rFonts w:ascii="Arial" w:cs="Arial" w:eastAsia="Arial" w:hAnsi="Arial"/>
          <w:sz w:val="17"/>
          <w:szCs w:val="17"/>
          <w:color w:val="4C4C4C"/>
        </w:rPr>
      </w:pPr>
    </w:p>
    <w:p>
      <w:pPr>
        <w:ind w:left="540" w:right="20"/>
        <w:spacing w:after="0" w:line="246" w:lineRule="auto"/>
        <w:rPr>
          <w:rFonts w:ascii="Arial" w:cs="Arial" w:eastAsia="Arial" w:hAnsi="Arial"/>
          <w:sz w:val="17"/>
          <w:szCs w:val="17"/>
          <w:color w:val="4C4C4C"/>
        </w:rPr>
      </w:pPr>
      <w:r>
        <w:rPr>
          <w:rFonts w:ascii="Arial" w:cs="Arial" w:eastAsia="Arial" w:hAnsi="Arial"/>
          <w:sz w:val="18"/>
          <w:szCs w:val="18"/>
          <w:color w:val="4C4C4C"/>
        </w:rPr>
        <w:t>Mr. Wallace’s 2019 award of 3,120 RSUs vested upon his retirement as of our 2019 annual meeting of stockholders. He had no other outstanding awards.</w:t>
      </w:r>
    </w:p>
    <w:p>
      <w:pPr>
        <w:spacing w:after="0" w:line="61" w:lineRule="exact"/>
        <w:rPr>
          <w:rFonts w:ascii="Arial" w:cs="Arial" w:eastAsia="Arial" w:hAnsi="Arial"/>
          <w:sz w:val="17"/>
          <w:szCs w:val="17"/>
          <w:color w:val="4C4C4C"/>
        </w:rPr>
      </w:pPr>
    </w:p>
    <w:p>
      <w:pPr>
        <w:ind w:left="540" w:right="80" w:hanging="424"/>
        <w:spacing w:after="0" w:line="246" w:lineRule="auto"/>
        <w:tabs>
          <w:tab w:leader="none" w:pos="540" w:val="left"/>
        </w:tabs>
        <w:numPr>
          <w:ilvl w:val="0"/>
          <w:numId w:val="118"/>
        </w:numPr>
        <w:rPr>
          <w:rFonts w:ascii="Arial" w:cs="Arial" w:eastAsia="Arial" w:hAnsi="Arial"/>
          <w:sz w:val="18"/>
          <w:szCs w:val="18"/>
          <w:color w:val="4C4C4C"/>
        </w:rPr>
      </w:pPr>
      <w:r>
        <w:rPr>
          <w:rFonts w:ascii="Arial" w:cs="Arial" w:eastAsia="Arial" w:hAnsi="Arial"/>
          <w:sz w:val="18"/>
          <w:szCs w:val="18"/>
          <w:color w:val="4C4C4C"/>
        </w:rPr>
        <w:t>Bill Wallace retired from the Board as of the 2020 annual meeting. He received two quarterly installments of the annual cash retainer and the additional payment for his service as Chair of the Investment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Deferred Compensation Plan</w:t>
      </w:r>
    </w:p>
    <w:p>
      <w:pPr>
        <w:spacing w:after="0" w:line="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4C4C4C"/>
        </w:rPr>
        <w:t>The Board adopted the Brighthouse Services, LLC Deferred Compensation Plan for Non-Management Directors (the “</w:t>
      </w:r>
      <w:r>
        <w:rPr>
          <w:rFonts w:ascii="Arial" w:cs="Arial" w:eastAsia="Arial" w:hAnsi="Arial"/>
          <w:sz w:val="18"/>
          <w:szCs w:val="18"/>
          <w:b w:val="1"/>
          <w:bCs w:val="1"/>
          <w:color w:val="00ADBB"/>
        </w:rPr>
        <w:t>Director Deferred</w:t>
      </w:r>
      <w:r>
        <w:rPr>
          <w:rFonts w:ascii="Arial" w:cs="Arial" w:eastAsia="Arial" w:hAnsi="Arial"/>
          <w:sz w:val="18"/>
          <w:szCs w:val="18"/>
          <w:color w:val="4C4C4C"/>
        </w:rPr>
        <w:t xml:space="preserve"> </w:t>
      </w:r>
      <w:r>
        <w:rPr>
          <w:rFonts w:ascii="Arial" w:cs="Arial" w:eastAsia="Arial" w:hAnsi="Arial"/>
          <w:sz w:val="18"/>
          <w:szCs w:val="18"/>
          <w:b w:val="1"/>
          <w:bCs w:val="1"/>
          <w:color w:val="00ADBB"/>
        </w:rPr>
        <w:t>Compensation Plan</w:t>
      </w:r>
      <w:r>
        <w:rPr>
          <w:rFonts w:ascii="Arial" w:cs="Arial" w:eastAsia="Arial" w:hAnsi="Arial"/>
          <w:sz w:val="18"/>
          <w:szCs w:val="18"/>
          <w:color w:val="4C4C4C"/>
        </w:rPr>
        <w:t>”), effective December 1, 2019. The purpose of the Director Deferred Compensation Plan is to provide Directors with</w:t>
      </w:r>
      <w:r>
        <w:rPr>
          <w:rFonts w:ascii="Arial" w:cs="Arial" w:eastAsia="Arial" w:hAnsi="Arial"/>
          <w:sz w:val="18"/>
          <w:szCs w:val="18"/>
          <w:b w:val="1"/>
          <w:bCs w:val="1"/>
          <w:color w:val="00ADBB"/>
        </w:rPr>
        <w:t xml:space="preserve"> </w:t>
      </w:r>
      <w:r>
        <w:rPr>
          <w:rFonts w:ascii="Arial" w:cs="Arial" w:eastAsia="Arial" w:hAnsi="Arial"/>
          <w:sz w:val="18"/>
          <w:szCs w:val="18"/>
          <w:color w:val="4C4C4C"/>
        </w:rPr>
        <w:t>the opportunity to defer receipt of all or a portion of their cash or equity compensation to a later date, at which time payment of the compensation will be made after adjustment for the simulated investment experience of such compensation. Directors were able to make their initial deferral elections in 2019 with respect to compensation earned in 2020 and later years. Some Non-Management Directors have chosen to defer the receipt of all or part of their annual retainer fees under the Director Deferred Compensation Plan.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Director Stock Ownership Guidelines</w:t>
      </w:r>
    </w:p>
    <w:p>
      <w:pPr>
        <w:spacing w:after="0" w:line="12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4C4C4C"/>
        </w:rPr>
        <w:t>In February 2018, the Board, on the recommendation of the Nominating and Corporate Governance Committee, established stock ownership and retention guidelines for Independent Directors. Pursuant to these guidelines, each Independent Director is expected to acquire a number of Shares equal to at least four times the equity portion of the Director’s annual retainer. For Mr. Chaplin this includes the portion of his annual retainer for service as Chairman that is paid in the form of RSUs. Directors are expected to achieve the applicable ownership level within five years from the later of the date the guidelines became effective (January 1, 2018) or the date the Director commences service. For Directors who have elected to participate in the Director Deferred Compensation Plan, deferred Shares count toward the applicable ownership level. Directors are required to retain at least 50% of the net shares acquired upon vesting of equity awards until the ownership guidelines are satisfied. All Directors are currently in compliance with the Company’s stock ownership and retention guidelines, and to date no Director has sold any vested equity.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35</w:t>
      </w:r>
    </w:p>
    <w:p>
      <w:pPr>
        <w:sectPr>
          <w:pgSz w:w="11900" w:h="16838" w:orient="portrait"/>
          <w:cols w:equalWidth="0" w:num="1">
            <w:col w:w="11140"/>
          </w:cols>
          <w:pgMar w:left="320" w:top="459" w:right="4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Board and Corporate Governance Practices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Compensation Committee Interlocks and Insider Participation; Codes of Conduct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1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Compensation Committee Interlocks and Insider Participation</w:t>
      </w:r>
    </w:p>
    <w:p>
      <w:pPr>
        <w:spacing w:after="0" w:line="125" w:lineRule="exact"/>
        <w:rPr>
          <w:sz w:val="20"/>
          <w:szCs w:val="20"/>
          <w:color w:val="auto"/>
        </w:rPr>
      </w:pPr>
    </w:p>
    <w:p>
      <w:pPr>
        <w:ind w:left="280" w:right="600"/>
        <w:spacing w:after="0" w:line="246" w:lineRule="auto"/>
        <w:rPr>
          <w:sz w:val="20"/>
          <w:szCs w:val="20"/>
          <w:color w:val="auto"/>
        </w:rPr>
      </w:pPr>
      <w:r>
        <w:rPr>
          <w:rFonts w:ascii="Arial" w:cs="Arial" w:eastAsia="Arial" w:hAnsi="Arial"/>
          <w:sz w:val="18"/>
          <w:szCs w:val="18"/>
          <w:color w:val="4C4C4C"/>
        </w:rPr>
        <w:t>There are no interlocking relationships between any member of our Compensation and Human Capital Committee and any of our executive officers that require disclosure under applicable rules.</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Codes of Conduct</w:t>
      </w:r>
    </w:p>
    <w:p>
      <w:pPr>
        <w:spacing w:after="0" w:line="125" w:lineRule="exact"/>
        <w:rPr>
          <w:sz w:val="20"/>
          <w:szCs w:val="20"/>
          <w:color w:val="auto"/>
        </w:rPr>
      </w:pPr>
    </w:p>
    <w:p>
      <w:pPr>
        <w:ind w:left="280" w:right="180"/>
        <w:spacing w:after="0" w:line="236" w:lineRule="auto"/>
        <w:rPr>
          <w:sz w:val="20"/>
          <w:szCs w:val="20"/>
          <w:color w:val="auto"/>
        </w:rPr>
      </w:pPr>
      <w:r>
        <w:rPr>
          <w:rFonts w:ascii="Arial" w:cs="Arial" w:eastAsia="Arial" w:hAnsi="Arial"/>
          <w:sz w:val="18"/>
          <w:szCs w:val="18"/>
          <w:color w:val="4C4C4C"/>
        </w:rPr>
        <w:t xml:space="preserve">Brighthouse’s strength depends on the trust of our employees, distribution partners, customers, and stockholders. We strive to adhere to the highest standards of business conduct at all times, and put honesty, fairness, and trustworthiness at the center of all that we do. We have adopted three codes of conduct that reflect these values and enshrine them in our corporate culture: the Code of Conduct for Financial Management, which is a “code of ethics” (as defined under SEC rules) that applies to Brighthouse’s CEO, CFO, COO, Chief Accounting Officer, Chief Auditor, Corporate Controller, and all other Brighthouse employees who perform similar functions or who may obtain access to any financial records covered by the Code of Conduct for Financial Management; the Code of Conduct for Employees applies to all Brighthouse officers and employees; and the Code of Conduct for Directors applies to members of the Board. Current versions of these codes of conduct are available on Brighthouse’s website at </w:t>
      </w:r>
      <w:r>
        <w:rPr>
          <w:rFonts w:ascii="Arial" w:cs="Arial" w:eastAsia="Arial" w:hAnsi="Arial"/>
          <w:sz w:val="18"/>
          <w:szCs w:val="18"/>
          <w:u w:val="single" w:color="auto"/>
          <w:color w:val="4C4C4C"/>
        </w:rPr>
        <w:t>investor.brighthousefinancial.com/corporate-governance/governance-overview</w:t>
      </w:r>
      <w:r>
        <w:rPr>
          <w:rFonts w:ascii="Arial" w:cs="Arial" w:eastAsia="Arial" w:hAnsi="Arial"/>
          <w:sz w:val="18"/>
          <w:szCs w:val="18"/>
          <w:color w:val="4C4C4C"/>
        </w:rPr>
        <w:t>.</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36 | 2021 Proxy Statement</w:t>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line="246" w:lineRule="auto"/>
        <w:rPr>
          <w:sz w:val="20"/>
          <w:szCs w:val="20"/>
          <w:color w:val="auto"/>
        </w:rPr>
      </w:pPr>
      <w:r>
        <w:rPr>
          <w:rFonts w:ascii="Arial" w:cs="Arial" w:eastAsia="Arial" w:hAnsi="Arial"/>
          <w:sz w:val="13"/>
          <w:szCs w:val="13"/>
          <w:b w:val="1"/>
          <w:bCs w:val="1"/>
          <w:color w:val="00ADBB"/>
        </w:rPr>
        <w:t>Proposal 2 – Ratification of the appointment of Deloitte &amp; Touche LLP as Brighthouse’s independent registered public accounting firm for fiscal year 2021</w:t>
      </w:r>
    </w:p>
    <w:p>
      <w:pPr>
        <w:spacing w:after="0" w:line="189" w:lineRule="exact"/>
        <w:rPr>
          <w:sz w:val="20"/>
          <w:szCs w:val="20"/>
          <w:color w:val="auto"/>
        </w:rPr>
      </w:pPr>
    </w:p>
    <w:p>
      <w:pPr>
        <w:sectPr>
          <w:pgSz w:w="11900" w:h="16838" w:orient="portrait"/>
          <w:cols w:equalWidth="0" w:num="2">
            <w:col w:w="5200" w:space="720"/>
            <w:col w:w="52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43"/>
          <w:szCs w:val="43"/>
          <w:b w:val="1"/>
          <w:bCs w:val="1"/>
          <w:color w:val="00ADBB"/>
        </w:rPr>
        <w:t>Proposal 2</w:t>
      </w:r>
    </w:p>
    <w:p>
      <w:pPr>
        <w:spacing w:after="0" w:line="366" w:lineRule="exact"/>
        <w:rPr>
          <w:sz w:val="20"/>
          <w:szCs w:val="20"/>
          <w:color w:val="auto"/>
        </w:rPr>
      </w:pPr>
    </w:p>
    <w:p>
      <w:pPr>
        <w:ind w:left="120" w:right="380"/>
        <w:spacing w:after="0" w:line="277" w:lineRule="auto"/>
        <w:rPr>
          <w:sz w:val="20"/>
          <w:szCs w:val="20"/>
          <w:color w:val="auto"/>
        </w:rPr>
      </w:pPr>
      <w:r>
        <w:rPr>
          <w:rFonts w:ascii="Arial" w:cs="Arial" w:eastAsia="Arial" w:hAnsi="Arial"/>
          <w:sz w:val="25"/>
          <w:szCs w:val="25"/>
          <w:color w:val="00ADBB"/>
        </w:rPr>
        <w:t>Ratification of the appointment of Deloitte &amp; Touche LLP as Brighthouse’s independent registered public accounting firm for fiscal year 2021</w:t>
      </w:r>
    </w:p>
    <w:p>
      <w:pPr>
        <w:spacing w:after="0" w:line="27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4C4C4C"/>
        </w:rPr>
        <w:t>The Audit Committee is responsible for the appointment, compensation, retention, and oversight of our independent registered public accounting firm (“</w:t>
      </w:r>
      <w:r>
        <w:rPr>
          <w:rFonts w:ascii="Arial" w:cs="Arial" w:eastAsia="Arial" w:hAnsi="Arial"/>
          <w:sz w:val="18"/>
          <w:szCs w:val="18"/>
          <w:b w:val="1"/>
          <w:bCs w:val="1"/>
          <w:color w:val="00ADBB"/>
        </w:rPr>
        <w:t>independent auditor</w:t>
      </w:r>
      <w:r>
        <w:rPr>
          <w:rFonts w:ascii="Arial" w:cs="Arial" w:eastAsia="Arial" w:hAnsi="Arial"/>
          <w:sz w:val="18"/>
          <w:szCs w:val="18"/>
          <w:color w:val="4C4C4C"/>
        </w:rPr>
        <w:t>”). To execute this responsibility, the Audit Committee annually evaluates the independent auditor’s qualifications, performance, and independence. In considering the appointment of the independent auditor, the Audit Committee annually evaluates the independent auditor’s performance relative to various qualifications, including (i) the quality of services and sufficiency of resources provided by the independent auditor firm and engagement team, (ii) communication and interaction with the independent auditor, and (iii) the independent auditor’s independence, objectivity, and professional skepticism.</w:t>
      </w:r>
    </w:p>
    <w:p>
      <w:pPr>
        <w:spacing w:after="0" w:line="75"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4C4C4C"/>
        </w:rPr>
        <w:t>The Audit Committee has appointed Deloitte &amp; Touche LLP (“</w:t>
      </w:r>
      <w:r>
        <w:rPr>
          <w:rFonts w:ascii="Arial" w:cs="Arial" w:eastAsia="Arial" w:hAnsi="Arial"/>
          <w:sz w:val="18"/>
          <w:szCs w:val="18"/>
          <w:b w:val="1"/>
          <w:bCs w:val="1"/>
          <w:color w:val="00ADBB"/>
        </w:rPr>
        <w:t>Deloitte</w:t>
      </w:r>
      <w:r>
        <w:rPr>
          <w:rFonts w:ascii="Arial" w:cs="Arial" w:eastAsia="Arial" w:hAnsi="Arial"/>
          <w:sz w:val="18"/>
          <w:szCs w:val="18"/>
          <w:color w:val="4C4C4C"/>
        </w:rPr>
        <w:t>”) as the Company’s independent auditor for the fiscal year ending December 31, 2021. Deloitte’s background knowledge of Brighthouse and its subsidiaries, combined with its industry expertise, has enabled it to carry out its audits of the Company’s financial statements and the effectiveness of the Company’s internal control over financial reporting with effectiveness and efficiency. The members of the Audit Committee believe that the continued retention of Deloitte as the Company’s independent auditor is in the best interest of the Company and its stockholders.</w:t>
      </w:r>
    </w:p>
    <w:p>
      <w:pPr>
        <w:spacing w:after="0" w:line="9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4C4C4C"/>
        </w:rPr>
        <w:t>In addition, the Audit Committee is involved in the selection of the lead audit partner and ensures that the lead partner’s engagement is limited to no more than five consecutive years of service (in accordance with SEC rules). The current lead Deloitte partner’s engagement began with the 2017 audit, and he is eligible to serve in that capacity through the end of the 2021 audit. In 2022, pursuant to the mandated rotation, a new lead engagement partner will assume responsibilities with respect to the Company’s financial statements and other services provided to the Company.</w:t>
      </w:r>
    </w:p>
    <w:p>
      <w:pPr>
        <w:spacing w:after="0" w:line="9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4C4C4C"/>
        </w:rPr>
        <w:t>We request that our stockholders ratify the appointment of Deloitte as the Company’s independent auditor for fiscal year 2021. If the stockholders do not ratify such appointment, the Audit Committee will take note and may reconsider its retention of Deloitte. If such appointment is ratified, the Audit Committee will still have the discretion to replace Deloitte at any time during the year. Representatives of Deloitte are expected to be present at the Annual Meeting and will have the opportunity to make a statement. They will also be available to respond to questions from stockholders regarding their audit of our consolidated financial statements for fiscal year 2020.</w:t>
      </w:r>
    </w:p>
    <w:p>
      <w:pPr>
        <w:spacing w:after="0" w:line="72"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00ADBB"/>
        </w:rPr>
        <w:t>The Board of Directors recommends that stockholders vote “</w:t>
      </w:r>
      <w:r>
        <w:rPr>
          <w:rFonts w:ascii="Arial" w:cs="Arial" w:eastAsia="Arial" w:hAnsi="Arial"/>
          <w:sz w:val="18"/>
          <w:szCs w:val="18"/>
          <w:b w:val="1"/>
          <w:bCs w:val="1"/>
          <w:color w:val="3FC1CC"/>
        </w:rPr>
        <w:t>FOR”</w:t>
      </w:r>
      <w:r>
        <w:rPr>
          <w:rFonts w:ascii="Arial" w:cs="Arial" w:eastAsia="Arial" w:hAnsi="Arial"/>
          <w:sz w:val="18"/>
          <w:szCs w:val="18"/>
          <w:color w:val="00ADBB"/>
        </w:rPr>
        <w:t xml:space="preserve"> the ratification of the appointment of Deloitte as our independent registered public accounting firm for fiscal year 2021.</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37</w:t>
      </w:r>
    </w:p>
    <w:p>
      <w:pPr>
        <w:sectPr>
          <w:pgSz w:w="11900" w:h="16838" w:orient="portrait"/>
          <w:cols w:equalWidth="0" w:num="1">
            <w:col w:w="11140"/>
          </w:cols>
          <w:pgMar w:left="320" w:top="459" w:right="4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right="3480"/>
        <w:spacing w:after="0" w:line="246" w:lineRule="auto"/>
        <w:rPr>
          <w:sz w:val="20"/>
          <w:szCs w:val="20"/>
          <w:color w:val="auto"/>
        </w:rPr>
      </w:pPr>
      <w:r>
        <w:rPr>
          <w:rFonts w:ascii="Arial" w:cs="Arial" w:eastAsia="Arial" w:hAnsi="Arial"/>
          <w:sz w:val="13"/>
          <w:szCs w:val="13"/>
          <w:b w:val="1"/>
          <w:bCs w:val="1"/>
          <w:color w:val="00ADBB"/>
        </w:rPr>
        <w:t>Proposal 2 – Ratification of the appointment of Deloitte &amp; Touche LLP as Brighthouse’s independent registered public accounting firm for fiscal year 2021</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8"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8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Fees Paid to Deloitte &amp; Touche LLP</w:t>
      </w:r>
    </w:p>
    <w:p>
      <w:pPr>
        <w:spacing w:after="0" w:line="125" w:lineRule="exact"/>
        <w:rPr>
          <w:sz w:val="20"/>
          <w:szCs w:val="20"/>
          <w:color w:val="auto"/>
        </w:rPr>
      </w:pPr>
    </w:p>
    <w:p>
      <w:pPr>
        <w:ind w:left="280" w:right="280"/>
        <w:spacing w:after="0"/>
        <w:rPr>
          <w:sz w:val="20"/>
          <w:szCs w:val="20"/>
          <w:color w:val="auto"/>
        </w:rPr>
      </w:pPr>
      <w:r>
        <w:rPr>
          <w:rFonts w:ascii="Arial" w:cs="Arial" w:eastAsia="Arial" w:hAnsi="Arial"/>
          <w:sz w:val="18"/>
          <w:szCs w:val="18"/>
          <w:color w:val="4C4C4C"/>
        </w:rPr>
        <w:t>The following table shows the fees incurred by the Company for professional services rendered by Deloitte for the fiscal years ending December 31, 2020, and December 31, 2019, respectively. All services provided to the Company were 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146050</wp:posOffset>
            </wp:positionV>
            <wp:extent cx="825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146050</wp:posOffset>
            </wp:positionV>
            <wp:extent cx="825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776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Fees (in thousands)</w:t>
            </w:r>
          </w:p>
        </w:tc>
        <w:tc>
          <w:tcPr>
            <w:tcW w:w="860" w:type="dxa"/>
            <w:vAlign w:val="bottom"/>
            <w:shd w:val="clear" w:color="auto" w:fill="00ADBB"/>
          </w:tcPr>
          <w:p>
            <w:pPr>
              <w:spacing w:after="0"/>
              <w:rPr>
                <w:sz w:val="24"/>
                <w:szCs w:val="24"/>
                <w:color w:val="auto"/>
              </w:rPr>
            </w:pPr>
          </w:p>
        </w:tc>
        <w:tc>
          <w:tcPr>
            <w:tcW w:w="940" w:type="dxa"/>
            <w:vAlign w:val="bottom"/>
            <w:shd w:val="clear" w:color="auto" w:fill="00ADBB"/>
          </w:tcPr>
          <w:p>
            <w:pPr>
              <w:jc w:val="right"/>
              <w:ind w:right="430"/>
              <w:spacing w:after="0"/>
              <w:rPr>
                <w:sz w:val="20"/>
                <w:szCs w:val="20"/>
                <w:color w:val="auto"/>
              </w:rPr>
            </w:pPr>
            <w:r>
              <w:rPr>
                <w:rFonts w:ascii="Arial" w:cs="Arial" w:eastAsia="Arial" w:hAnsi="Arial"/>
                <w:sz w:val="18"/>
                <w:szCs w:val="18"/>
                <w:b w:val="1"/>
                <w:bCs w:val="1"/>
                <w:color w:val="FFFFFF"/>
                <w:w w:val="99"/>
              </w:rPr>
              <w:t>2020</w:t>
            </w:r>
          </w:p>
        </w:tc>
        <w:tc>
          <w:tcPr>
            <w:tcW w:w="520" w:type="dxa"/>
            <w:vAlign w:val="bottom"/>
            <w:shd w:val="clear" w:color="auto" w:fill="00ADBB"/>
          </w:tcPr>
          <w:p>
            <w:pPr>
              <w:spacing w:after="0"/>
              <w:rPr>
                <w:sz w:val="24"/>
                <w:szCs w:val="24"/>
                <w:color w:val="auto"/>
              </w:rPr>
            </w:pPr>
          </w:p>
        </w:tc>
        <w:tc>
          <w:tcPr>
            <w:tcW w:w="600" w:type="dxa"/>
            <w:vAlign w:val="bottom"/>
            <w:shd w:val="clear" w:color="auto" w:fill="00ADBB"/>
          </w:tcPr>
          <w:p>
            <w:pPr>
              <w:jc w:val="right"/>
              <w:ind w:right="90"/>
              <w:spacing w:after="0"/>
              <w:rPr>
                <w:sz w:val="20"/>
                <w:szCs w:val="20"/>
                <w:color w:val="auto"/>
              </w:rPr>
            </w:pPr>
            <w:r>
              <w:rPr>
                <w:rFonts w:ascii="Arial" w:cs="Arial" w:eastAsia="Arial" w:hAnsi="Arial"/>
                <w:sz w:val="18"/>
                <w:szCs w:val="18"/>
                <w:b w:val="1"/>
                <w:bCs w:val="1"/>
                <w:color w:val="FFFFFF"/>
                <w:w w:val="99"/>
              </w:rPr>
              <w:t>2019</w:t>
            </w:r>
          </w:p>
        </w:tc>
      </w:tr>
      <w:tr>
        <w:trPr>
          <w:trHeight w:val="283"/>
        </w:trPr>
        <w:tc>
          <w:tcPr>
            <w:tcW w:w="7760" w:type="dxa"/>
            <w:vAlign w:val="bottom"/>
          </w:tcPr>
          <w:p>
            <w:pPr>
              <w:ind w:left="100"/>
              <w:spacing w:after="0"/>
              <w:rPr>
                <w:sz w:val="20"/>
                <w:szCs w:val="20"/>
                <w:color w:val="auto"/>
              </w:rPr>
            </w:pPr>
            <w:r>
              <w:rPr>
                <w:rFonts w:ascii="Arial" w:cs="Arial" w:eastAsia="Arial" w:hAnsi="Arial"/>
                <w:sz w:val="18"/>
                <w:szCs w:val="18"/>
                <w:color w:val="4C4C4C"/>
              </w:rPr>
              <w:t xml:space="preserve">Audit Fees </w:t>
            </w:r>
            <w:r>
              <w:rPr>
                <w:rFonts w:ascii="Arial" w:cs="Arial" w:eastAsia="Arial" w:hAnsi="Arial"/>
                <w:sz w:val="15"/>
                <w:szCs w:val="15"/>
                <w:color w:val="4C4C4C"/>
              </w:rPr>
              <w:t>(1)</w:t>
            </w:r>
          </w:p>
        </w:tc>
        <w:tc>
          <w:tcPr>
            <w:tcW w:w="860" w:type="dxa"/>
            <w:vAlign w:val="bottom"/>
          </w:tcPr>
          <w:p>
            <w:pPr>
              <w:jc w:val="right"/>
              <w:spacing w:after="0"/>
              <w:rPr>
                <w:sz w:val="20"/>
                <w:szCs w:val="20"/>
                <w:color w:val="auto"/>
              </w:rPr>
            </w:pPr>
            <w:r>
              <w:rPr>
                <w:rFonts w:ascii="Arial" w:cs="Arial" w:eastAsia="Arial" w:hAnsi="Arial"/>
                <w:sz w:val="18"/>
                <w:szCs w:val="18"/>
                <w:color w:val="4C4C4C"/>
              </w:rPr>
              <w:t>$</w:t>
            </w:r>
          </w:p>
        </w:tc>
        <w:tc>
          <w:tcPr>
            <w:tcW w:w="940" w:type="dxa"/>
            <w:vAlign w:val="bottom"/>
          </w:tcPr>
          <w:p>
            <w:pPr>
              <w:jc w:val="right"/>
              <w:ind w:right="290"/>
              <w:spacing w:after="0"/>
              <w:rPr>
                <w:sz w:val="20"/>
                <w:szCs w:val="20"/>
                <w:color w:val="auto"/>
              </w:rPr>
            </w:pPr>
            <w:r>
              <w:rPr>
                <w:rFonts w:ascii="Arial" w:cs="Arial" w:eastAsia="Arial" w:hAnsi="Arial"/>
                <w:sz w:val="18"/>
                <w:szCs w:val="18"/>
                <w:color w:val="4C4C4C"/>
                <w:w w:val="98"/>
              </w:rPr>
              <w:t>12,563</w:t>
            </w:r>
          </w:p>
        </w:tc>
        <w:tc>
          <w:tcPr>
            <w:tcW w:w="520" w:type="dxa"/>
            <w:vAlign w:val="bottom"/>
          </w:tcPr>
          <w:p>
            <w:pPr>
              <w:jc w:val="right"/>
              <w:spacing w:after="0"/>
              <w:rPr>
                <w:sz w:val="20"/>
                <w:szCs w:val="20"/>
                <w:color w:val="auto"/>
              </w:rPr>
            </w:pPr>
            <w:r>
              <w:rPr>
                <w:rFonts w:ascii="Arial" w:cs="Arial" w:eastAsia="Arial" w:hAnsi="Arial"/>
                <w:sz w:val="18"/>
                <w:szCs w:val="18"/>
                <w:color w:val="4C4C4C"/>
              </w:rPr>
              <w:t>$</w:t>
            </w:r>
          </w:p>
        </w:tc>
        <w:tc>
          <w:tcPr>
            <w:tcW w:w="600" w:type="dxa"/>
            <w:vAlign w:val="bottom"/>
          </w:tcPr>
          <w:p>
            <w:pPr>
              <w:jc w:val="right"/>
              <w:spacing w:after="0"/>
              <w:rPr>
                <w:sz w:val="20"/>
                <w:szCs w:val="20"/>
                <w:color w:val="auto"/>
              </w:rPr>
            </w:pPr>
            <w:r>
              <w:rPr>
                <w:rFonts w:ascii="Arial" w:cs="Arial" w:eastAsia="Arial" w:hAnsi="Arial"/>
                <w:sz w:val="18"/>
                <w:szCs w:val="18"/>
                <w:color w:val="4C4C4C"/>
                <w:w w:val="94"/>
              </w:rPr>
              <w:t>13,500</w:t>
            </w:r>
          </w:p>
        </w:tc>
      </w:tr>
      <w:tr>
        <w:trPr>
          <w:trHeight w:val="41"/>
        </w:trPr>
        <w:tc>
          <w:tcPr>
            <w:tcW w:w="7760" w:type="dxa"/>
            <w:vAlign w:val="bottom"/>
            <w:tcBorders>
              <w:bottom w:val="single" w:sz="8" w:color="4C4C4C"/>
            </w:tcBorders>
          </w:tcPr>
          <w:p>
            <w:pPr>
              <w:spacing w:after="0"/>
              <w:rPr>
                <w:sz w:val="3"/>
                <w:szCs w:val="3"/>
                <w:color w:val="auto"/>
              </w:rPr>
            </w:pPr>
          </w:p>
        </w:tc>
        <w:tc>
          <w:tcPr>
            <w:tcW w:w="860" w:type="dxa"/>
            <w:vAlign w:val="bottom"/>
            <w:tcBorders>
              <w:bottom w:val="single" w:sz="8" w:color="4C4C4C"/>
            </w:tcBorders>
          </w:tcPr>
          <w:p>
            <w:pPr>
              <w:spacing w:after="0"/>
              <w:rPr>
                <w:sz w:val="3"/>
                <w:szCs w:val="3"/>
                <w:color w:val="auto"/>
              </w:rPr>
            </w:pPr>
          </w:p>
        </w:tc>
        <w:tc>
          <w:tcPr>
            <w:tcW w:w="940" w:type="dxa"/>
            <w:vAlign w:val="bottom"/>
            <w:tcBorders>
              <w:bottom w:val="single" w:sz="8" w:color="4C4C4C"/>
            </w:tcBorders>
          </w:tcPr>
          <w:p>
            <w:pPr>
              <w:spacing w:after="0"/>
              <w:rPr>
                <w:sz w:val="3"/>
                <w:szCs w:val="3"/>
                <w:color w:val="auto"/>
              </w:rPr>
            </w:pPr>
          </w:p>
        </w:tc>
        <w:tc>
          <w:tcPr>
            <w:tcW w:w="520" w:type="dxa"/>
            <w:vAlign w:val="bottom"/>
            <w:tcBorders>
              <w:bottom w:val="single" w:sz="8" w:color="4C4C4C"/>
            </w:tcBorders>
          </w:tcPr>
          <w:p>
            <w:pPr>
              <w:spacing w:after="0"/>
              <w:rPr>
                <w:sz w:val="3"/>
                <w:szCs w:val="3"/>
                <w:color w:val="auto"/>
              </w:rPr>
            </w:pPr>
          </w:p>
        </w:tc>
        <w:tc>
          <w:tcPr>
            <w:tcW w:w="600" w:type="dxa"/>
            <w:vAlign w:val="bottom"/>
            <w:tcBorders>
              <w:bottom w:val="single" w:sz="8" w:color="4C4C4C"/>
            </w:tcBorders>
          </w:tcPr>
          <w:p>
            <w:pPr>
              <w:spacing w:after="0"/>
              <w:rPr>
                <w:sz w:val="3"/>
                <w:szCs w:val="3"/>
                <w:color w:val="auto"/>
              </w:rPr>
            </w:pPr>
          </w:p>
        </w:tc>
      </w:tr>
      <w:tr>
        <w:trPr>
          <w:trHeight w:val="309"/>
        </w:trPr>
        <w:tc>
          <w:tcPr>
            <w:tcW w:w="7760" w:type="dxa"/>
            <w:vAlign w:val="bottom"/>
            <w:tcBorders>
              <w:bottom w:val="single" w:sz="8" w:color="E5F6F8"/>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Audit-Related Fees </w:t>
            </w:r>
            <w:r>
              <w:rPr>
                <w:rFonts w:ascii="Arial" w:cs="Arial" w:eastAsia="Arial" w:hAnsi="Arial"/>
                <w:sz w:val="15"/>
                <w:szCs w:val="15"/>
                <w:color w:val="4C4C4C"/>
              </w:rPr>
              <w:t>(2)</w:t>
            </w:r>
          </w:p>
        </w:tc>
        <w:tc>
          <w:tcPr>
            <w:tcW w:w="8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940" w:type="dxa"/>
            <w:vAlign w:val="bottom"/>
            <w:tcBorders>
              <w:bottom w:val="single" w:sz="8" w:color="E5F6F8"/>
            </w:tcBorders>
            <w:shd w:val="clear" w:color="auto" w:fill="E5F6F8"/>
          </w:tcPr>
          <w:p>
            <w:pPr>
              <w:jc w:val="right"/>
              <w:ind w:right="290"/>
              <w:spacing w:after="0"/>
              <w:rPr>
                <w:sz w:val="20"/>
                <w:szCs w:val="20"/>
                <w:color w:val="auto"/>
              </w:rPr>
            </w:pPr>
            <w:r>
              <w:rPr>
                <w:rFonts w:ascii="Arial" w:cs="Arial" w:eastAsia="Arial" w:hAnsi="Arial"/>
                <w:sz w:val="18"/>
                <w:szCs w:val="18"/>
                <w:color w:val="4C4C4C"/>
              </w:rPr>
              <w:t>285</w:t>
            </w:r>
          </w:p>
        </w:tc>
        <w:tc>
          <w:tcPr>
            <w:tcW w:w="52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60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210</w:t>
            </w:r>
          </w:p>
        </w:tc>
      </w:tr>
      <w:tr>
        <w:trPr>
          <w:trHeight w:val="264"/>
        </w:trPr>
        <w:tc>
          <w:tcPr>
            <w:tcW w:w="7760" w:type="dxa"/>
            <w:vAlign w:val="bottom"/>
            <w:tcBorders>
              <w:top w:val="single" w:sz="8" w:color="4C4C4C"/>
            </w:tcBorders>
          </w:tcPr>
          <w:p>
            <w:pPr>
              <w:ind w:left="100"/>
              <w:spacing w:after="0"/>
              <w:rPr>
                <w:sz w:val="20"/>
                <w:szCs w:val="20"/>
                <w:color w:val="auto"/>
              </w:rPr>
            </w:pPr>
            <w:r>
              <w:rPr>
                <w:rFonts w:ascii="Arial" w:cs="Arial" w:eastAsia="Arial" w:hAnsi="Arial"/>
                <w:sz w:val="18"/>
                <w:szCs w:val="18"/>
                <w:color w:val="4C4C4C"/>
              </w:rPr>
              <w:t xml:space="preserve">Tax Fees </w:t>
            </w:r>
            <w:r>
              <w:rPr>
                <w:rFonts w:ascii="Arial" w:cs="Arial" w:eastAsia="Arial" w:hAnsi="Arial"/>
                <w:sz w:val="15"/>
                <w:szCs w:val="15"/>
                <w:color w:val="4C4C4C"/>
              </w:rPr>
              <w:t>(3)</w:t>
            </w:r>
          </w:p>
        </w:tc>
        <w:tc>
          <w:tcPr>
            <w:tcW w:w="86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rPr>
              <w:t>$</w:t>
            </w:r>
          </w:p>
        </w:tc>
        <w:tc>
          <w:tcPr>
            <w:tcW w:w="940" w:type="dxa"/>
            <w:vAlign w:val="bottom"/>
            <w:tcBorders>
              <w:top w:val="single" w:sz="8" w:color="4C4C4C"/>
            </w:tcBorders>
          </w:tcPr>
          <w:p>
            <w:pPr>
              <w:jc w:val="right"/>
              <w:ind w:right="290"/>
              <w:spacing w:after="0"/>
              <w:rPr>
                <w:sz w:val="20"/>
                <w:szCs w:val="20"/>
                <w:color w:val="auto"/>
              </w:rPr>
            </w:pPr>
            <w:r>
              <w:rPr>
                <w:rFonts w:ascii="Arial" w:cs="Arial" w:eastAsia="Arial" w:hAnsi="Arial"/>
                <w:sz w:val="18"/>
                <w:szCs w:val="18"/>
                <w:color w:val="4C4C4C"/>
              </w:rPr>
              <w:t>181</w:t>
            </w:r>
          </w:p>
        </w:tc>
        <w:tc>
          <w:tcPr>
            <w:tcW w:w="52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rPr>
              <w:t>$</w:t>
            </w:r>
          </w:p>
        </w:tc>
        <w:tc>
          <w:tcPr>
            <w:tcW w:w="60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rPr>
              <w:t>113</w:t>
            </w:r>
          </w:p>
        </w:tc>
      </w:tr>
      <w:tr>
        <w:trPr>
          <w:trHeight w:val="40"/>
        </w:trPr>
        <w:tc>
          <w:tcPr>
            <w:tcW w:w="7760" w:type="dxa"/>
            <w:vAlign w:val="bottom"/>
            <w:tcBorders>
              <w:bottom w:val="single" w:sz="8" w:color="4C4C4C"/>
            </w:tcBorders>
          </w:tcPr>
          <w:p>
            <w:pPr>
              <w:spacing w:after="0"/>
              <w:rPr>
                <w:sz w:val="3"/>
                <w:szCs w:val="3"/>
                <w:color w:val="auto"/>
              </w:rPr>
            </w:pPr>
          </w:p>
        </w:tc>
        <w:tc>
          <w:tcPr>
            <w:tcW w:w="860" w:type="dxa"/>
            <w:vAlign w:val="bottom"/>
            <w:tcBorders>
              <w:bottom w:val="single" w:sz="8" w:color="4C4C4C"/>
            </w:tcBorders>
          </w:tcPr>
          <w:p>
            <w:pPr>
              <w:spacing w:after="0"/>
              <w:rPr>
                <w:sz w:val="3"/>
                <w:szCs w:val="3"/>
                <w:color w:val="auto"/>
              </w:rPr>
            </w:pPr>
          </w:p>
        </w:tc>
        <w:tc>
          <w:tcPr>
            <w:tcW w:w="940" w:type="dxa"/>
            <w:vAlign w:val="bottom"/>
            <w:tcBorders>
              <w:bottom w:val="single" w:sz="8" w:color="4C4C4C"/>
            </w:tcBorders>
          </w:tcPr>
          <w:p>
            <w:pPr>
              <w:spacing w:after="0"/>
              <w:rPr>
                <w:sz w:val="3"/>
                <w:szCs w:val="3"/>
                <w:color w:val="auto"/>
              </w:rPr>
            </w:pPr>
          </w:p>
        </w:tc>
        <w:tc>
          <w:tcPr>
            <w:tcW w:w="520" w:type="dxa"/>
            <w:vAlign w:val="bottom"/>
            <w:tcBorders>
              <w:bottom w:val="single" w:sz="8" w:color="4C4C4C"/>
            </w:tcBorders>
          </w:tcPr>
          <w:p>
            <w:pPr>
              <w:spacing w:after="0"/>
              <w:rPr>
                <w:sz w:val="3"/>
                <w:szCs w:val="3"/>
                <w:color w:val="auto"/>
              </w:rPr>
            </w:pPr>
          </w:p>
        </w:tc>
        <w:tc>
          <w:tcPr>
            <w:tcW w:w="600" w:type="dxa"/>
            <w:vAlign w:val="bottom"/>
            <w:tcBorders>
              <w:bottom w:val="single" w:sz="8" w:color="4C4C4C"/>
            </w:tcBorders>
          </w:tcPr>
          <w:p>
            <w:pPr>
              <w:spacing w:after="0"/>
              <w:rPr>
                <w:sz w:val="3"/>
                <w:szCs w:val="3"/>
                <w:color w:val="auto"/>
              </w:rPr>
            </w:pPr>
          </w:p>
        </w:tc>
      </w:tr>
      <w:tr>
        <w:trPr>
          <w:trHeight w:val="309"/>
        </w:trPr>
        <w:tc>
          <w:tcPr>
            <w:tcW w:w="7760" w:type="dxa"/>
            <w:vAlign w:val="bottom"/>
            <w:tcBorders>
              <w:bottom w:val="single" w:sz="8" w:color="E5F6F8"/>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All Other Fees </w:t>
            </w:r>
            <w:r>
              <w:rPr>
                <w:rFonts w:ascii="Arial" w:cs="Arial" w:eastAsia="Arial" w:hAnsi="Arial"/>
                <w:sz w:val="15"/>
                <w:szCs w:val="15"/>
                <w:color w:val="4C4C4C"/>
              </w:rPr>
              <w:t>(4)</w:t>
            </w:r>
          </w:p>
        </w:tc>
        <w:tc>
          <w:tcPr>
            <w:tcW w:w="8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940" w:type="dxa"/>
            <w:vAlign w:val="bottom"/>
            <w:tcBorders>
              <w:bottom w:val="single" w:sz="8" w:color="E5F6F8"/>
            </w:tcBorders>
            <w:shd w:val="clear" w:color="auto" w:fill="E5F6F8"/>
          </w:tcPr>
          <w:p>
            <w:pPr>
              <w:jc w:val="right"/>
              <w:ind w:right="290"/>
              <w:spacing w:after="0"/>
              <w:rPr>
                <w:sz w:val="20"/>
                <w:szCs w:val="20"/>
                <w:color w:val="auto"/>
              </w:rPr>
            </w:pPr>
            <w:r>
              <w:rPr>
                <w:rFonts w:ascii="Arial" w:cs="Arial" w:eastAsia="Arial" w:hAnsi="Arial"/>
                <w:sz w:val="18"/>
                <w:szCs w:val="18"/>
                <w:color w:val="4C4C4C"/>
              </w:rPr>
              <w:t>2</w:t>
            </w:r>
          </w:p>
        </w:tc>
        <w:tc>
          <w:tcPr>
            <w:tcW w:w="52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w:t>
            </w:r>
          </w:p>
        </w:tc>
        <w:tc>
          <w:tcPr>
            <w:tcW w:w="60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8"/>
                <w:szCs w:val="18"/>
                <w:color w:val="4C4C4C"/>
              </w:rPr>
              <w:t>2</w:t>
            </w:r>
          </w:p>
        </w:tc>
      </w:tr>
      <w:tr>
        <w:trPr>
          <w:trHeight w:val="263"/>
        </w:trPr>
        <w:tc>
          <w:tcPr>
            <w:tcW w:w="7760" w:type="dxa"/>
            <w:vAlign w:val="bottom"/>
            <w:tcBorders>
              <w:top w:val="single" w:sz="8" w:color="4C4C4C"/>
            </w:tcBorders>
          </w:tcPr>
          <w:p>
            <w:pPr>
              <w:ind w:left="100"/>
              <w:spacing w:after="0"/>
              <w:rPr>
                <w:sz w:val="20"/>
                <w:szCs w:val="20"/>
                <w:color w:val="auto"/>
              </w:rPr>
            </w:pPr>
            <w:r>
              <w:rPr>
                <w:rFonts w:ascii="Arial" w:cs="Arial" w:eastAsia="Arial" w:hAnsi="Arial"/>
                <w:sz w:val="18"/>
                <w:szCs w:val="18"/>
                <w:color w:val="4C4C4C"/>
              </w:rPr>
              <w:t>Total</w:t>
            </w:r>
          </w:p>
        </w:tc>
        <w:tc>
          <w:tcPr>
            <w:tcW w:w="86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rPr>
              <w:t>$</w:t>
            </w:r>
          </w:p>
        </w:tc>
        <w:tc>
          <w:tcPr>
            <w:tcW w:w="940" w:type="dxa"/>
            <w:vAlign w:val="bottom"/>
            <w:tcBorders>
              <w:top w:val="single" w:sz="8" w:color="4C4C4C"/>
            </w:tcBorders>
          </w:tcPr>
          <w:p>
            <w:pPr>
              <w:jc w:val="right"/>
              <w:ind w:right="290"/>
              <w:spacing w:after="0"/>
              <w:rPr>
                <w:sz w:val="20"/>
                <w:szCs w:val="20"/>
                <w:color w:val="auto"/>
              </w:rPr>
            </w:pPr>
            <w:r>
              <w:rPr>
                <w:rFonts w:ascii="Arial" w:cs="Arial" w:eastAsia="Arial" w:hAnsi="Arial"/>
                <w:sz w:val="18"/>
                <w:szCs w:val="18"/>
                <w:color w:val="4C4C4C"/>
                <w:w w:val="98"/>
              </w:rPr>
              <w:t>13,031</w:t>
            </w:r>
          </w:p>
        </w:tc>
        <w:tc>
          <w:tcPr>
            <w:tcW w:w="52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rPr>
              <w:t>$</w:t>
            </w:r>
          </w:p>
        </w:tc>
        <w:tc>
          <w:tcPr>
            <w:tcW w:w="600" w:type="dxa"/>
            <w:vAlign w:val="bottom"/>
            <w:tcBorders>
              <w:top w:val="single" w:sz="8" w:color="4C4C4C"/>
            </w:tcBorders>
          </w:tcPr>
          <w:p>
            <w:pPr>
              <w:jc w:val="right"/>
              <w:spacing w:after="0"/>
              <w:rPr>
                <w:sz w:val="20"/>
                <w:szCs w:val="20"/>
                <w:color w:val="auto"/>
              </w:rPr>
            </w:pPr>
            <w:r>
              <w:rPr>
                <w:rFonts w:ascii="Arial" w:cs="Arial" w:eastAsia="Arial" w:hAnsi="Arial"/>
                <w:sz w:val="18"/>
                <w:szCs w:val="18"/>
                <w:color w:val="4C4C4C"/>
                <w:w w:val="94"/>
              </w:rPr>
              <w:t>13,825</w:t>
            </w:r>
          </w:p>
        </w:tc>
      </w:tr>
      <w:tr>
        <w:trPr>
          <w:trHeight w:val="41"/>
        </w:trPr>
        <w:tc>
          <w:tcPr>
            <w:tcW w:w="7760" w:type="dxa"/>
            <w:vAlign w:val="bottom"/>
            <w:tcBorders>
              <w:bottom w:val="single" w:sz="8" w:color="4C4C4C"/>
            </w:tcBorders>
          </w:tcPr>
          <w:p>
            <w:pPr>
              <w:spacing w:after="0"/>
              <w:rPr>
                <w:sz w:val="3"/>
                <w:szCs w:val="3"/>
                <w:color w:val="auto"/>
              </w:rPr>
            </w:pPr>
          </w:p>
        </w:tc>
        <w:tc>
          <w:tcPr>
            <w:tcW w:w="860" w:type="dxa"/>
            <w:vAlign w:val="bottom"/>
            <w:tcBorders>
              <w:bottom w:val="single" w:sz="8" w:color="4C4C4C"/>
            </w:tcBorders>
          </w:tcPr>
          <w:p>
            <w:pPr>
              <w:spacing w:after="0"/>
              <w:rPr>
                <w:sz w:val="3"/>
                <w:szCs w:val="3"/>
                <w:color w:val="auto"/>
              </w:rPr>
            </w:pPr>
          </w:p>
        </w:tc>
        <w:tc>
          <w:tcPr>
            <w:tcW w:w="940" w:type="dxa"/>
            <w:vAlign w:val="bottom"/>
            <w:tcBorders>
              <w:bottom w:val="single" w:sz="8" w:color="4C4C4C"/>
            </w:tcBorders>
          </w:tcPr>
          <w:p>
            <w:pPr>
              <w:spacing w:after="0"/>
              <w:rPr>
                <w:sz w:val="3"/>
                <w:szCs w:val="3"/>
                <w:color w:val="auto"/>
              </w:rPr>
            </w:pPr>
          </w:p>
        </w:tc>
        <w:tc>
          <w:tcPr>
            <w:tcW w:w="520" w:type="dxa"/>
            <w:vAlign w:val="bottom"/>
            <w:tcBorders>
              <w:bottom w:val="single" w:sz="8" w:color="4C4C4C"/>
            </w:tcBorders>
          </w:tcPr>
          <w:p>
            <w:pPr>
              <w:spacing w:after="0"/>
              <w:rPr>
                <w:sz w:val="3"/>
                <w:szCs w:val="3"/>
                <w:color w:val="auto"/>
              </w:rPr>
            </w:pPr>
          </w:p>
        </w:tc>
        <w:tc>
          <w:tcPr>
            <w:tcW w:w="600" w:type="dxa"/>
            <w:vAlign w:val="bottom"/>
            <w:tcBorders>
              <w:bottom w:val="single" w:sz="8" w:color="4C4C4C"/>
            </w:tcBorders>
          </w:tcPr>
          <w:p>
            <w:pPr>
              <w:spacing w:after="0"/>
              <w:rPr>
                <w:sz w:val="3"/>
                <w:szCs w:val="3"/>
                <w:color w:val="auto"/>
              </w:rPr>
            </w:pPr>
          </w:p>
        </w:tc>
      </w:tr>
    </w:tbl>
    <w:p>
      <w:pPr>
        <w:spacing w:after="0" w:line="99" w:lineRule="exact"/>
        <w:rPr>
          <w:sz w:val="20"/>
          <w:szCs w:val="20"/>
          <w:color w:val="auto"/>
        </w:rPr>
      </w:pPr>
    </w:p>
    <w:p>
      <w:pPr>
        <w:ind w:left="700" w:right="180" w:hanging="419"/>
        <w:spacing w:after="0" w:line="242" w:lineRule="auto"/>
        <w:tabs>
          <w:tab w:leader="none" w:pos="700" w:val="left"/>
        </w:tabs>
        <w:numPr>
          <w:ilvl w:val="0"/>
          <w:numId w:val="119"/>
        </w:numPr>
        <w:rPr>
          <w:rFonts w:ascii="Arial" w:cs="Arial" w:eastAsia="Arial" w:hAnsi="Arial"/>
          <w:sz w:val="18"/>
          <w:szCs w:val="18"/>
          <w:b w:val="1"/>
          <w:bCs w:val="1"/>
          <w:color w:val="3F3F3F"/>
        </w:rPr>
      </w:pPr>
      <w:r>
        <w:rPr>
          <w:rFonts w:ascii="Arial" w:cs="Arial" w:eastAsia="Arial" w:hAnsi="Arial"/>
          <w:sz w:val="18"/>
          <w:szCs w:val="18"/>
          <w:b w:val="1"/>
          <w:bCs w:val="1"/>
          <w:color w:val="3F3F3F"/>
        </w:rPr>
        <w:t xml:space="preserve">Audit Fees. </w:t>
      </w:r>
      <w:r>
        <w:rPr>
          <w:rFonts w:ascii="Arial" w:cs="Arial" w:eastAsia="Arial" w:hAnsi="Arial"/>
          <w:sz w:val="18"/>
          <w:szCs w:val="18"/>
          <w:color w:val="4C4C4C"/>
        </w:rPr>
        <w:t>Fees billed for professional services for the integrated audit of the consolidated financial statements of the Company</w:t>
      </w:r>
      <w:r>
        <w:rPr>
          <w:rFonts w:ascii="Arial" w:cs="Arial" w:eastAsia="Arial" w:hAnsi="Arial"/>
          <w:sz w:val="18"/>
          <w:szCs w:val="18"/>
          <w:b w:val="1"/>
          <w:bCs w:val="1"/>
          <w:color w:val="3F3F3F"/>
        </w:rPr>
        <w:t xml:space="preserve"> </w:t>
      </w:r>
      <w:r>
        <w:rPr>
          <w:rFonts w:ascii="Arial" w:cs="Arial" w:eastAsia="Arial" w:hAnsi="Arial"/>
          <w:sz w:val="18"/>
          <w:szCs w:val="18"/>
          <w:color w:val="4C4C4C"/>
        </w:rPr>
        <w:t>and its subsidiaries (as required), including the annual financial statement audit, the reviews of the interim financial statements included in quarterly reports on Form 10-Q for the Company and its subsidiaries (as required), statutory audits or other financial statement audits of subsidiaries, the audit of the effectiveness of our internal control over financial reporting, assistance with and review of documents filed with the SEC, and other services that enable the independent auditor to form an opinion of the consolidated financial statements of the Company and its subsidiaries (as required).</w:t>
      </w:r>
    </w:p>
    <w:p>
      <w:pPr>
        <w:spacing w:after="0" w:line="43" w:lineRule="exact"/>
        <w:rPr>
          <w:rFonts w:ascii="Arial" w:cs="Arial" w:eastAsia="Arial" w:hAnsi="Arial"/>
          <w:sz w:val="18"/>
          <w:szCs w:val="18"/>
          <w:b w:val="1"/>
          <w:bCs w:val="1"/>
          <w:color w:val="3F3F3F"/>
        </w:rPr>
      </w:pPr>
    </w:p>
    <w:p>
      <w:pPr>
        <w:ind w:left="700" w:right="360" w:hanging="419"/>
        <w:spacing w:after="0" w:line="247" w:lineRule="auto"/>
        <w:tabs>
          <w:tab w:leader="none" w:pos="700" w:val="left"/>
        </w:tabs>
        <w:numPr>
          <w:ilvl w:val="0"/>
          <w:numId w:val="119"/>
        </w:numPr>
        <w:rPr>
          <w:rFonts w:ascii="Arial" w:cs="Arial" w:eastAsia="Arial" w:hAnsi="Arial"/>
          <w:sz w:val="18"/>
          <w:szCs w:val="18"/>
          <w:b w:val="1"/>
          <w:bCs w:val="1"/>
          <w:color w:val="3F3F3F"/>
        </w:rPr>
      </w:pPr>
      <w:r>
        <w:rPr>
          <w:rFonts w:ascii="Arial" w:cs="Arial" w:eastAsia="Arial" w:hAnsi="Arial"/>
          <w:sz w:val="18"/>
          <w:szCs w:val="18"/>
          <w:b w:val="1"/>
          <w:bCs w:val="1"/>
          <w:color w:val="3F3F3F"/>
        </w:rPr>
        <w:t>Audit-Related Fees</w:t>
      </w:r>
      <w:r>
        <w:rPr>
          <w:rFonts w:ascii="Arial" w:cs="Arial" w:eastAsia="Arial" w:hAnsi="Arial"/>
          <w:sz w:val="18"/>
          <w:szCs w:val="18"/>
          <w:color w:val="4C4C4C"/>
        </w:rPr>
        <w:t>. Fees billed for assurance and related services that are reasonably related to the audit or review of the</w:t>
      </w:r>
      <w:r>
        <w:rPr>
          <w:rFonts w:ascii="Arial" w:cs="Arial" w:eastAsia="Arial" w:hAnsi="Arial"/>
          <w:sz w:val="18"/>
          <w:szCs w:val="18"/>
          <w:b w:val="1"/>
          <w:bCs w:val="1"/>
          <w:color w:val="3F3F3F"/>
        </w:rPr>
        <w:t xml:space="preserve"> </w:t>
      </w:r>
      <w:r>
        <w:rPr>
          <w:rFonts w:ascii="Arial" w:cs="Arial" w:eastAsia="Arial" w:hAnsi="Arial"/>
          <w:sz w:val="18"/>
          <w:szCs w:val="18"/>
          <w:color w:val="4C4C4C"/>
        </w:rPr>
        <w:t>financial statements of the Company and its subsidiaries (as required) and for other services that are traditionally performed by the independent auditor. Such services consist of fees for employee benefit plan audits, assessments and testing of internal controls, and accounting consultations not directly associated with the annual audit or quarterly reviews.</w:t>
      </w:r>
    </w:p>
    <w:p>
      <w:pPr>
        <w:spacing w:after="0" w:line="38" w:lineRule="exact"/>
        <w:rPr>
          <w:rFonts w:ascii="Arial" w:cs="Arial" w:eastAsia="Arial" w:hAnsi="Arial"/>
          <w:sz w:val="18"/>
          <w:szCs w:val="18"/>
          <w:b w:val="1"/>
          <w:bCs w:val="1"/>
          <w:color w:val="3F3F3F"/>
        </w:rPr>
      </w:pPr>
    </w:p>
    <w:p>
      <w:pPr>
        <w:ind w:left="700" w:hanging="419"/>
        <w:spacing w:after="0"/>
        <w:tabs>
          <w:tab w:leader="none" w:pos="700" w:val="left"/>
        </w:tabs>
        <w:numPr>
          <w:ilvl w:val="0"/>
          <w:numId w:val="119"/>
        </w:numPr>
        <w:rPr>
          <w:rFonts w:ascii="Arial" w:cs="Arial" w:eastAsia="Arial" w:hAnsi="Arial"/>
          <w:sz w:val="18"/>
          <w:szCs w:val="18"/>
          <w:b w:val="1"/>
          <w:bCs w:val="1"/>
          <w:color w:val="3F3F3F"/>
        </w:rPr>
      </w:pPr>
      <w:r>
        <w:rPr>
          <w:rFonts w:ascii="Arial" w:cs="Arial" w:eastAsia="Arial" w:hAnsi="Arial"/>
          <w:sz w:val="18"/>
          <w:szCs w:val="18"/>
          <w:b w:val="1"/>
          <w:bCs w:val="1"/>
          <w:color w:val="3F3F3F"/>
        </w:rPr>
        <w:t>Tax Fees</w:t>
      </w:r>
      <w:r>
        <w:rPr>
          <w:rFonts w:ascii="Arial" w:cs="Arial" w:eastAsia="Arial" w:hAnsi="Arial"/>
          <w:sz w:val="18"/>
          <w:szCs w:val="18"/>
          <w:color w:val="4C4C4C"/>
        </w:rPr>
        <w:t>. Fees billed for permitted tax services, including tax compliance, tax advice, and tax planning.</w:t>
      </w:r>
    </w:p>
    <w:p>
      <w:pPr>
        <w:spacing w:after="0" w:line="76" w:lineRule="exact"/>
        <w:rPr>
          <w:rFonts w:ascii="Arial" w:cs="Arial" w:eastAsia="Arial" w:hAnsi="Arial"/>
          <w:sz w:val="18"/>
          <w:szCs w:val="18"/>
          <w:b w:val="1"/>
          <w:bCs w:val="1"/>
          <w:color w:val="3F3F3F"/>
        </w:rPr>
      </w:pPr>
    </w:p>
    <w:p>
      <w:pPr>
        <w:ind w:left="700" w:hanging="419"/>
        <w:spacing w:after="0"/>
        <w:tabs>
          <w:tab w:leader="none" w:pos="700" w:val="left"/>
        </w:tabs>
        <w:numPr>
          <w:ilvl w:val="0"/>
          <w:numId w:val="119"/>
        </w:numPr>
        <w:rPr>
          <w:rFonts w:ascii="Arial" w:cs="Arial" w:eastAsia="Arial" w:hAnsi="Arial"/>
          <w:sz w:val="18"/>
          <w:szCs w:val="18"/>
          <w:b w:val="1"/>
          <w:bCs w:val="1"/>
          <w:color w:val="3F3F3F"/>
        </w:rPr>
      </w:pPr>
      <w:r>
        <w:rPr>
          <w:rFonts w:ascii="Arial" w:cs="Arial" w:eastAsia="Arial" w:hAnsi="Arial"/>
          <w:sz w:val="18"/>
          <w:szCs w:val="18"/>
          <w:b w:val="1"/>
          <w:bCs w:val="1"/>
          <w:color w:val="3F3F3F"/>
        </w:rPr>
        <w:t>All Other Fees</w:t>
      </w:r>
      <w:r>
        <w:rPr>
          <w:rFonts w:ascii="Arial" w:cs="Arial" w:eastAsia="Arial" w:hAnsi="Arial"/>
          <w:sz w:val="18"/>
          <w:szCs w:val="18"/>
          <w:color w:val="4C4C4C"/>
        </w:rPr>
        <w:t>. Fees billed for this category primarily represent accounting research subscription fees.</w:t>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Audit Committee Pre-Approval Policy</w:t>
      </w:r>
    </w:p>
    <w:p>
      <w:pPr>
        <w:spacing w:after="0" w:line="125"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4C4C4C"/>
        </w:rPr>
        <w:t>The Audit Committee has established a policy requiring its pre-approval of all audit and non-audit services provided by the independent auditor, and this policy is designed to ensure that the independent auditor’s independence is not impaired. In considering whether to pre-approve the provision of non-audit services by the independent auditor, the Audit Committee will consider whether the services are compatible with the maintenance of the independent auditor’s independence.</w:t>
      </w:r>
    </w:p>
    <w:p>
      <w:pPr>
        <w:spacing w:after="0" w:line="97" w:lineRule="exact"/>
        <w:rPr>
          <w:sz w:val="20"/>
          <w:szCs w:val="20"/>
          <w:color w:val="auto"/>
        </w:rPr>
      </w:pPr>
    </w:p>
    <w:p>
      <w:pPr>
        <w:ind w:left="280" w:right="240"/>
        <w:spacing w:after="0" w:line="237" w:lineRule="auto"/>
        <w:rPr>
          <w:sz w:val="20"/>
          <w:szCs w:val="20"/>
          <w:color w:val="auto"/>
        </w:rPr>
      </w:pPr>
      <w:r>
        <w:rPr>
          <w:rFonts w:ascii="Arial" w:cs="Arial" w:eastAsia="Arial" w:hAnsi="Arial"/>
          <w:sz w:val="18"/>
          <w:szCs w:val="18"/>
          <w:color w:val="4C4C4C"/>
        </w:rPr>
        <w:t>The pre-approval policy provides for the Audit Committee’s general pre-approval, on an annual basis, of audit, audit-related, and permissible non-audit services up to amounts reasonably determined by the Audit Committee to be appropriate. The Audit Committee must specifically pre-approve (i) any proposed services that exceed such general pre-approval limits, (ii) tax services, and (iii) any additional services that have not been generally pre-approved by the Audit Committee. The independent auditor is required to periodically report to the Audit Committee the extent of the services that it has provided to the Company and the fees for the services performed to date. The Audit Committee annually reviews the policy to ensure its continued appropriateness and compliance with applicable laws and Nasdaq listing standards.</w:t>
      </w:r>
    </w:p>
    <w:p>
      <w:pPr>
        <w:spacing w:after="0" w:line="95" w:lineRule="exact"/>
        <w:rPr>
          <w:sz w:val="20"/>
          <w:szCs w:val="20"/>
          <w:color w:val="auto"/>
        </w:rPr>
      </w:pPr>
    </w:p>
    <w:p>
      <w:pPr>
        <w:ind w:left="280" w:right="540"/>
        <w:spacing w:after="0"/>
        <w:rPr>
          <w:sz w:val="20"/>
          <w:szCs w:val="20"/>
          <w:color w:val="auto"/>
        </w:rPr>
      </w:pPr>
      <w:r>
        <w:rPr>
          <w:rFonts w:ascii="Arial" w:cs="Arial" w:eastAsia="Arial" w:hAnsi="Arial"/>
          <w:sz w:val="18"/>
          <w:szCs w:val="18"/>
          <w:color w:val="4C4C4C"/>
        </w:rPr>
        <w:t>The policy delegates to the Audit Committee Chair the authority to pre-approve audit, audit-related, or non-audit services between meetings for individual projects up to $250,000 (up to a total annual maximum of $750,000) if management deems it reasonably necessary to begin the services before the next scheduled meeting of the Audit</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38 | 2021 Proxy Statement</w:t>
      </w:r>
    </w:p>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66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Audit Committee Report</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Committee. The Audit Committee Chair must report any pre-approval decisions to the Audit Committee at its next scheduled meeting.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Audit Committee Report</w:t>
      </w:r>
    </w:p>
    <w:p>
      <w:pPr>
        <w:spacing w:after="0" w:line="125"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4C4C4C"/>
        </w:rPr>
        <w:t>The Audit Committee currently consists of four Independent Directors and operates under a written charter adopted by the Board. The Board has determined that Pat Shouvlin and Chuck Chaplin each have the requisite experience to be designated an audit committee financial expert as such term is defined under Item 407(d)(5) of Regulation S-K under the Securities Act of 1933, as amended (the “</w:t>
      </w:r>
      <w:r>
        <w:rPr>
          <w:rFonts w:ascii="Arial" w:cs="Arial" w:eastAsia="Arial" w:hAnsi="Arial"/>
          <w:sz w:val="18"/>
          <w:szCs w:val="18"/>
          <w:b w:val="1"/>
          <w:bCs w:val="1"/>
          <w:color w:val="00ADBB"/>
        </w:rPr>
        <w:t>Securities Act</w:t>
      </w:r>
      <w:r>
        <w:rPr>
          <w:rFonts w:ascii="Arial" w:cs="Arial" w:eastAsia="Arial" w:hAnsi="Arial"/>
          <w:sz w:val="18"/>
          <w:szCs w:val="18"/>
          <w:color w:val="4C4C4C"/>
        </w:rPr>
        <w:t>”), and the applicable Nasdaq standards.</w:t>
      </w:r>
    </w:p>
    <w:p>
      <w:pPr>
        <w:spacing w:after="0" w:line="97"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4C4C4C"/>
        </w:rPr>
        <w:t>Management is responsible for the preparation and presentation of the Company’s financial statements, the reporting process, the accounting policies and procedures, and the establishment of effective internal controls and procedures.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The primary duties of the Audit Committee are to assist the Board in its oversight of (i) the integrity of the Company’s financial statements,</w:t>
      </w:r>
    </w:p>
    <w:p>
      <w:pPr>
        <w:ind w:left="120" w:right="140" w:hanging="4"/>
        <w:spacing w:after="0" w:line="236" w:lineRule="auto"/>
        <w:tabs>
          <w:tab w:leader="none" w:pos="370" w:val="left"/>
        </w:tabs>
        <w:numPr>
          <w:ilvl w:val="0"/>
          <w:numId w:val="120"/>
        </w:numPr>
        <w:rPr>
          <w:rFonts w:ascii="Arial" w:cs="Arial" w:eastAsia="Arial" w:hAnsi="Arial"/>
          <w:sz w:val="18"/>
          <w:szCs w:val="18"/>
          <w:color w:val="4C4C4C"/>
        </w:rPr>
      </w:pPr>
      <w:r>
        <w:rPr>
          <w:rFonts w:ascii="Arial" w:cs="Arial" w:eastAsia="Arial" w:hAnsi="Arial"/>
          <w:sz w:val="18"/>
          <w:szCs w:val="18"/>
          <w:color w:val="4C4C4C"/>
        </w:rPr>
        <w:t>the Company’s compliance with legal and regulatory requirements, (iii) the Company’s internal controls regarding finance, accounting, legal compliance, and ethics, (iv) the independence and qualifications of the Company’s independent auditor, (v) the Company’s operational risks, including information technology and cybersecurity risks, and (vi) the performance of the Company’s internal audit function and independent auditor. As part of its meetings, the Audit Committee regularly meets in executive session without management present. Prior to the filing of each quarterly report on Form 10-Q, annual report on Form 10-K, and earnings press release, the Audit Committee discusses such documents with management, the Company’s Chief Auditor, and the Company’s independent auditor. The Audit Committee also discusses the Company’s combined statutory financial results and reviews the Company’s internal control over financial reporting.</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4C4C4C"/>
        </w:rPr>
        <w:t>The Chief Auditor regularly attends meetings of the Audit Committee and reports directly to the Audit Committee Chair, which supports her independence from management and the objectivity of her work. The Audit Committee regularly discusses with the Chief Auditor, both in general session and executive session, the adequacy and effectiveness of the Company’s financial reporting processes, internal control over financial reporting and disclosure controls and procedures, as well as the performance of the internal audit function.</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4C4C4C"/>
        </w:rPr>
        <w:t>The independent auditor is responsible for performing an independent audit of our financial statements and, as required, of our internal control over financial reporting, in each case, in accordance with standards established by the Public Company Accounting Oversight Board (“</w:t>
      </w:r>
      <w:r>
        <w:rPr>
          <w:rFonts w:ascii="Arial" w:cs="Arial" w:eastAsia="Arial" w:hAnsi="Arial"/>
          <w:sz w:val="18"/>
          <w:szCs w:val="18"/>
          <w:b w:val="1"/>
          <w:bCs w:val="1"/>
          <w:color w:val="00ADBB"/>
        </w:rPr>
        <w:t>PCAOB</w:t>
      </w:r>
      <w:r>
        <w:rPr>
          <w:rFonts w:ascii="Arial" w:cs="Arial" w:eastAsia="Arial" w:hAnsi="Arial"/>
          <w:sz w:val="18"/>
          <w:szCs w:val="18"/>
          <w:color w:val="4C4C4C"/>
        </w:rPr>
        <w:t>”), and the independent auditor issues a report with respect to each of the foregoing items. The independent auditor must also express an opinion as to the conformity of the Company’s financial statements with generally accepted accounting principles (which includes the critical audit matters required to be reported and communicated to the Audit Committee) and the effectiveness of its internal control over financial reporting. The independent auditor regularly affirms to the Audit Committee that it remains independent from the Company. The Audit Committee regularly meets with the independent auditor, both in general session and in executive session, to discuss the Company’s financial reporting processes, internal control over financial reporting, disclosure controls and procedures, required communications to the Audit Committee, fraud risks, and any other matters that the Audit Committee or the independent auditor deem appropriate.</w:t>
      </w:r>
    </w:p>
    <w:p>
      <w:pPr>
        <w:spacing w:after="0" w:line="9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4C4C4C"/>
        </w:rPr>
        <w:t xml:space="preserve">More information on the Audit Committee and its responsibilities is included in the Audit Committee Charter, which is available on our website at </w:t>
      </w:r>
      <w:r>
        <w:rPr>
          <w:rFonts w:ascii="Arial" w:cs="Arial" w:eastAsia="Arial" w:hAnsi="Arial"/>
          <w:sz w:val="18"/>
          <w:szCs w:val="18"/>
          <w:u w:val="single" w:color="auto"/>
          <w:color w:val="4C4C4C"/>
        </w:rPr>
        <w:t>investor.brighthousefinancial.com/corporate-governance/governance-overview</w:t>
      </w:r>
      <w:r>
        <w:rPr>
          <w:rFonts w:ascii="Arial" w:cs="Arial" w:eastAsia="Arial" w:hAnsi="Arial"/>
          <w:sz w:val="18"/>
          <w:szCs w:val="18"/>
          <w:color w:val="4C4C4C"/>
        </w:rPr>
        <w:t>. In accordance with the requirements set forth in the Audit Committee Charter, the Audit Committee has (i) reviewed the Audit Committee Charter, (ii) approved the charter governing the internal audit function, and (iii) established the procedures for the confidential submission of complaints to the Audit Committee regarding accounting, internal control over financial reporting, or audit matters (the “</w:t>
      </w:r>
      <w:r>
        <w:rPr>
          <w:rFonts w:ascii="Arial" w:cs="Arial" w:eastAsia="Arial" w:hAnsi="Arial"/>
          <w:sz w:val="18"/>
          <w:szCs w:val="18"/>
          <w:b w:val="1"/>
          <w:bCs w:val="1"/>
          <w:color w:val="00ADBB"/>
        </w:rPr>
        <w:t>Audit Committee Complaint Procedures</w:t>
      </w:r>
      <w:r>
        <w:rPr>
          <w:rFonts w:ascii="Arial" w:cs="Arial" w:eastAsia="Arial" w:hAnsi="Arial"/>
          <w:sz w:val="18"/>
          <w:szCs w:val="18"/>
          <w:color w:val="4C4C4C"/>
        </w:rPr>
        <w:t>”). A copy of the Audit Committee Complaint Procedures is also available on our website.</w:t>
      </w:r>
    </w:p>
    <w:p>
      <w:pPr>
        <w:spacing w:after="0" w:line="97" w:lineRule="exact"/>
        <w:rPr>
          <w:sz w:val="20"/>
          <w:szCs w:val="20"/>
          <w:color w:val="auto"/>
        </w:rPr>
      </w:pPr>
    </w:p>
    <w:p>
      <w:pPr>
        <w:ind w:left="120" w:right="880"/>
        <w:spacing w:after="0" w:line="246" w:lineRule="auto"/>
        <w:rPr>
          <w:sz w:val="20"/>
          <w:szCs w:val="20"/>
          <w:color w:val="auto"/>
        </w:rPr>
      </w:pPr>
      <w:r>
        <w:rPr>
          <w:rFonts w:ascii="Arial" w:cs="Arial" w:eastAsia="Arial" w:hAnsi="Arial"/>
          <w:sz w:val="18"/>
          <w:szCs w:val="18"/>
          <w:color w:val="4C4C4C"/>
        </w:rPr>
        <w:t>In the performance of its oversight function, the Audit Committee has reviewed and discussed the audited consolidated financial statements for fiscal year 2020 with each of management and the independent auditor. The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39</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Audit Committee Report</w:t>
      </w:r>
      <w:r>
        <w:rPr>
          <w:sz w:val="20"/>
          <w:szCs w:val="20"/>
          <w:color w:val="auto"/>
        </w:rPr>
        <w:tab/>
      </w:r>
      <w:r>
        <w:rPr>
          <w:rFonts w:ascii="Arial" w:cs="Arial" w:eastAsia="Arial" w:hAnsi="Arial"/>
          <w:sz w:val="12"/>
          <w:szCs w:val="12"/>
          <w:b w:val="1"/>
          <w:bCs w:val="1"/>
          <w:color w:val="00ADBB"/>
        </w:rPr>
        <w:t>Brighthouse Financial, Inc.</w:t>
      </w:r>
    </w:p>
    <w:p>
      <w:pPr>
        <w:spacing w:after="0" w:line="331" w:lineRule="exact"/>
        <w:rPr>
          <w:sz w:val="20"/>
          <w:szCs w:val="20"/>
          <w:color w:val="auto"/>
        </w:rPr>
      </w:pPr>
    </w:p>
    <w:p>
      <w:pPr>
        <w:ind w:left="280" w:right="240"/>
        <w:spacing w:after="0" w:line="246" w:lineRule="auto"/>
        <w:rPr>
          <w:sz w:val="20"/>
          <w:szCs w:val="20"/>
          <w:color w:val="auto"/>
        </w:rPr>
      </w:pPr>
      <w:r>
        <w:rPr>
          <w:rFonts w:ascii="Arial" w:cs="Arial" w:eastAsia="Arial" w:hAnsi="Arial"/>
          <w:sz w:val="18"/>
          <w:szCs w:val="18"/>
          <w:color w:val="4C4C4C"/>
        </w:rPr>
        <w:t>Audit Committee and the independent auditor have also discussed the matters required to be discussed by them under the applicable PCAOB rules.</w:t>
      </w:r>
    </w:p>
    <w:p>
      <w:pPr>
        <w:spacing w:after="0" w:line="89" w:lineRule="exact"/>
        <w:rPr>
          <w:sz w:val="20"/>
          <w:szCs w:val="20"/>
          <w:color w:val="auto"/>
        </w:rPr>
      </w:pPr>
    </w:p>
    <w:p>
      <w:pPr>
        <w:ind w:left="280" w:right="280"/>
        <w:spacing w:after="0"/>
        <w:rPr>
          <w:sz w:val="20"/>
          <w:szCs w:val="20"/>
          <w:color w:val="auto"/>
        </w:rPr>
      </w:pPr>
      <w:r>
        <w:rPr>
          <w:rFonts w:ascii="Arial" w:cs="Arial" w:eastAsia="Arial" w:hAnsi="Arial"/>
          <w:sz w:val="18"/>
          <w:szCs w:val="18"/>
          <w:color w:val="4C4C4C"/>
        </w:rPr>
        <w:t>The Audit Committee has received from the independent auditor the written disclosures and the letters required by the applicable PCAOB rules, as currently in effect, regarding the firm’s communications with the Audit Committee relating to independence, and has discussed the independent auditor’s independence with the independent auditor.</w:t>
      </w:r>
    </w:p>
    <w:p>
      <w:pPr>
        <w:spacing w:after="0" w:line="95" w:lineRule="exact"/>
        <w:rPr>
          <w:sz w:val="20"/>
          <w:szCs w:val="20"/>
          <w:color w:val="auto"/>
        </w:rPr>
      </w:pPr>
    </w:p>
    <w:p>
      <w:pPr>
        <w:ind w:left="280" w:right="260"/>
        <w:spacing w:after="0"/>
        <w:rPr>
          <w:sz w:val="20"/>
          <w:szCs w:val="20"/>
          <w:color w:val="auto"/>
        </w:rPr>
      </w:pPr>
      <w:r>
        <w:rPr>
          <w:rFonts w:ascii="Arial" w:cs="Arial" w:eastAsia="Arial" w:hAnsi="Arial"/>
          <w:sz w:val="18"/>
          <w:szCs w:val="18"/>
          <w:color w:val="4C4C4C"/>
        </w:rPr>
        <w:t>Based on the review and discussions described in this Audit Committee Report, the Audit Committee recommended to the Board of Directors that the audited financial statements for fiscal year 2020 be included in our 2020 Annual Report on Form 10-K, for filing with the SEC.</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Audit Committee</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Pat Shouvlin (Chair)</w:t>
      </w:r>
    </w:p>
    <w:p>
      <w:pPr>
        <w:ind w:left="280"/>
        <w:spacing w:after="0" w:line="234" w:lineRule="auto"/>
        <w:rPr>
          <w:sz w:val="20"/>
          <w:szCs w:val="20"/>
          <w:color w:val="auto"/>
        </w:rPr>
      </w:pPr>
      <w:r>
        <w:rPr>
          <w:rFonts w:ascii="Arial" w:cs="Arial" w:eastAsia="Arial" w:hAnsi="Arial"/>
          <w:sz w:val="18"/>
          <w:szCs w:val="18"/>
          <w:color w:val="4C4C4C"/>
        </w:rPr>
        <w:t>Chuck Chaplin</w:t>
      </w:r>
    </w:p>
    <w:p>
      <w:pPr>
        <w:ind w:left="280"/>
        <w:spacing w:after="0" w:line="235" w:lineRule="auto"/>
        <w:rPr>
          <w:sz w:val="20"/>
          <w:szCs w:val="20"/>
          <w:color w:val="auto"/>
        </w:rPr>
      </w:pPr>
      <w:r>
        <w:rPr>
          <w:rFonts w:ascii="Arial" w:cs="Arial" w:eastAsia="Arial" w:hAnsi="Arial"/>
          <w:sz w:val="18"/>
          <w:szCs w:val="18"/>
          <w:color w:val="4C4C4C"/>
        </w:rPr>
        <w:t>Steve Hooley</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Meg McCarthy</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40 | 2021 Proxy Statement</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Proposal 3 – Advisory vote to approve the compensation paid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to Brighthouse’s Named Executive Officers</w:t>
      </w:r>
    </w:p>
    <w:p>
      <w:pPr>
        <w:spacing w:after="0" w:line="195" w:lineRule="exact"/>
        <w:rPr>
          <w:sz w:val="20"/>
          <w:szCs w:val="20"/>
          <w:color w:val="auto"/>
        </w:rPr>
      </w:pPr>
    </w:p>
    <w:p>
      <w:pPr>
        <w:sectPr>
          <w:pgSz w:w="11900" w:h="16838" w:orient="portrait"/>
          <w:cols w:equalWidth="0" w:num="2">
            <w:col w:w="6720" w:space="720"/>
            <w:col w:w="37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43"/>
          <w:szCs w:val="43"/>
          <w:b w:val="1"/>
          <w:bCs w:val="1"/>
          <w:color w:val="00ADBB"/>
        </w:rPr>
        <w:t>Proposal 3</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5"/>
          <w:szCs w:val="25"/>
          <w:color w:val="00ADBB"/>
        </w:rPr>
        <w:t>Advisory vote to approve the compensation paid to Brighthouse’s Named Executive Officers</w:t>
      </w:r>
    </w:p>
    <w:p>
      <w:pPr>
        <w:spacing w:after="0" w:line="350"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4C4C4C"/>
        </w:rPr>
        <w:t>In accordance with the requirements of Section 14A of the Exchange Act, we are providing our stockholders with an advisory (non-binding) vote (a “</w:t>
      </w:r>
      <w:r>
        <w:rPr>
          <w:rFonts w:ascii="Arial" w:cs="Arial" w:eastAsia="Arial" w:hAnsi="Arial"/>
          <w:sz w:val="18"/>
          <w:szCs w:val="18"/>
          <w:b w:val="1"/>
          <w:bCs w:val="1"/>
          <w:color w:val="00ADBB"/>
        </w:rPr>
        <w:t>Say-on-Pay</w:t>
      </w:r>
      <w:r>
        <w:rPr>
          <w:rFonts w:ascii="Arial" w:cs="Arial" w:eastAsia="Arial" w:hAnsi="Arial"/>
          <w:sz w:val="18"/>
          <w:szCs w:val="18"/>
          <w:color w:val="4C4C4C"/>
        </w:rPr>
        <w:t>” vote) on the compensation paid to our named executive officers (the “</w:t>
      </w:r>
      <w:r>
        <w:rPr>
          <w:rFonts w:ascii="Arial" w:cs="Arial" w:eastAsia="Arial" w:hAnsi="Arial"/>
          <w:sz w:val="18"/>
          <w:szCs w:val="18"/>
          <w:b w:val="1"/>
          <w:bCs w:val="1"/>
          <w:color w:val="00ADBB"/>
        </w:rPr>
        <w:t>NEOs</w:t>
      </w:r>
      <w:r>
        <w:rPr>
          <w:rFonts w:ascii="Arial" w:cs="Arial" w:eastAsia="Arial" w:hAnsi="Arial"/>
          <w:sz w:val="18"/>
          <w:szCs w:val="18"/>
          <w:color w:val="4C4C4C"/>
        </w:rPr>
        <w:t>”). Our compensation approach is described in the Compensation Discussion and Analysis (“</w:t>
      </w:r>
      <w:r>
        <w:rPr>
          <w:rFonts w:ascii="Arial" w:cs="Arial" w:eastAsia="Arial" w:hAnsi="Arial"/>
          <w:sz w:val="18"/>
          <w:szCs w:val="18"/>
          <w:b w:val="1"/>
          <w:bCs w:val="1"/>
          <w:color w:val="00ADBB"/>
        </w:rPr>
        <w:t>CD&amp;A</w:t>
      </w:r>
      <w:r>
        <w:rPr>
          <w:rFonts w:ascii="Arial" w:cs="Arial" w:eastAsia="Arial" w:hAnsi="Arial"/>
          <w:sz w:val="18"/>
          <w:szCs w:val="18"/>
          <w:color w:val="4C4C4C"/>
        </w:rPr>
        <w:t>”), compensation tables and accompanying narrative discussion.</w:t>
      </w:r>
    </w:p>
    <w:p>
      <w:pPr>
        <w:spacing w:after="0" w:line="97" w:lineRule="exact"/>
        <w:rPr>
          <w:sz w:val="20"/>
          <w:szCs w:val="20"/>
          <w:color w:val="auto"/>
        </w:rPr>
      </w:pPr>
    </w:p>
    <w:p>
      <w:pPr>
        <w:ind w:left="120" w:right="500"/>
        <w:spacing w:after="0" w:line="238" w:lineRule="auto"/>
        <w:rPr>
          <w:sz w:val="20"/>
          <w:szCs w:val="20"/>
          <w:color w:val="auto"/>
        </w:rPr>
      </w:pPr>
      <w:r>
        <w:rPr>
          <w:rFonts w:ascii="Arial" w:cs="Arial" w:eastAsia="Arial" w:hAnsi="Arial"/>
          <w:sz w:val="18"/>
          <w:szCs w:val="18"/>
          <w:color w:val="4C4C4C"/>
        </w:rPr>
        <w:t>The CD&amp;A summarizes our executive compensation program. Our Board and Compensation and Human Capital Committee have implemented an executive compensation program that is intended to align the interests of our executive officers with those of our stockholders. The vast majority of our NEOs’ compensation is in the form of variable, at-risk compensation and utilizes metrics in our short- and long-term incentive programs that are tied to strategic goals that we believe will enhance stockholder value.</w:t>
      </w:r>
    </w:p>
    <w:p>
      <w:pPr>
        <w:spacing w:after="0" w:line="9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4C4C4C"/>
        </w:rPr>
        <w:t>We have engaged our stockholders in discussions about our executive compensation program, philosophy, and objectives. In late 2020, we solicited feedback from stockholders on our 2019 executive compensation program and on our 2020 executive compensation program that we previewed in our 2020 proxy statement. The feedback we received was generally positive, and the Board and the Compensation and Human Capital Committee considered that feedback in making certain changes to our 2021 compensation program.</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We are asking stockholders to approve the following resolution:</w:t>
      </w:r>
    </w:p>
    <w:p>
      <w:pPr>
        <w:spacing w:after="0" w:line="104"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4C4C4C"/>
        </w:rPr>
        <w:t>RESOLVED, that the compensation paid to Brighthouse’s NEOs, as disclosed in this Proxy Statement pursuant to Item 402 of Regulation S-K, including the Compensation Discussion and Analysis, compensation tables and narrative disclosure, is hereby APPROVED.</w:t>
      </w:r>
    </w:p>
    <w:p>
      <w:pPr>
        <w:spacing w:after="0" w:line="6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4C4C4C"/>
        </w:rPr>
        <w:t>Although this vote is advisory, the Board and the Compensation and Human Capital Committee intend to consider the results of the vote, as well as other relevant factors, as we continue to develop our executive compensation program. At our 2018 annual meeting of stockholders, a majority of stockholders voted to have an annual advisory Say-on-Pay vote. The Board has considered the stockholder vote on Say-on-Pay frequency and has determined to conduct an advisory Say-on-Pay vote annually at least until the next stockholder advisory vote on Say-on-Pay frequency, which will take place no later than our 2024 annual meeting of stockholders.</w:t>
      </w:r>
    </w:p>
    <w:p>
      <w:pPr>
        <w:spacing w:after="0" w:line="7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00ADBB"/>
        </w:rPr>
        <w:t>The Board of Directors recommends that stockholders vote “</w:t>
      </w:r>
      <w:r>
        <w:rPr>
          <w:rFonts w:ascii="Arial" w:cs="Arial" w:eastAsia="Arial" w:hAnsi="Arial"/>
          <w:sz w:val="18"/>
          <w:szCs w:val="18"/>
          <w:b w:val="1"/>
          <w:bCs w:val="1"/>
          <w:color w:val="3FC1CC"/>
        </w:rPr>
        <w:t>FOR</w:t>
      </w:r>
      <w:r>
        <w:rPr>
          <w:rFonts w:ascii="Arial" w:cs="Arial" w:eastAsia="Arial" w:hAnsi="Arial"/>
          <w:sz w:val="18"/>
          <w:szCs w:val="18"/>
          <w:color w:val="00ADBB"/>
        </w:rPr>
        <w:t>” the approval of the compensation of our Named Executive Officers, as disclosed in this Proxy Statement.</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41</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1 – Executive Summary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62"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01" w:lineRule="exact"/>
        <w:rPr>
          <w:sz w:val="20"/>
          <w:szCs w:val="20"/>
          <w:color w:val="auto"/>
        </w:rPr>
      </w:pPr>
    </w:p>
    <w:p>
      <w:pPr>
        <w:ind w:left="280"/>
        <w:spacing w:after="0"/>
        <w:rPr>
          <w:sz w:val="20"/>
          <w:szCs w:val="20"/>
          <w:color w:val="auto"/>
        </w:rPr>
      </w:pPr>
      <w:r>
        <w:rPr>
          <w:rFonts w:ascii="Arial" w:cs="Arial" w:eastAsia="Arial" w:hAnsi="Arial"/>
          <w:sz w:val="27"/>
          <w:szCs w:val="27"/>
          <w:b w:val="1"/>
          <w:bCs w:val="1"/>
          <w:color w:val="00ADBB"/>
        </w:rPr>
        <w:t>Compensation Discussion and Analysis</w:t>
      </w:r>
    </w:p>
    <w:p>
      <w:pPr>
        <w:spacing w:after="0" w:line="135" w:lineRule="exact"/>
        <w:rPr>
          <w:sz w:val="20"/>
          <w:szCs w:val="20"/>
          <w:color w:val="auto"/>
        </w:rPr>
      </w:pPr>
    </w:p>
    <w:p>
      <w:pPr>
        <w:ind w:left="280" w:right="400"/>
        <w:spacing w:after="0" w:line="246" w:lineRule="auto"/>
        <w:rPr>
          <w:sz w:val="20"/>
          <w:szCs w:val="20"/>
          <w:color w:val="auto"/>
        </w:rPr>
      </w:pPr>
      <w:r>
        <w:rPr>
          <w:rFonts w:ascii="Arial" w:cs="Arial" w:eastAsia="Arial" w:hAnsi="Arial"/>
          <w:sz w:val="18"/>
          <w:szCs w:val="18"/>
          <w:color w:val="4C4C4C"/>
        </w:rPr>
        <w:t>This CD&amp;A describes our executive compensation philosophy, policies, practices, and objectives in the context of our compensation decisions for our NEOs for 2020.</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Named Executive Officers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For 2020, our NEOs are our CEO, CFO, and next three most highly compensated executive officers as of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151765</wp:posOffset>
            </wp:positionV>
            <wp:extent cx="889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172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Name</w:t>
            </w:r>
          </w:p>
        </w:tc>
        <w:tc>
          <w:tcPr>
            <w:tcW w:w="896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Title</w:t>
            </w:r>
          </w:p>
        </w:tc>
      </w:tr>
      <w:tr>
        <w:trPr>
          <w:trHeight w:val="290"/>
        </w:trPr>
        <w:tc>
          <w:tcPr>
            <w:tcW w:w="17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Eric Steigerwalt</w:t>
            </w:r>
          </w:p>
        </w:tc>
        <w:tc>
          <w:tcPr>
            <w:tcW w:w="896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President and Chief Executive Officer</w:t>
            </w:r>
          </w:p>
        </w:tc>
      </w:tr>
      <w:tr>
        <w:trPr>
          <w:trHeight w:val="277"/>
        </w:trPr>
        <w:tc>
          <w:tcPr>
            <w:tcW w:w="17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Ed Spehar</w:t>
            </w:r>
          </w:p>
        </w:tc>
        <w:tc>
          <w:tcPr>
            <w:tcW w:w="89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Executive Vice President and Chief Financial Officer</w:t>
            </w:r>
          </w:p>
        </w:tc>
      </w:tr>
      <w:tr>
        <w:trPr>
          <w:trHeight w:val="277"/>
        </w:trPr>
        <w:tc>
          <w:tcPr>
            <w:tcW w:w="17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Christine DeBiase</w:t>
            </w:r>
          </w:p>
        </w:tc>
        <w:tc>
          <w:tcPr>
            <w:tcW w:w="896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Executive Vice President, Chief Administrative Officer and General Counsel</w:t>
            </w:r>
          </w:p>
        </w:tc>
      </w:tr>
      <w:tr>
        <w:trPr>
          <w:trHeight w:val="277"/>
        </w:trPr>
        <w:tc>
          <w:tcPr>
            <w:tcW w:w="17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Conor Murphy</w:t>
            </w:r>
          </w:p>
        </w:tc>
        <w:tc>
          <w:tcPr>
            <w:tcW w:w="89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Executive Vice President and Chief Operating Officer</w:t>
            </w:r>
          </w:p>
        </w:tc>
      </w:tr>
      <w:tr>
        <w:trPr>
          <w:trHeight w:val="277"/>
        </w:trPr>
        <w:tc>
          <w:tcPr>
            <w:tcW w:w="17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John Rosenthal</w:t>
            </w:r>
          </w:p>
        </w:tc>
        <w:tc>
          <w:tcPr>
            <w:tcW w:w="896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Executive Vice President and Chief Investment Officer</w:t>
            </w:r>
          </w:p>
        </w:tc>
      </w:tr>
    </w:tbl>
    <w:p>
      <w:pPr>
        <w:spacing w:after="0" w:line="29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CD&amp;A Contents</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The CD&amp;A is organized into four sections:</w:t>
      </w:r>
    </w:p>
    <w:p>
      <w:pPr>
        <w:ind w:left="480" w:hanging="199"/>
        <w:spacing w:after="0" w:line="234" w:lineRule="auto"/>
        <w:tabs>
          <w:tab w:leader="none" w:pos="480" w:val="left"/>
        </w:tabs>
        <w:numPr>
          <w:ilvl w:val="0"/>
          <w:numId w:val="121"/>
        </w:numPr>
        <w:rPr>
          <w:rFonts w:ascii="Arial" w:cs="Arial" w:eastAsia="Arial" w:hAnsi="Arial"/>
          <w:sz w:val="18"/>
          <w:szCs w:val="18"/>
          <w:color w:val="4C4C4C"/>
        </w:rPr>
      </w:pPr>
      <w:r>
        <w:rPr>
          <w:rFonts w:ascii="Arial" w:cs="Arial" w:eastAsia="Arial" w:hAnsi="Arial"/>
          <w:sz w:val="18"/>
          <w:szCs w:val="18"/>
          <w:color w:val="4C4C4C"/>
        </w:rPr>
        <w:t>Section 1 – Executive Summary</w:t>
      </w:r>
    </w:p>
    <w:p>
      <w:pPr>
        <w:ind w:left="480" w:hanging="199"/>
        <w:spacing w:after="0" w:line="234" w:lineRule="auto"/>
        <w:tabs>
          <w:tab w:leader="none" w:pos="480" w:val="left"/>
        </w:tabs>
        <w:numPr>
          <w:ilvl w:val="0"/>
          <w:numId w:val="121"/>
        </w:numPr>
        <w:rPr>
          <w:rFonts w:ascii="Arial" w:cs="Arial" w:eastAsia="Arial" w:hAnsi="Arial"/>
          <w:sz w:val="18"/>
          <w:szCs w:val="18"/>
          <w:color w:val="4C4C4C"/>
        </w:rPr>
      </w:pPr>
      <w:r>
        <w:rPr>
          <w:rFonts w:ascii="Arial" w:cs="Arial" w:eastAsia="Arial" w:hAnsi="Arial"/>
          <w:sz w:val="18"/>
          <w:szCs w:val="18"/>
          <w:color w:val="4C4C4C"/>
        </w:rPr>
        <w:t>Section 2 – Our 2020 Executive Compensation Program</w:t>
      </w:r>
    </w:p>
    <w:p>
      <w:pPr>
        <w:ind w:left="480" w:hanging="199"/>
        <w:spacing w:after="0" w:line="234" w:lineRule="auto"/>
        <w:tabs>
          <w:tab w:leader="none" w:pos="480" w:val="left"/>
        </w:tabs>
        <w:numPr>
          <w:ilvl w:val="0"/>
          <w:numId w:val="121"/>
        </w:numPr>
        <w:rPr>
          <w:rFonts w:ascii="Arial" w:cs="Arial" w:eastAsia="Arial" w:hAnsi="Arial"/>
          <w:sz w:val="18"/>
          <w:szCs w:val="18"/>
          <w:color w:val="4C4C4C"/>
        </w:rPr>
      </w:pPr>
      <w:r>
        <w:rPr>
          <w:rFonts w:ascii="Arial" w:cs="Arial" w:eastAsia="Arial" w:hAnsi="Arial"/>
          <w:sz w:val="18"/>
          <w:szCs w:val="18"/>
          <w:color w:val="4C4C4C"/>
        </w:rPr>
        <w:t>Section 3 – Additional Compensation Practices and Policies</w:t>
      </w:r>
    </w:p>
    <w:p>
      <w:pPr>
        <w:ind w:left="480" w:hanging="199"/>
        <w:spacing w:after="0"/>
        <w:tabs>
          <w:tab w:leader="none" w:pos="480" w:val="left"/>
        </w:tabs>
        <w:numPr>
          <w:ilvl w:val="0"/>
          <w:numId w:val="121"/>
        </w:numPr>
        <w:rPr>
          <w:rFonts w:ascii="Arial" w:cs="Arial" w:eastAsia="Arial" w:hAnsi="Arial"/>
          <w:sz w:val="18"/>
          <w:szCs w:val="18"/>
          <w:color w:val="4C4C4C"/>
        </w:rPr>
      </w:pPr>
      <w:r>
        <w:rPr>
          <w:rFonts w:ascii="Arial" w:cs="Arial" w:eastAsia="Arial" w:hAnsi="Arial"/>
          <w:sz w:val="18"/>
          <w:szCs w:val="18"/>
          <w:color w:val="4C4C4C"/>
        </w:rPr>
        <w:t>Section 4 – 2021 Compensation Program Overview</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Section 1 – Executive Summary</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The Brighthouse Story</w:t>
      </w:r>
    </w:p>
    <w:p>
      <w:pPr>
        <w:spacing w:after="0" w:line="13" w:lineRule="exact"/>
        <w:rPr>
          <w:sz w:val="20"/>
          <w:szCs w:val="20"/>
          <w:color w:val="auto"/>
        </w:rPr>
      </w:pPr>
    </w:p>
    <w:p>
      <w:pPr>
        <w:jc w:val="both"/>
        <w:ind w:left="280" w:right="260"/>
        <w:spacing w:after="0"/>
        <w:rPr>
          <w:sz w:val="20"/>
          <w:szCs w:val="20"/>
          <w:color w:val="auto"/>
        </w:rPr>
      </w:pPr>
      <w:r>
        <w:rPr>
          <w:rFonts w:ascii="Arial" w:cs="Arial" w:eastAsia="Arial" w:hAnsi="Arial"/>
          <w:sz w:val="18"/>
          <w:szCs w:val="18"/>
          <w:i w:val="1"/>
          <w:iCs w:val="1"/>
          <w:color w:val="4C4C4C"/>
        </w:rPr>
        <w:t xml:space="preserve">Who We Are. </w:t>
      </w:r>
      <w:r>
        <w:rPr>
          <w:rFonts w:ascii="Arial" w:cs="Arial" w:eastAsia="Arial" w:hAnsi="Arial"/>
          <w:sz w:val="18"/>
          <w:szCs w:val="18"/>
          <w:color w:val="4C4C4C"/>
        </w:rPr>
        <w:t>Brighthouse is an established U.S. retail franchise and one of the largest providers of annuities and life insurance in the</w:t>
      </w:r>
      <w:r>
        <w:rPr>
          <w:rFonts w:ascii="Arial" w:cs="Arial" w:eastAsia="Arial" w:hAnsi="Arial"/>
          <w:sz w:val="18"/>
          <w:szCs w:val="18"/>
          <w:i w:val="1"/>
          <w:iCs w:val="1"/>
          <w:color w:val="4C4C4C"/>
        </w:rPr>
        <w:t xml:space="preserve"> </w:t>
      </w:r>
      <w:r>
        <w:rPr>
          <w:rFonts w:ascii="Arial" w:cs="Arial" w:eastAsia="Arial" w:hAnsi="Arial"/>
          <w:sz w:val="18"/>
          <w:szCs w:val="18"/>
          <w:color w:val="4C4C4C"/>
        </w:rPr>
        <w:t>United States. Brighthouse became an independent, publicly traded company in August 2017, following the Separation and the listing of our common stock on Nasdaq.</w:t>
      </w:r>
    </w:p>
    <w:p>
      <w:pPr>
        <w:spacing w:after="0" w:line="77" w:lineRule="exact"/>
        <w:rPr>
          <w:sz w:val="20"/>
          <w:szCs w:val="20"/>
          <w:color w:val="auto"/>
        </w:rPr>
      </w:pPr>
    </w:p>
    <w:p>
      <w:pPr>
        <w:ind w:left="280" w:right="240"/>
        <w:spacing w:after="0" w:line="250" w:lineRule="auto"/>
        <w:rPr>
          <w:sz w:val="20"/>
          <w:szCs w:val="20"/>
          <w:color w:val="auto"/>
        </w:rPr>
      </w:pPr>
      <w:r>
        <w:rPr>
          <w:rFonts w:ascii="Arial" w:cs="Arial" w:eastAsia="Arial" w:hAnsi="Arial"/>
          <w:sz w:val="18"/>
          <w:szCs w:val="18"/>
          <w:i w:val="1"/>
          <w:iCs w:val="1"/>
          <w:color w:val="4C4C4C"/>
        </w:rPr>
        <w:t xml:space="preserve">Our Purpose. </w:t>
      </w:r>
      <w:r>
        <w:rPr>
          <w:rFonts w:ascii="Arial" w:cs="Arial" w:eastAsia="Arial" w:hAnsi="Arial"/>
          <w:sz w:val="18"/>
          <w:szCs w:val="18"/>
          <w:color w:val="4C4C4C"/>
        </w:rPr>
        <w:t>We are on a mission to help people achieve financial security. We specialize in products that are designed to help</w:t>
      </w:r>
      <w:r>
        <w:rPr>
          <w:rFonts w:ascii="Arial" w:cs="Arial" w:eastAsia="Arial" w:hAnsi="Arial"/>
          <w:sz w:val="18"/>
          <w:szCs w:val="18"/>
          <w:i w:val="1"/>
          <w:iCs w:val="1"/>
          <w:color w:val="4C4C4C"/>
        </w:rPr>
        <w:t xml:space="preserve"> </w:t>
      </w:r>
      <w:r>
        <w:rPr>
          <w:rFonts w:ascii="Arial" w:cs="Arial" w:eastAsia="Arial" w:hAnsi="Arial"/>
          <w:sz w:val="18"/>
          <w:szCs w:val="18"/>
          <w:color w:val="4C4C4C"/>
        </w:rPr>
        <w:t>people protect what they have earned and ensure it lasts. We are built on a foundation of experience and knowledge, which allows us to keep our promises and provide value to our distribution partners and the clients they serve.</w:t>
      </w:r>
    </w:p>
    <w:p>
      <w:pPr>
        <w:spacing w:after="0" w:line="69" w:lineRule="exact"/>
        <w:rPr>
          <w:sz w:val="20"/>
          <w:szCs w:val="20"/>
          <w:color w:val="auto"/>
        </w:rPr>
      </w:pPr>
    </w:p>
    <w:p>
      <w:pPr>
        <w:ind w:left="280" w:right="420"/>
        <w:spacing w:after="0" w:line="245" w:lineRule="auto"/>
        <w:rPr>
          <w:sz w:val="20"/>
          <w:szCs w:val="20"/>
          <w:color w:val="auto"/>
        </w:rPr>
      </w:pPr>
      <w:r>
        <w:rPr>
          <w:rFonts w:ascii="Arial" w:cs="Arial" w:eastAsia="Arial" w:hAnsi="Arial"/>
          <w:sz w:val="18"/>
          <w:szCs w:val="18"/>
          <w:i w:val="1"/>
          <w:iCs w:val="1"/>
          <w:color w:val="4C4C4C"/>
        </w:rPr>
        <w:t xml:space="preserve">Our Strategy. </w:t>
      </w:r>
      <w:r>
        <w:rPr>
          <w:rFonts w:ascii="Arial" w:cs="Arial" w:eastAsia="Arial" w:hAnsi="Arial"/>
          <w:sz w:val="18"/>
          <w:szCs w:val="18"/>
          <w:color w:val="4C4C4C"/>
        </w:rPr>
        <w:t>We believe our focused strategy will generate long-term stockholder value. Our strategy consists of the following core</w:t>
      </w:r>
      <w:r>
        <w:rPr>
          <w:rFonts w:ascii="Arial" w:cs="Arial" w:eastAsia="Arial" w:hAnsi="Arial"/>
          <w:sz w:val="18"/>
          <w:szCs w:val="18"/>
          <w:i w:val="1"/>
          <w:iCs w:val="1"/>
          <w:color w:val="4C4C4C"/>
        </w:rPr>
        <w:t xml:space="preserve"> </w:t>
      </w:r>
      <w:r>
        <w:rPr>
          <w:rFonts w:ascii="Arial" w:cs="Arial" w:eastAsia="Arial" w:hAnsi="Arial"/>
          <w:sz w:val="18"/>
          <w:szCs w:val="18"/>
          <w:color w:val="4C4C4C"/>
        </w:rPr>
        <w:t>elements, which are fully aligned with our risk appetite and our approach to managing our business:</w:t>
      </w:r>
    </w:p>
    <w:p>
      <w:pPr>
        <w:ind w:left="480" w:right="200" w:hanging="199"/>
        <w:spacing w:after="0" w:line="234" w:lineRule="auto"/>
        <w:tabs>
          <w:tab w:leader="none" w:pos="480" w:val="left"/>
        </w:tabs>
        <w:numPr>
          <w:ilvl w:val="0"/>
          <w:numId w:val="122"/>
        </w:numPr>
        <w:rPr>
          <w:rFonts w:ascii="Arial" w:cs="Arial" w:eastAsia="Arial" w:hAnsi="Arial"/>
          <w:sz w:val="18"/>
          <w:szCs w:val="18"/>
          <w:color w:val="4C4C4C"/>
        </w:rPr>
      </w:pPr>
      <w:r>
        <w:rPr>
          <w:rFonts w:ascii="Arial" w:cs="Arial" w:eastAsia="Arial" w:hAnsi="Arial"/>
          <w:sz w:val="18"/>
          <w:szCs w:val="18"/>
          <w:color w:val="4C4C4C"/>
        </w:rPr>
        <w:t>Offering a tailored set of annuity and life insurance solutions that are simpler, more transparent, and provide value to our distributors and the clients they serve. We aim to continue to shift our business mix profile over time, with the addition of more cash flow-generating and less capital-intensive new business, along with the runoff of less profitable business.</w:t>
      </w:r>
    </w:p>
    <w:p>
      <w:pPr>
        <w:spacing w:after="0" w:line="2" w:lineRule="exact"/>
        <w:rPr>
          <w:rFonts w:ascii="Arial" w:cs="Arial" w:eastAsia="Arial" w:hAnsi="Arial"/>
          <w:sz w:val="18"/>
          <w:szCs w:val="18"/>
          <w:color w:val="4C4C4C"/>
        </w:rPr>
      </w:pPr>
    </w:p>
    <w:p>
      <w:pPr>
        <w:ind w:left="480" w:right="1120" w:hanging="199"/>
        <w:spacing w:after="0" w:line="234" w:lineRule="auto"/>
        <w:tabs>
          <w:tab w:leader="none" w:pos="480" w:val="left"/>
        </w:tabs>
        <w:numPr>
          <w:ilvl w:val="0"/>
          <w:numId w:val="122"/>
        </w:numPr>
        <w:rPr>
          <w:rFonts w:ascii="Arial" w:cs="Arial" w:eastAsia="Arial" w:hAnsi="Arial"/>
          <w:sz w:val="18"/>
          <w:szCs w:val="18"/>
          <w:color w:val="4C4C4C"/>
        </w:rPr>
      </w:pPr>
      <w:r>
        <w:rPr>
          <w:rFonts w:ascii="Arial" w:cs="Arial" w:eastAsia="Arial" w:hAnsi="Arial"/>
          <w:sz w:val="18"/>
          <w:szCs w:val="18"/>
          <w:color w:val="4C4C4C"/>
        </w:rPr>
        <w:t>Selling our products through a diverse, well-established network of distribution partners, and continuing to build strategic relationships and entering new channels as we expand our distribution footprint in the United States.</w:t>
      </w:r>
    </w:p>
    <w:p>
      <w:pPr>
        <w:spacing w:after="0" w:line="1" w:lineRule="exact"/>
        <w:rPr>
          <w:rFonts w:ascii="Arial" w:cs="Arial" w:eastAsia="Arial" w:hAnsi="Arial"/>
          <w:sz w:val="18"/>
          <w:szCs w:val="18"/>
          <w:color w:val="4C4C4C"/>
        </w:rPr>
      </w:pPr>
    </w:p>
    <w:p>
      <w:pPr>
        <w:ind w:left="480" w:hanging="199"/>
        <w:spacing w:after="0"/>
        <w:tabs>
          <w:tab w:leader="none" w:pos="480" w:val="left"/>
        </w:tabs>
        <w:numPr>
          <w:ilvl w:val="0"/>
          <w:numId w:val="122"/>
        </w:numPr>
        <w:rPr>
          <w:rFonts w:ascii="Arial" w:cs="Arial" w:eastAsia="Arial" w:hAnsi="Arial"/>
          <w:sz w:val="18"/>
          <w:szCs w:val="18"/>
          <w:color w:val="4C4C4C"/>
        </w:rPr>
      </w:pPr>
      <w:r>
        <w:rPr>
          <w:rFonts w:ascii="Arial" w:cs="Arial" w:eastAsia="Arial" w:hAnsi="Arial"/>
          <w:sz w:val="18"/>
          <w:szCs w:val="18"/>
          <w:color w:val="4C4C4C"/>
        </w:rPr>
        <w:t>Effectively managing our expenses by adopting and maintaining an operating model that reduces our run-rate expenses.</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42 | 2021 Proxy Statement</w:t>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Section 1 – Executive Summary</w:t>
      </w:r>
    </w:p>
    <w:p>
      <w:pPr>
        <w:spacing w:after="0" w:line="200" w:lineRule="exact"/>
        <w:rPr>
          <w:sz w:val="20"/>
          <w:szCs w:val="20"/>
          <w:color w:val="auto"/>
        </w:rPr>
      </w:pPr>
    </w:p>
    <w:p>
      <w:pPr>
        <w:sectPr>
          <w:pgSz w:w="11900" w:h="16838" w:orient="portrait"/>
          <w:cols w:equalWidth="0" w:num="2">
            <w:col w:w="8020" w:space="720"/>
            <w:col w:w="2400"/>
          </w:cols>
          <w:pgMar w:left="320" w:top="459" w:right="43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2020 Highlights – Executing Our Strategy in a Challenging Year</w:t>
      </w:r>
    </w:p>
    <w:p>
      <w:pPr>
        <w:spacing w:after="0" w:line="130" w:lineRule="exact"/>
        <w:rPr>
          <w:sz w:val="20"/>
          <w:szCs w:val="20"/>
          <w:color w:val="auto"/>
        </w:rPr>
      </w:pPr>
    </w:p>
    <w:p>
      <w:pPr>
        <w:ind w:left="120" w:right="220"/>
        <w:spacing w:after="0"/>
        <w:rPr>
          <w:sz w:val="20"/>
          <w:szCs w:val="20"/>
          <w:color w:val="auto"/>
        </w:rPr>
      </w:pPr>
      <w:r>
        <w:rPr>
          <w:rFonts w:ascii="Arial" w:cs="Arial" w:eastAsia="Arial" w:hAnsi="Arial"/>
          <w:sz w:val="18"/>
          <w:szCs w:val="18"/>
          <w:color w:val="4C4C4C"/>
        </w:rPr>
        <w:t>Brighthouse had a strong 2020, as we continued to execute our strategy and delivered solid results while navigating the challenging environment brought on by the COVID-19 pandemic. We remain confident in our strategy, which we continue to believe will enable us to generate long-term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20"/>
                <w:szCs w:val="20"/>
                <w:b w:val="1"/>
                <w:bCs w:val="1"/>
                <w:color w:val="4C4C4C"/>
              </w:rPr>
              <w:t>Financial and Capital</w:t>
            </w:r>
          </w:p>
        </w:tc>
        <w:tc>
          <w:tcPr>
            <w:tcW w:w="580" w:type="dxa"/>
            <w:vAlign w:val="bottom"/>
          </w:tcPr>
          <w:p>
            <w:pPr>
              <w:ind w:left="480"/>
              <w:spacing w:after="0"/>
              <w:rPr>
                <w:sz w:val="20"/>
                <w:szCs w:val="20"/>
                <w:color w:val="auto"/>
              </w:rPr>
            </w:pPr>
            <w:r>
              <w:rPr>
                <w:rFonts w:ascii="Arial" w:cs="Arial" w:eastAsia="Arial" w:hAnsi="Arial"/>
                <w:sz w:val="18"/>
                <w:szCs w:val="18"/>
                <w:color w:val="4C4C4C"/>
              </w:rPr>
              <w:t>•</w:t>
            </w:r>
          </w:p>
        </w:tc>
        <w:tc>
          <w:tcPr>
            <w:tcW w:w="7880" w:type="dxa"/>
            <w:vAlign w:val="bottom"/>
          </w:tcPr>
          <w:p>
            <w:pPr>
              <w:ind w:left="60"/>
              <w:spacing w:after="0"/>
              <w:rPr>
                <w:sz w:val="20"/>
                <w:szCs w:val="20"/>
                <w:color w:val="auto"/>
              </w:rPr>
            </w:pPr>
            <w:r>
              <w:rPr>
                <w:rFonts w:ascii="Arial" w:cs="Arial" w:eastAsia="Arial" w:hAnsi="Arial"/>
                <w:sz w:val="18"/>
                <w:szCs w:val="18"/>
                <w:b w:val="1"/>
                <w:bCs w:val="1"/>
                <w:color w:val="3F3F3F"/>
              </w:rPr>
              <w:t xml:space="preserve">Prudent Financial Management </w:t>
            </w:r>
            <w:r>
              <w:rPr>
                <w:rFonts w:ascii="Arial" w:cs="Arial" w:eastAsia="Arial" w:hAnsi="Arial"/>
                <w:sz w:val="18"/>
                <w:szCs w:val="18"/>
                <w:color w:val="4C4C4C"/>
              </w:rPr>
              <w:t>– we continued to emphasize prudence and flexibility in our</w:t>
            </w:r>
          </w:p>
        </w:tc>
      </w:tr>
      <w:tr>
        <w:trPr>
          <w:trHeight w:val="216"/>
        </w:trPr>
        <w:tc>
          <w:tcPr>
            <w:tcW w:w="2460" w:type="dxa"/>
            <w:vAlign w:val="bottom"/>
          </w:tcPr>
          <w:p>
            <w:pPr>
              <w:spacing w:after="0" w:line="216" w:lineRule="exact"/>
              <w:rPr>
                <w:sz w:val="20"/>
                <w:szCs w:val="20"/>
                <w:color w:val="auto"/>
              </w:rPr>
            </w:pPr>
            <w:r>
              <w:rPr>
                <w:rFonts w:ascii="Arial" w:cs="Arial" w:eastAsia="Arial" w:hAnsi="Arial"/>
                <w:sz w:val="20"/>
                <w:szCs w:val="20"/>
                <w:b w:val="1"/>
                <w:bCs w:val="1"/>
                <w:color w:val="4C4C4C"/>
              </w:rPr>
              <w:t>Strength</w:t>
            </w:r>
          </w:p>
        </w:tc>
        <w:tc>
          <w:tcPr>
            <w:tcW w:w="58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4C4C4C"/>
              </w:rPr>
              <w:t>financial management strategy. We completed the revision of our VA hedging strategy,</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significantly reducing Brighthouse’s risk profile. During 2020, we opportunistically extended debt</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maturities and added permanent equity capital to our balance sheet. We have no outstanding</w:t>
            </w:r>
          </w:p>
        </w:tc>
      </w:tr>
      <w:tr>
        <w:trPr>
          <w:trHeight w:val="181"/>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80" w:type="dxa"/>
            <w:vAlign w:val="bottom"/>
          </w:tcPr>
          <w:p>
            <w:pPr>
              <w:ind w:left="80"/>
              <w:spacing w:after="0" w:line="181" w:lineRule="exact"/>
              <w:rPr>
                <w:sz w:val="20"/>
                <w:szCs w:val="20"/>
                <w:color w:val="auto"/>
              </w:rPr>
            </w:pPr>
            <w:r>
              <w:rPr>
                <w:rFonts w:ascii="Arial" w:cs="Arial" w:eastAsia="Arial" w:hAnsi="Arial"/>
                <w:sz w:val="18"/>
                <w:szCs w:val="18"/>
                <w:color w:val="4C4C4C"/>
              </w:rPr>
              <w:t>debt maturities until 2027.</w:t>
            </w:r>
          </w:p>
        </w:tc>
      </w:tr>
      <w:tr>
        <w:trPr>
          <w:trHeight w:val="224"/>
        </w:trPr>
        <w:tc>
          <w:tcPr>
            <w:tcW w:w="2460" w:type="dxa"/>
            <w:vAlign w:val="bottom"/>
          </w:tcPr>
          <w:p>
            <w:pPr>
              <w:spacing w:after="0"/>
              <w:rPr>
                <w:sz w:val="19"/>
                <w:szCs w:val="19"/>
                <w:color w:val="auto"/>
              </w:rPr>
            </w:pPr>
          </w:p>
        </w:tc>
        <w:tc>
          <w:tcPr>
            <w:tcW w:w="580" w:type="dxa"/>
            <w:vAlign w:val="bottom"/>
          </w:tcPr>
          <w:p>
            <w:pPr>
              <w:ind w:left="480"/>
              <w:spacing w:after="0"/>
              <w:rPr>
                <w:sz w:val="20"/>
                <w:szCs w:val="20"/>
                <w:color w:val="auto"/>
              </w:rPr>
            </w:pPr>
            <w:r>
              <w:rPr>
                <w:rFonts w:ascii="Arial" w:cs="Arial" w:eastAsia="Arial" w:hAnsi="Arial"/>
                <w:sz w:val="18"/>
                <w:szCs w:val="18"/>
                <w:color w:val="4C4C4C"/>
              </w:rPr>
              <w:t>•</w:t>
            </w:r>
          </w:p>
        </w:tc>
        <w:tc>
          <w:tcPr>
            <w:tcW w:w="7880" w:type="dxa"/>
            <w:vAlign w:val="bottom"/>
          </w:tcPr>
          <w:p>
            <w:pPr>
              <w:ind w:left="60"/>
              <w:spacing w:after="0"/>
              <w:rPr>
                <w:sz w:val="20"/>
                <w:szCs w:val="20"/>
                <w:color w:val="auto"/>
              </w:rPr>
            </w:pPr>
            <w:r>
              <w:rPr>
                <w:rFonts w:ascii="Arial" w:cs="Arial" w:eastAsia="Arial" w:hAnsi="Arial"/>
                <w:sz w:val="18"/>
                <w:szCs w:val="18"/>
                <w:b w:val="1"/>
                <w:bCs w:val="1"/>
                <w:color w:val="3F3F3F"/>
              </w:rPr>
              <w:t xml:space="preserve">Normalized Statutory Earnings </w:t>
            </w:r>
            <w:r>
              <w:rPr>
                <w:rFonts w:ascii="Arial" w:cs="Arial" w:eastAsia="Arial" w:hAnsi="Arial"/>
                <w:sz w:val="18"/>
                <w:szCs w:val="18"/>
                <w:color w:val="4C4C4C"/>
              </w:rPr>
              <w:t>– generating normalized statutory earnings remains a focus of</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our financial management strategy. Normalized statutory earnings is used by management to</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measure our insurance companies’ generation of statutory distributable cash flows (sometimes</w:t>
            </w:r>
          </w:p>
        </w:tc>
      </w:tr>
      <w:tr>
        <w:trPr>
          <w:trHeight w:val="200"/>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0" w:lineRule="exact"/>
              <w:rPr>
                <w:sz w:val="20"/>
                <w:szCs w:val="20"/>
                <w:color w:val="auto"/>
              </w:rPr>
            </w:pPr>
            <w:r>
              <w:rPr>
                <w:rFonts w:ascii="Arial" w:cs="Arial" w:eastAsia="Arial" w:hAnsi="Arial"/>
                <w:sz w:val="18"/>
                <w:szCs w:val="18"/>
                <w:color w:val="4C4C4C"/>
              </w:rPr>
              <w:t>referred to as distributable earnings) and is reflective of whether our hedging program functions</w:t>
            </w:r>
          </w:p>
        </w:tc>
      </w:tr>
      <w:tr>
        <w:trPr>
          <w:trHeight w:val="205"/>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5" w:lineRule="exact"/>
              <w:rPr>
                <w:sz w:val="20"/>
                <w:szCs w:val="20"/>
                <w:color w:val="auto"/>
              </w:rPr>
            </w:pPr>
            <w:r>
              <w:rPr>
                <w:rFonts w:ascii="Arial" w:cs="Arial" w:eastAsia="Arial" w:hAnsi="Arial"/>
                <w:sz w:val="18"/>
                <w:szCs w:val="18"/>
                <w:color w:val="4C4C4C"/>
              </w:rPr>
              <w:t>as intended. For the full year, we had a normalized statutory loss</w:t>
            </w:r>
            <w:r>
              <w:rPr>
                <w:rFonts w:ascii="Arial" w:cs="Arial" w:eastAsia="Arial" w:hAnsi="Arial"/>
                <w:sz w:val="15"/>
                <w:szCs w:val="15"/>
                <w:color w:val="4C4C4C"/>
              </w:rPr>
              <w:t>(1)</w:t>
            </w:r>
            <w:r>
              <w:rPr>
                <w:rFonts w:ascii="Arial" w:cs="Arial" w:eastAsia="Arial" w:hAnsi="Arial"/>
                <w:sz w:val="18"/>
                <w:szCs w:val="18"/>
                <w:color w:val="4C4C4C"/>
              </w:rPr>
              <w:t xml:space="preserve"> of $389 million, largely driven</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by weak normalized statutory earnings results in the first quarter, which was largely attributable</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to a tax adjustment associated with our adoption of VA capital reform. Our hedging program now</w:t>
            </w:r>
          </w:p>
        </w:tc>
      </w:tr>
      <w:tr>
        <w:trPr>
          <w:trHeight w:val="202"/>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contemplates the tax volatility that accompanies VA capital reform. Normalized statutory</w:t>
            </w:r>
          </w:p>
        </w:tc>
      </w:tr>
      <w:tr>
        <w:trPr>
          <w:trHeight w:val="181"/>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80" w:type="dxa"/>
            <w:vAlign w:val="bottom"/>
          </w:tcPr>
          <w:p>
            <w:pPr>
              <w:ind w:left="80"/>
              <w:spacing w:after="0" w:line="181" w:lineRule="exact"/>
              <w:rPr>
                <w:sz w:val="20"/>
                <w:szCs w:val="20"/>
                <w:color w:val="auto"/>
              </w:rPr>
            </w:pPr>
            <w:r>
              <w:rPr>
                <w:rFonts w:ascii="Arial" w:cs="Arial" w:eastAsia="Arial" w:hAnsi="Arial"/>
                <w:sz w:val="18"/>
                <w:szCs w:val="18"/>
                <w:color w:val="4C4C4C"/>
              </w:rPr>
              <w:t>earnings for the final three quarters of 2020 were positive in the aggregate.</w:t>
            </w:r>
          </w:p>
        </w:tc>
      </w:tr>
      <w:tr>
        <w:trPr>
          <w:trHeight w:val="224"/>
        </w:trPr>
        <w:tc>
          <w:tcPr>
            <w:tcW w:w="2460" w:type="dxa"/>
            <w:vAlign w:val="bottom"/>
          </w:tcPr>
          <w:p>
            <w:pPr>
              <w:spacing w:after="0"/>
              <w:rPr>
                <w:sz w:val="19"/>
                <w:szCs w:val="19"/>
                <w:color w:val="auto"/>
              </w:rPr>
            </w:pPr>
          </w:p>
        </w:tc>
        <w:tc>
          <w:tcPr>
            <w:tcW w:w="580" w:type="dxa"/>
            <w:vAlign w:val="bottom"/>
          </w:tcPr>
          <w:p>
            <w:pPr>
              <w:ind w:left="480"/>
              <w:spacing w:after="0"/>
              <w:rPr>
                <w:sz w:val="20"/>
                <w:szCs w:val="20"/>
                <w:color w:val="auto"/>
              </w:rPr>
            </w:pPr>
            <w:r>
              <w:rPr>
                <w:rFonts w:ascii="Arial" w:cs="Arial" w:eastAsia="Arial" w:hAnsi="Arial"/>
                <w:sz w:val="18"/>
                <w:szCs w:val="18"/>
                <w:color w:val="4C4C4C"/>
              </w:rPr>
              <w:t>•</w:t>
            </w:r>
          </w:p>
        </w:tc>
        <w:tc>
          <w:tcPr>
            <w:tcW w:w="7880" w:type="dxa"/>
            <w:vAlign w:val="bottom"/>
          </w:tcPr>
          <w:p>
            <w:pPr>
              <w:ind w:left="60"/>
              <w:spacing w:after="0"/>
              <w:rPr>
                <w:sz w:val="20"/>
                <w:szCs w:val="20"/>
                <w:color w:val="auto"/>
              </w:rPr>
            </w:pPr>
            <w:r>
              <w:rPr>
                <w:rFonts w:ascii="Arial" w:cs="Arial" w:eastAsia="Arial" w:hAnsi="Arial"/>
                <w:sz w:val="18"/>
                <w:szCs w:val="18"/>
                <w:b w:val="1"/>
                <w:bCs w:val="1"/>
                <w:color w:val="3F3F3F"/>
              </w:rPr>
              <w:t xml:space="preserve">Capital Return </w:t>
            </w:r>
            <w:r>
              <w:rPr>
                <w:rFonts w:ascii="Arial" w:cs="Arial" w:eastAsia="Arial" w:hAnsi="Arial"/>
                <w:sz w:val="18"/>
                <w:szCs w:val="18"/>
                <w:color w:val="4C4C4C"/>
              </w:rPr>
              <w:t>– we repurchased approximately $473 million of our common stock in 2020,</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representing approximately 17% of shares outstanding relative to year-end 2019. Since the</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announcement of our first stock repurchase authorization in August 2018, we have repurchased</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$1,048 million of our common stock through February 9, 2021. We hope to achieve our target to</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return $1.5 billion of capital to stockholders by the end of 2021, but we will continue to</w:t>
            </w:r>
          </w:p>
        </w:tc>
      </w:tr>
      <w:tr>
        <w:trPr>
          <w:trHeight w:val="180"/>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80" w:type="dxa"/>
            <w:vAlign w:val="bottom"/>
          </w:tcPr>
          <w:p>
            <w:pPr>
              <w:ind w:left="80"/>
              <w:spacing w:after="0" w:line="181" w:lineRule="exact"/>
              <w:rPr>
                <w:sz w:val="20"/>
                <w:szCs w:val="20"/>
                <w:color w:val="auto"/>
              </w:rPr>
            </w:pPr>
            <w:r>
              <w:rPr>
                <w:rFonts w:ascii="Arial" w:cs="Arial" w:eastAsia="Arial" w:hAnsi="Arial"/>
                <w:sz w:val="18"/>
                <w:szCs w:val="18"/>
                <w:color w:val="4C4C4C"/>
              </w:rPr>
              <w:t>emphasize prudence and flexibility regarding future share repurchases.</w:t>
            </w:r>
          </w:p>
        </w:tc>
      </w:tr>
      <w:tr>
        <w:trPr>
          <w:trHeight w:val="225"/>
        </w:trPr>
        <w:tc>
          <w:tcPr>
            <w:tcW w:w="2460" w:type="dxa"/>
            <w:vAlign w:val="bottom"/>
          </w:tcPr>
          <w:p>
            <w:pPr>
              <w:spacing w:after="0"/>
              <w:rPr>
                <w:sz w:val="19"/>
                <w:szCs w:val="19"/>
                <w:color w:val="auto"/>
              </w:rPr>
            </w:pPr>
          </w:p>
        </w:tc>
        <w:tc>
          <w:tcPr>
            <w:tcW w:w="580" w:type="dxa"/>
            <w:vAlign w:val="bottom"/>
          </w:tcPr>
          <w:p>
            <w:pPr>
              <w:ind w:left="480"/>
              <w:spacing w:after="0"/>
              <w:rPr>
                <w:sz w:val="20"/>
                <w:szCs w:val="20"/>
                <w:color w:val="auto"/>
              </w:rPr>
            </w:pPr>
            <w:r>
              <w:rPr>
                <w:rFonts w:ascii="Arial" w:cs="Arial" w:eastAsia="Arial" w:hAnsi="Arial"/>
                <w:sz w:val="18"/>
                <w:szCs w:val="18"/>
                <w:color w:val="4C4C4C"/>
              </w:rPr>
              <w:t>•</w:t>
            </w:r>
          </w:p>
        </w:tc>
        <w:tc>
          <w:tcPr>
            <w:tcW w:w="7880" w:type="dxa"/>
            <w:vAlign w:val="bottom"/>
          </w:tcPr>
          <w:p>
            <w:pPr>
              <w:ind w:left="60"/>
              <w:spacing w:after="0"/>
              <w:rPr>
                <w:sz w:val="20"/>
                <w:szCs w:val="20"/>
                <w:color w:val="auto"/>
              </w:rPr>
            </w:pPr>
            <w:r>
              <w:rPr>
                <w:rFonts w:ascii="Arial" w:cs="Arial" w:eastAsia="Arial" w:hAnsi="Arial"/>
                <w:sz w:val="18"/>
                <w:szCs w:val="18"/>
                <w:b w:val="1"/>
                <w:bCs w:val="1"/>
                <w:color w:val="3F3F3F"/>
              </w:rPr>
              <w:t xml:space="preserve">Total Adjusted Capital </w:t>
            </w:r>
            <w:r>
              <w:rPr>
                <w:rFonts w:ascii="Arial" w:cs="Arial" w:eastAsia="Arial" w:hAnsi="Arial"/>
                <w:sz w:val="18"/>
                <w:szCs w:val="18"/>
                <w:color w:val="4C4C4C"/>
              </w:rPr>
              <w:t>– we ended 2020 with approximately $8.6 billion of combined statutory</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total adjusted capital and with a combined RBC ratio of approximately 485% (our target in</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normal markets is 400-450%). RBC is a method of measuring an insurance company’s capital,</w:t>
            </w:r>
          </w:p>
        </w:tc>
      </w:tr>
      <w:tr>
        <w:trPr>
          <w:trHeight w:val="203"/>
        </w:trPr>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80" w:type="dxa"/>
            <w:vAlign w:val="bottom"/>
          </w:tcPr>
          <w:p>
            <w:pPr>
              <w:ind w:left="80"/>
              <w:spacing w:after="0" w:line="202" w:lineRule="exact"/>
              <w:rPr>
                <w:sz w:val="20"/>
                <w:szCs w:val="20"/>
                <w:color w:val="auto"/>
              </w:rPr>
            </w:pPr>
            <w:r>
              <w:rPr>
                <w:rFonts w:ascii="Arial" w:cs="Arial" w:eastAsia="Arial" w:hAnsi="Arial"/>
                <w:sz w:val="18"/>
                <w:szCs w:val="18"/>
                <w:color w:val="4C4C4C"/>
              </w:rPr>
              <w:t>taking into consideration its relative size and risk profile, in order to ensure compliance with</w:t>
            </w:r>
          </w:p>
        </w:tc>
      </w:tr>
      <w:tr>
        <w:trPr>
          <w:trHeight w:val="180"/>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80" w:type="dxa"/>
            <w:vAlign w:val="bottom"/>
          </w:tcPr>
          <w:p>
            <w:pPr>
              <w:ind w:left="80"/>
              <w:spacing w:after="0" w:line="181" w:lineRule="exact"/>
              <w:rPr>
                <w:sz w:val="20"/>
                <w:szCs w:val="20"/>
                <w:color w:val="auto"/>
              </w:rPr>
            </w:pPr>
            <w:r>
              <w:rPr>
                <w:rFonts w:ascii="Arial" w:cs="Arial" w:eastAsia="Arial" w:hAnsi="Arial"/>
                <w:sz w:val="18"/>
                <w:szCs w:val="18"/>
                <w:color w:val="4C4C4C"/>
              </w:rPr>
              <w:t>minimum regulatory capital requirements.</w:t>
            </w:r>
          </w:p>
        </w:tc>
      </w:tr>
      <w:tr>
        <w:trPr>
          <w:trHeight w:val="239"/>
        </w:trPr>
        <w:tc>
          <w:tcPr>
            <w:tcW w:w="2460" w:type="dxa"/>
            <w:vAlign w:val="bottom"/>
          </w:tcPr>
          <w:p>
            <w:pPr>
              <w:spacing w:after="0"/>
              <w:rPr>
                <w:sz w:val="20"/>
                <w:szCs w:val="20"/>
                <w:color w:val="auto"/>
              </w:rPr>
            </w:pPr>
          </w:p>
        </w:tc>
        <w:tc>
          <w:tcPr>
            <w:tcW w:w="580" w:type="dxa"/>
            <w:vAlign w:val="bottom"/>
          </w:tcPr>
          <w:p>
            <w:pPr>
              <w:ind w:left="480"/>
              <w:spacing w:after="0"/>
              <w:rPr>
                <w:sz w:val="20"/>
                <w:szCs w:val="20"/>
                <w:color w:val="auto"/>
              </w:rPr>
            </w:pPr>
            <w:r>
              <w:rPr>
                <w:rFonts w:ascii="Arial" w:cs="Arial" w:eastAsia="Arial" w:hAnsi="Arial"/>
                <w:sz w:val="18"/>
                <w:szCs w:val="18"/>
                <w:color w:val="4C4C4C"/>
              </w:rPr>
              <w:t>•</w:t>
            </w:r>
          </w:p>
        </w:tc>
        <w:tc>
          <w:tcPr>
            <w:tcW w:w="7880" w:type="dxa"/>
            <w:vAlign w:val="bottom"/>
          </w:tcPr>
          <w:p>
            <w:pPr>
              <w:ind w:left="60"/>
              <w:spacing w:after="0"/>
              <w:rPr>
                <w:sz w:val="20"/>
                <w:szCs w:val="20"/>
                <w:color w:val="auto"/>
              </w:rPr>
            </w:pPr>
            <w:r>
              <w:rPr>
                <w:rFonts w:ascii="Arial" w:cs="Arial" w:eastAsia="Arial" w:hAnsi="Arial"/>
                <w:sz w:val="18"/>
                <w:szCs w:val="18"/>
                <w:b w:val="1"/>
                <w:bCs w:val="1"/>
                <w:color w:val="3F3F3F"/>
              </w:rPr>
              <w:t xml:space="preserve">Ratings </w:t>
            </w:r>
            <w:r>
              <w:rPr>
                <w:rFonts w:ascii="Arial" w:cs="Arial" w:eastAsia="Arial" w:hAnsi="Arial"/>
                <w:sz w:val="18"/>
                <w:szCs w:val="18"/>
                <w:color w:val="4C4C4C"/>
              </w:rPr>
              <w:t>– we maintained our operating companies’ strong financial strength ratings.</w:t>
            </w:r>
          </w:p>
        </w:tc>
      </w:tr>
      <w:tr>
        <w:trPr>
          <w:trHeight w:val="321"/>
        </w:trPr>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80" w:type="dxa"/>
            <w:vAlign w:val="bottom"/>
          </w:tcPr>
          <w:p>
            <w:pPr>
              <w:ind w:left="6240"/>
              <w:spacing w:after="0"/>
              <w:rPr>
                <w:sz w:val="20"/>
                <w:szCs w:val="20"/>
                <w:color w:val="auto"/>
              </w:rPr>
            </w:pPr>
            <w:r>
              <w:rPr>
                <w:rFonts w:ascii="Arial" w:cs="Arial" w:eastAsia="Arial" w:hAnsi="Arial"/>
                <w:sz w:val="13"/>
                <w:szCs w:val="13"/>
                <w:b w:val="1"/>
                <w:bCs w:val="1"/>
                <w:color w:val="00ADBB"/>
              </w:rPr>
              <w:t>2021 Proxy Statement | 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-3204210</wp:posOffset>
            </wp:positionV>
            <wp:extent cx="471170" cy="4800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170" cy="4800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Compensation Discussion and Analysis</w:t>
      </w:r>
      <w:r>
        <w:rPr>
          <w:sz w:val="20"/>
          <w:szCs w:val="20"/>
          <w:color w:val="auto"/>
        </w:rPr>
        <w:tab/>
      </w:r>
      <w:r>
        <w:rPr>
          <w:rFonts w:ascii="Arial" w:cs="Arial" w:eastAsia="Arial" w:hAnsi="Arial"/>
          <w:sz w:val="12"/>
          <w:szCs w:val="12"/>
          <w:b w:val="1"/>
          <w:bCs w:val="1"/>
          <w:color w:val="00ADBB"/>
        </w:rPr>
        <w:t>Brighthouse Financial, Inc.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1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208915</wp:posOffset>
            </wp:positionV>
            <wp:extent cx="678053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4C4C4C"/>
        </w:rPr>
        <w:t>Products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1061720</wp:posOffset>
            </wp:positionV>
            <wp:extent cx="160274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02740" cy="171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93345</wp:posOffset>
            </wp:positionV>
            <wp:extent cx="471805" cy="3003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180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4C4C4C"/>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1602740" cy="514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027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4C4C4C"/>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85725</wp:posOffset>
            </wp:positionV>
            <wp:extent cx="471170" cy="420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117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72" w:right="300" w:hanging="172"/>
        <w:spacing w:after="0" w:line="247"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Annuity Sales </w:t>
      </w:r>
      <w:r>
        <w:rPr>
          <w:rFonts w:ascii="Arial" w:cs="Arial" w:eastAsia="Arial" w:hAnsi="Arial"/>
          <w:sz w:val="18"/>
          <w:szCs w:val="18"/>
          <w:color w:val="4C4C4C"/>
        </w:rPr>
        <w:t>– we achieved annuity sales of approximately $9.1 billion, exceeding our 2020</w:t>
      </w:r>
      <w:r>
        <w:rPr>
          <w:rFonts w:ascii="Arial" w:cs="Arial" w:eastAsia="Arial" w:hAnsi="Arial"/>
          <w:sz w:val="18"/>
          <w:szCs w:val="18"/>
          <w:b w:val="1"/>
          <w:bCs w:val="1"/>
          <w:color w:val="3F3F3F"/>
        </w:rPr>
        <w:t xml:space="preserve"> </w:t>
      </w:r>
      <w:r>
        <w:rPr>
          <w:rFonts w:ascii="Arial" w:cs="Arial" w:eastAsia="Arial" w:hAnsi="Arial"/>
          <w:sz w:val="18"/>
          <w:szCs w:val="18"/>
          <w:color w:val="4C4C4C"/>
        </w:rPr>
        <w:t>target, and a 25% increase over 2019.</w:t>
      </w:r>
    </w:p>
    <w:p>
      <w:pPr>
        <w:ind w:left="172" w:right="560" w:hanging="172"/>
        <w:spacing w:after="0" w:line="234"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Life Insurance Sales </w:t>
      </w:r>
      <w:r>
        <w:rPr>
          <w:rFonts w:ascii="Arial" w:cs="Arial" w:eastAsia="Arial" w:hAnsi="Arial"/>
          <w:sz w:val="18"/>
          <w:szCs w:val="18"/>
          <w:color w:val="4C4C4C"/>
        </w:rPr>
        <w:t>– our life insurance sales were approximately $56 million, below our</w:t>
      </w:r>
      <w:r>
        <w:rPr>
          <w:rFonts w:ascii="Arial" w:cs="Arial" w:eastAsia="Arial" w:hAnsi="Arial"/>
          <w:sz w:val="18"/>
          <w:szCs w:val="18"/>
          <w:b w:val="1"/>
          <w:bCs w:val="1"/>
          <w:color w:val="3F3F3F"/>
        </w:rPr>
        <w:t xml:space="preserve"> </w:t>
      </w:r>
      <w:r>
        <w:rPr>
          <w:rFonts w:ascii="Arial" w:cs="Arial" w:eastAsia="Arial" w:hAnsi="Arial"/>
          <w:sz w:val="18"/>
          <w:szCs w:val="18"/>
          <w:color w:val="4C4C4C"/>
        </w:rPr>
        <w:t>2020 target, but a 124% increase over 2019.</w:t>
      </w:r>
    </w:p>
    <w:p>
      <w:pPr>
        <w:spacing w:after="0" w:line="1" w:lineRule="exact"/>
        <w:rPr>
          <w:rFonts w:ascii="Arial" w:cs="Arial" w:eastAsia="Arial" w:hAnsi="Arial"/>
          <w:sz w:val="18"/>
          <w:szCs w:val="18"/>
          <w:color w:val="4C4C4C"/>
        </w:rPr>
      </w:pPr>
    </w:p>
    <w:p>
      <w:pPr>
        <w:ind w:left="172" w:right="640" w:hanging="172"/>
        <w:spacing w:after="0" w:line="234"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Expanded Distribution </w:t>
      </w:r>
      <w:r>
        <w:rPr>
          <w:rFonts w:ascii="Arial" w:cs="Arial" w:eastAsia="Arial" w:hAnsi="Arial"/>
          <w:sz w:val="18"/>
          <w:szCs w:val="18"/>
          <w:color w:val="4C4C4C"/>
        </w:rPr>
        <w:t>– we expanded our distribution network, including adding new</w:t>
      </w:r>
      <w:r>
        <w:rPr>
          <w:rFonts w:ascii="Arial" w:cs="Arial" w:eastAsia="Arial" w:hAnsi="Arial"/>
          <w:sz w:val="18"/>
          <w:szCs w:val="18"/>
          <w:b w:val="1"/>
          <w:bCs w:val="1"/>
          <w:color w:val="3F3F3F"/>
        </w:rPr>
        <w:t xml:space="preserve"> </w:t>
      </w:r>
      <w:r>
        <w:rPr>
          <w:rFonts w:ascii="Arial" w:cs="Arial" w:eastAsia="Arial" w:hAnsi="Arial"/>
          <w:sz w:val="18"/>
          <w:szCs w:val="18"/>
          <w:color w:val="4C4C4C"/>
        </w:rPr>
        <w:t>distribution partners to our existing channels and entering into the independent marketing organization channel and new digital channels.</w:t>
      </w:r>
    </w:p>
    <w:p>
      <w:pPr>
        <w:spacing w:after="0" w:line="2" w:lineRule="exact"/>
        <w:rPr>
          <w:rFonts w:ascii="Arial" w:cs="Arial" w:eastAsia="Arial" w:hAnsi="Arial"/>
          <w:sz w:val="18"/>
          <w:szCs w:val="18"/>
          <w:color w:val="4C4C4C"/>
        </w:rPr>
      </w:pPr>
    </w:p>
    <w:p>
      <w:pPr>
        <w:ind w:left="172" w:right="540" w:hanging="172"/>
        <w:spacing w:after="0" w:line="246"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New Products </w:t>
      </w:r>
      <w:r>
        <w:rPr>
          <w:rFonts w:ascii="Arial" w:cs="Arial" w:eastAsia="Arial" w:hAnsi="Arial"/>
          <w:sz w:val="18"/>
          <w:szCs w:val="18"/>
          <w:color w:val="4C4C4C"/>
        </w:rPr>
        <w:t>– we launched Brighthouse SecureAdvantage</w:t>
      </w:r>
      <w:r>
        <w:rPr>
          <w:rFonts w:ascii="Arial" w:cs="Arial" w:eastAsia="Arial" w:hAnsi="Arial"/>
          <w:sz w:val="15"/>
          <w:szCs w:val="15"/>
          <w:color w:val="4C4C4C"/>
        </w:rPr>
        <w:t>®</w:t>
      </w:r>
      <w:r>
        <w:rPr>
          <w:rFonts w:ascii="Arial" w:cs="Arial" w:eastAsia="Arial" w:hAnsi="Arial"/>
          <w:sz w:val="18"/>
          <w:szCs w:val="18"/>
          <w:b w:val="1"/>
          <w:bCs w:val="1"/>
          <w:color w:val="3F3F3F"/>
        </w:rPr>
        <w:t xml:space="preserve"> </w:t>
      </w:r>
      <w:r>
        <w:rPr>
          <w:rFonts w:ascii="Arial" w:cs="Arial" w:eastAsia="Arial" w:hAnsi="Arial"/>
          <w:sz w:val="18"/>
          <w:szCs w:val="18"/>
          <w:color w:val="4C4C4C"/>
        </w:rPr>
        <w:t>6-Year Fixed Index Annuity</w:t>
      </w:r>
      <w:r>
        <w:rPr>
          <w:rFonts w:ascii="Arial" w:cs="Arial" w:eastAsia="Arial" w:hAnsi="Arial"/>
          <w:sz w:val="18"/>
          <w:szCs w:val="18"/>
          <w:b w:val="1"/>
          <w:bCs w:val="1"/>
          <w:color w:val="3F3F3F"/>
        </w:rPr>
        <w:t xml:space="preserve"> </w:t>
      </w:r>
      <w:r>
        <w:rPr>
          <w:rFonts w:ascii="Arial" w:cs="Arial" w:eastAsia="Arial" w:hAnsi="Arial"/>
          <w:sz w:val="18"/>
          <w:szCs w:val="18"/>
          <w:color w:val="4C4C4C"/>
        </w:rPr>
        <w:t>and Brighthouse SimplySelect</w:t>
      </w:r>
      <w:r>
        <w:rPr>
          <w:rFonts w:ascii="Arial" w:cs="Arial" w:eastAsia="Arial" w:hAnsi="Arial"/>
          <w:sz w:val="15"/>
          <w:szCs w:val="15"/>
          <w:color w:val="4C4C4C"/>
        </w:rPr>
        <w:t>®</w:t>
      </w:r>
      <w:r>
        <w:rPr>
          <w:rFonts w:ascii="Arial" w:cs="Arial" w:eastAsia="Arial" w:hAnsi="Arial"/>
          <w:sz w:val="18"/>
          <w:szCs w:val="18"/>
          <w:color w:val="4C4C4C"/>
        </w:rPr>
        <w:t>, a new term life insurance product.</w:t>
      </w:r>
    </w:p>
    <w:p>
      <w:pPr>
        <w:spacing w:after="0" w:line="80" w:lineRule="exact"/>
        <w:rPr>
          <w:rFonts w:ascii="Arial" w:cs="Arial" w:eastAsia="Arial" w:hAnsi="Arial"/>
          <w:sz w:val="18"/>
          <w:szCs w:val="18"/>
          <w:color w:val="4C4C4C"/>
        </w:rPr>
      </w:pPr>
    </w:p>
    <w:p>
      <w:pPr>
        <w:ind w:left="172" w:right="540" w:hanging="172"/>
        <w:spacing w:after="0" w:line="253"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Corporate Expenses </w:t>
      </w:r>
      <w:r>
        <w:rPr>
          <w:rFonts w:ascii="Arial" w:cs="Arial" w:eastAsia="Arial" w:hAnsi="Arial"/>
          <w:sz w:val="18"/>
          <w:szCs w:val="18"/>
          <w:color w:val="4C4C4C"/>
        </w:rPr>
        <w:t>– our run-rate corporate expenses were $864 million. We achieved</w:t>
      </w:r>
      <w:r>
        <w:rPr>
          <w:rFonts w:ascii="Arial" w:cs="Arial" w:eastAsia="Arial" w:hAnsi="Arial"/>
          <w:sz w:val="18"/>
          <w:szCs w:val="18"/>
          <w:b w:val="1"/>
          <w:bCs w:val="1"/>
          <w:color w:val="3F3F3F"/>
        </w:rPr>
        <w:t xml:space="preserve"> </w:t>
      </w:r>
      <w:r>
        <w:rPr>
          <w:rFonts w:ascii="Arial" w:cs="Arial" w:eastAsia="Arial" w:hAnsi="Arial"/>
          <w:sz w:val="18"/>
          <w:szCs w:val="18"/>
          <w:color w:val="4C4C4C"/>
        </w:rPr>
        <w:t>run-rate corporate expense reductions of $166 million relative to our first year following the Separation, exceeding our target of $150 million.</w:t>
      </w:r>
    </w:p>
    <w:p>
      <w:pPr>
        <w:spacing w:after="0" w:line="200" w:lineRule="exact"/>
        <w:rPr>
          <w:rFonts w:ascii="Arial" w:cs="Arial" w:eastAsia="Arial" w:hAnsi="Arial"/>
          <w:sz w:val="18"/>
          <w:szCs w:val="18"/>
          <w:color w:val="4C4C4C"/>
        </w:rPr>
      </w:pPr>
    </w:p>
    <w:p>
      <w:pPr>
        <w:spacing w:after="0" w:line="346" w:lineRule="exact"/>
        <w:rPr>
          <w:rFonts w:ascii="Arial" w:cs="Arial" w:eastAsia="Arial" w:hAnsi="Arial"/>
          <w:sz w:val="18"/>
          <w:szCs w:val="18"/>
          <w:color w:val="4C4C4C"/>
        </w:rPr>
      </w:pPr>
    </w:p>
    <w:p>
      <w:pPr>
        <w:ind w:left="172" w:right="580" w:hanging="172"/>
        <w:spacing w:after="0" w:line="253" w:lineRule="auto"/>
        <w:tabs>
          <w:tab w:leader="none" w:pos="157" w:val="left"/>
        </w:tabs>
        <w:numPr>
          <w:ilvl w:val="0"/>
          <w:numId w:val="123"/>
        </w:numPr>
        <w:rPr>
          <w:rFonts w:ascii="Arial" w:cs="Arial" w:eastAsia="Arial" w:hAnsi="Arial"/>
          <w:sz w:val="18"/>
          <w:szCs w:val="18"/>
          <w:color w:val="4C4C4C"/>
        </w:rPr>
      </w:pPr>
      <w:r>
        <w:rPr>
          <w:rFonts w:ascii="Arial" w:cs="Arial" w:eastAsia="Arial" w:hAnsi="Arial"/>
          <w:sz w:val="18"/>
          <w:szCs w:val="18"/>
          <w:b w:val="1"/>
          <w:bCs w:val="1"/>
          <w:color w:val="3F3F3F"/>
        </w:rPr>
        <w:t xml:space="preserve">Future State Platform </w:t>
      </w:r>
      <w:r>
        <w:rPr>
          <w:rFonts w:ascii="Arial" w:cs="Arial" w:eastAsia="Arial" w:hAnsi="Arial"/>
          <w:sz w:val="18"/>
          <w:szCs w:val="18"/>
          <w:color w:val="4C4C4C"/>
        </w:rPr>
        <w:t>– we made significant progress in our multiyear effort to implement</w:t>
      </w:r>
      <w:r>
        <w:rPr>
          <w:rFonts w:ascii="Arial" w:cs="Arial" w:eastAsia="Arial" w:hAnsi="Arial"/>
          <w:sz w:val="18"/>
          <w:szCs w:val="18"/>
          <w:b w:val="1"/>
          <w:bCs w:val="1"/>
          <w:color w:val="3F3F3F"/>
        </w:rPr>
        <w:t xml:space="preserve"> </w:t>
      </w:r>
      <w:r>
        <w:rPr>
          <w:rFonts w:ascii="Arial" w:cs="Arial" w:eastAsia="Arial" w:hAnsi="Arial"/>
          <w:sz w:val="18"/>
          <w:szCs w:val="18"/>
          <w:color w:val="4C4C4C"/>
        </w:rPr>
        <w:t>our future state operations and technology platform, which is foundational to our ability to grow our sales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-452120</wp:posOffset>
            </wp:positionV>
            <wp:extent cx="498030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80305" cy="171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-1214755</wp:posOffset>
            </wp:positionV>
            <wp:extent cx="498030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8030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8" w:space="720"/>
            <w:col w:w="7912"/>
          </w:cols>
          <w:pgMar w:left="320" w:top="459" w:right="4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Impact of the COVID-19 Pandemic on our Executive Compensation Program</w:t>
      </w:r>
    </w:p>
    <w:p>
      <w:pPr>
        <w:spacing w:after="0" w:line="13"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4C4C4C"/>
        </w:rPr>
        <w:t>We are proud of our ability to shift our operations to a remote environment with a high level of continuity and of the strong results we delivered despite the significant challenges presented by the COVID-19 pandemic. As a result, the Compensation and Human Capital Committee did not make any changes to our executive compensation program in direct response to the pandemic. For information about our response to the pandemic, see “</w:t>
      </w:r>
      <w:r>
        <w:rPr>
          <w:rFonts w:ascii="Arial" w:cs="Arial" w:eastAsia="Arial" w:hAnsi="Arial"/>
          <w:sz w:val="18"/>
          <w:szCs w:val="18"/>
          <w:b w:val="1"/>
          <w:bCs w:val="1"/>
          <w:color w:val="00ADBB"/>
        </w:rPr>
        <w:t>Proxy Summary – Our Response to the COVID-19 Pandemic</w:t>
      </w:r>
      <w:r>
        <w:rPr>
          <w:rFonts w:ascii="Arial" w:cs="Arial" w:eastAsia="Arial" w:hAnsi="Arial"/>
          <w:sz w:val="18"/>
          <w:szCs w:val="18"/>
          <w:color w:val="4C4C4C"/>
        </w:rPr>
        <w:t>.”</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Compensation Philosophy</w:t>
      </w:r>
    </w:p>
    <w:p>
      <w:pPr>
        <w:spacing w:after="0" w:line="13" w:lineRule="exact"/>
        <w:rPr>
          <w:sz w:val="20"/>
          <w:szCs w:val="20"/>
          <w:color w:val="auto"/>
        </w:rPr>
      </w:pPr>
    </w:p>
    <w:p>
      <w:pPr>
        <w:ind w:left="280" w:right="440"/>
        <w:spacing w:after="0" w:line="234" w:lineRule="auto"/>
        <w:rPr>
          <w:sz w:val="20"/>
          <w:szCs w:val="20"/>
          <w:color w:val="auto"/>
        </w:rPr>
      </w:pPr>
      <w:r>
        <w:rPr>
          <w:rFonts w:ascii="Arial" w:cs="Arial" w:eastAsia="Arial" w:hAnsi="Arial"/>
          <w:sz w:val="18"/>
          <w:szCs w:val="18"/>
          <w:color w:val="4C4C4C"/>
        </w:rPr>
        <w:t>The Compensation and Human Capital Committee has established a compensation program rooted in a pay-for-performance philosophy. Our program is intended to align the interests and incentives of our NEOs with those of our stockholders by tying a majority of our CEO’s compensation and a substantial portion of our other NEOs’ compensation to the achievement of performance metrics that are linked to our strategy and financial plan. Our executive compensation program is guided by the following general principles and objectives:</w:t>
      </w:r>
    </w:p>
    <w:p>
      <w:pPr>
        <w:spacing w:after="0" w:line="3" w:lineRule="exact"/>
        <w:rPr>
          <w:sz w:val="20"/>
          <w:szCs w:val="20"/>
          <w:color w:val="auto"/>
        </w:rPr>
      </w:pPr>
    </w:p>
    <w:p>
      <w:pPr>
        <w:ind w:left="480" w:right="240" w:hanging="199"/>
        <w:spacing w:after="0" w:line="234"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 xml:space="preserve">paying for performance: </w:t>
      </w:r>
      <w:r>
        <w:rPr>
          <w:rFonts w:ascii="Arial" w:cs="Arial" w:eastAsia="Arial" w:hAnsi="Arial"/>
          <w:sz w:val="18"/>
          <w:szCs w:val="18"/>
          <w:color w:val="4C4C4C"/>
        </w:rPr>
        <w:t>a majority of executive compensation is in the form of variable elements that are based on individual and</w:t>
      </w:r>
      <w:r>
        <w:rPr>
          <w:rFonts w:ascii="Arial" w:cs="Arial" w:eastAsia="Arial" w:hAnsi="Arial"/>
          <w:sz w:val="18"/>
          <w:szCs w:val="18"/>
          <w:b w:val="1"/>
          <w:bCs w:val="1"/>
          <w:color w:val="3F3F3F"/>
        </w:rPr>
        <w:t xml:space="preserve"> </w:t>
      </w:r>
      <w:r>
        <w:rPr>
          <w:rFonts w:ascii="Arial" w:cs="Arial" w:eastAsia="Arial" w:hAnsi="Arial"/>
          <w:sz w:val="18"/>
          <w:szCs w:val="18"/>
          <w:color w:val="4C4C4C"/>
        </w:rPr>
        <w:t>Company performance results that drive increases in stockholder value;</w:t>
      </w:r>
    </w:p>
    <w:p>
      <w:pPr>
        <w:spacing w:after="0" w:line="1" w:lineRule="exact"/>
        <w:rPr>
          <w:rFonts w:ascii="Arial" w:cs="Arial" w:eastAsia="Arial" w:hAnsi="Arial"/>
          <w:sz w:val="18"/>
          <w:szCs w:val="18"/>
          <w:color w:val="4C4C4C"/>
        </w:rPr>
      </w:pPr>
    </w:p>
    <w:p>
      <w:pPr>
        <w:ind w:left="480" w:right="180" w:hanging="199"/>
        <w:spacing w:after="0" w:line="234"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providing competitive Target Total Direct Compensation (“</w:t>
      </w:r>
      <w:r>
        <w:rPr>
          <w:rFonts w:ascii="Arial" w:cs="Arial" w:eastAsia="Arial" w:hAnsi="Arial"/>
          <w:sz w:val="18"/>
          <w:szCs w:val="18"/>
          <w:b w:val="1"/>
          <w:bCs w:val="1"/>
          <w:color w:val="00ADBB"/>
        </w:rPr>
        <w:t>TDC</w:t>
      </w:r>
      <w:r>
        <w:rPr>
          <w:rFonts w:ascii="Arial" w:cs="Arial" w:eastAsia="Arial" w:hAnsi="Arial"/>
          <w:sz w:val="18"/>
          <w:szCs w:val="18"/>
          <w:b w:val="1"/>
          <w:bCs w:val="1"/>
          <w:color w:val="3F3F3F"/>
        </w:rPr>
        <w:t xml:space="preserve">”) opportunities </w:t>
      </w:r>
      <w:r>
        <w:rPr>
          <w:rFonts w:ascii="Arial" w:cs="Arial" w:eastAsia="Arial" w:hAnsi="Arial"/>
          <w:sz w:val="18"/>
          <w:szCs w:val="18"/>
          <w:color w:val="4C4C4C"/>
        </w:rPr>
        <w:t>(defined as base salary plus STI and LTI</w:t>
      </w:r>
      <w:r>
        <w:rPr>
          <w:rFonts w:ascii="Arial" w:cs="Arial" w:eastAsia="Arial" w:hAnsi="Arial"/>
          <w:sz w:val="18"/>
          <w:szCs w:val="18"/>
          <w:b w:val="1"/>
          <w:bCs w:val="1"/>
          <w:color w:val="3F3F3F"/>
        </w:rPr>
        <w:t xml:space="preserve"> </w:t>
      </w:r>
      <w:r>
        <w:rPr>
          <w:rFonts w:ascii="Arial" w:cs="Arial" w:eastAsia="Arial" w:hAnsi="Arial"/>
          <w:sz w:val="18"/>
          <w:szCs w:val="18"/>
          <w:color w:val="4C4C4C"/>
        </w:rPr>
        <w:t>compensation opportunities): we aim to offer compensation that enables Brighthouse to attract, motivate, and retain high-performing employees;</w:t>
      </w:r>
    </w:p>
    <w:p>
      <w:pPr>
        <w:spacing w:after="0" w:line="2" w:lineRule="exact"/>
        <w:rPr>
          <w:rFonts w:ascii="Arial" w:cs="Arial" w:eastAsia="Arial" w:hAnsi="Arial"/>
          <w:sz w:val="18"/>
          <w:szCs w:val="18"/>
          <w:color w:val="4C4C4C"/>
        </w:rPr>
      </w:pPr>
    </w:p>
    <w:p>
      <w:pPr>
        <w:ind w:left="480" w:right="340" w:hanging="199"/>
        <w:spacing w:after="0" w:line="234"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 xml:space="preserve">aligning executives’ interests with stockholders’ interests: </w:t>
      </w:r>
      <w:r>
        <w:rPr>
          <w:rFonts w:ascii="Arial" w:cs="Arial" w:eastAsia="Arial" w:hAnsi="Arial"/>
          <w:sz w:val="18"/>
          <w:szCs w:val="18"/>
          <w:color w:val="4C4C4C"/>
        </w:rPr>
        <w:t>a majority of our CEO’s Target TDC and a significant portion of our</w:t>
      </w:r>
      <w:r>
        <w:rPr>
          <w:rFonts w:ascii="Arial" w:cs="Arial" w:eastAsia="Arial" w:hAnsi="Arial"/>
          <w:sz w:val="18"/>
          <w:szCs w:val="18"/>
          <w:b w:val="1"/>
          <w:bCs w:val="1"/>
          <w:color w:val="3F3F3F"/>
        </w:rPr>
        <w:t xml:space="preserve"> </w:t>
      </w:r>
      <w:r>
        <w:rPr>
          <w:rFonts w:ascii="Arial" w:cs="Arial" w:eastAsia="Arial" w:hAnsi="Arial"/>
          <w:sz w:val="18"/>
          <w:szCs w:val="18"/>
          <w:color w:val="4C4C4C"/>
        </w:rPr>
        <w:t>NEOs’ Target TDC is delivered in the form of stock-based incentives;</w:t>
      </w:r>
    </w:p>
    <w:p>
      <w:pPr>
        <w:spacing w:after="0" w:line="1" w:lineRule="exact"/>
        <w:rPr>
          <w:rFonts w:ascii="Arial" w:cs="Arial" w:eastAsia="Arial" w:hAnsi="Arial"/>
          <w:sz w:val="18"/>
          <w:szCs w:val="18"/>
          <w:color w:val="4C4C4C"/>
        </w:rPr>
      </w:pPr>
    </w:p>
    <w:p>
      <w:pPr>
        <w:ind w:left="480" w:right="820" w:hanging="199"/>
        <w:spacing w:after="0" w:line="234"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 xml:space="preserve">encouraging long-term decision-making: </w:t>
      </w:r>
      <w:r>
        <w:rPr>
          <w:rFonts w:ascii="Arial" w:cs="Arial" w:eastAsia="Arial" w:hAnsi="Arial"/>
          <w:sz w:val="18"/>
          <w:szCs w:val="18"/>
          <w:color w:val="4C4C4C"/>
        </w:rPr>
        <w:t>our long-term incentive compensation program includes awards with multi-year,</w:t>
      </w:r>
      <w:r>
        <w:rPr>
          <w:rFonts w:ascii="Arial" w:cs="Arial" w:eastAsia="Arial" w:hAnsi="Arial"/>
          <w:sz w:val="18"/>
          <w:szCs w:val="18"/>
          <w:b w:val="1"/>
          <w:bCs w:val="1"/>
          <w:color w:val="3F3F3F"/>
        </w:rPr>
        <w:t xml:space="preserve"> </w:t>
      </w:r>
      <w:r>
        <w:rPr>
          <w:rFonts w:ascii="Arial" w:cs="Arial" w:eastAsia="Arial" w:hAnsi="Arial"/>
          <w:sz w:val="18"/>
          <w:szCs w:val="18"/>
          <w:color w:val="4C4C4C"/>
        </w:rPr>
        <w:t>overlapping performance or restriction periods;</w:t>
      </w:r>
    </w:p>
    <w:p>
      <w:pPr>
        <w:spacing w:after="0" w:line="1" w:lineRule="exact"/>
        <w:rPr>
          <w:rFonts w:ascii="Arial" w:cs="Arial" w:eastAsia="Arial" w:hAnsi="Arial"/>
          <w:sz w:val="18"/>
          <w:szCs w:val="18"/>
          <w:color w:val="4C4C4C"/>
        </w:rPr>
      </w:pPr>
    </w:p>
    <w:p>
      <w:pPr>
        <w:ind w:left="480" w:right="560" w:hanging="199"/>
        <w:spacing w:after="0" w:line="234"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 xml:space="preserve">avoiding problematic pay practices: </w:t>
      </w:r>
      <w:r>
        <w:rPr>
          <w:rFonts w:ascii="Arial" w:cs="Arial" w:eastAsia="Arial" w:hAnsi="Arial"/>
          <w:sz w:val="18"/>
          <w:szCs w:val="18"/>
          <w:color w:val="4C4C4C"/>
        </w:rPr>
        <w:t>we do not provide excessive perquisites, excessive change-of-control severance pay, or</w:t>
      </w:r>
      <w:r>
        <w:rPr>
          <w:rFonts w:ascii="Arial" w:cs="Arial" w:eastAsia="Arial" w:hAnsi="Arial"/>
          <w:sz w:val="18"/>
          <w:szCs w:val="18"/>
          <w:b w:val="1"/>
          <w:bCs w:val="1"/>
          <w:color w:val="3F3F3F"/>
        </w:rPr>
        <w:t xml:space="preserve"> </w:t>
      </w:r>
      <w:r>
        <w:rPr>
          <w:rFonts w:ascii="Arial" w:cs="Arial" w:eastAsia="Arial" w:hAnsi="Arial"/>
          <w:sz w:val="18"/>
          <w:szCs w:val="18"/>
          <w:color w:val="4C4C4C"/>
        </w:rPr>
        <w:t>excise tax gross-ups, and we will not reprice stock options without stockholder approval; and</w:t>
      </w:r>
    </w:p>
    <w:p>
      <w:pPr>
        <w:spacing w:after="0" w:line="1" w:lineRule="exact"/>
        <w:rPr>
          <w:rFonts w:ascii="Arial" w:cs="Arial" w:eastAsia="Arial" w:hAnsi="Arial"/>
          <w:sz w:val="18"/>
          <w:szCs w:val="18"/>
          <w:color w:val="4C4C4C"/>
        </w:rPr>
      </w:pPr>
    </w:p>
    <w:p>
      <w:pPr>
        <w:ind w:left="480" w:right="260" w:hanging="199"/>
        <w:spacing w:after="0" w:line="246" w:lineRule="auto"/>
        <w:tabs>
          <w:tab w:leader="none" w:pos="480" w:val="left"/>
        </w:tabs>
        <w:numPr>
          <w:ilvl w:val="0"/>
          <w:numId w:val="124"/>
        </w:numPr>
        <w:rPr>
          <w:rFonts w:ascii="Arial" w:cs="Arial" w:eastAsia="Arial" w:hAnsi="Arial"/>
          <w:sz w:val="18"/>
          <w:szCs w:val="18"/>
          <w:color w:val="4C4C4C"/>
        </w:rPr>
      </w:pPr>
      <w:r>
        <w:rPr>
          <w:rFonts w:ascii="Arial" w:cs="Arial" w:eastAsia="Arial" w:hAnsi="Arial"/>
          <w:sz w:val="18"/>
          <w:szCs w:val="18"/>
          <w:b w:val="1"/>
          <w:bCs w:val="1"/>
          <w:color w:val="3F3F3F"/>
        </w:rPr>
        <w:t xml:space="preserve">reinforcing strong risk management: </w:t>
      </w:r>
      <w:r>
        <w:rPr>
          <w:rFonts w:ascii="Arial" w:cs="Arial" w:eastAsia="Arial" w:hAnsi="Arial"/>
          <w:sz w:val="18"/>
          <w:szCs w:val="18"/>
          <w:color w:val="4C4C4C"/>
        </w:rPr>
        <w:t>our compensation program is designed to avoid providing our employees with incentives to</w:t>
      </w:r>
      <w:r>
        <w:rPr>
          <w:rFonts w:ascii="Arial" w:cs="Arial" w:eastAsia="Arial" w:hAnsi="Arial"/>
          <w:sz w:val="18"/>
          <w:szCs w:val="18"/>
          <w:b w:val="1"/>
          <w:bCs w:val="1"/>
          <w:color w:val="3F3F3F"/>
        </w:rPr>
        <w:t xml:space="preserve"> </w:t>
      </w:r>
      <w:r>
        <w:rPr>
          <w:rFonts w:ascii="Arial" w:cs="Arial" w:eastAsia="Arial" w:hAnsi="Arial"/>
          <w:sz w:val="18"/>
          <w:szCs w:val="18"/>
          <w:color w:val="4C4C4C"/>
        </w:rPr>
        <w:t>take excessive risks.</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44 | 2021 Proxy Statement</w:t>
      </w:r>
    </w:p>
    <w:p>
      <w:pPr>
        <w:sectPr>
          <w:pgSz w:w="11900" w:h="16838" w:orient="portrait"/>
          <w:cols w:equalWidth="0" w:num="1">
            <w:col w:w="1114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7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Compensation Discussion and Analysis</w:t>
      </w:r>
    </w:p>
    <w:p>
      <w:pPr>
        <w:spacing w:after="0" w:line="2"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00ADBB"/>
        </w:rPr>
        <w:t>Section 1 – Executive Summary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What’s New With Our 2020 Compensation Program</w:t>
      </w:r>
    </w:p>
    <w:p>
      <w:pPr>
        <w:spacing w:after="0" w:line="1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4C4C4C"/>
        </w:rPr>
        <w:t>We regularly review our compensation program to help ensure that it motivates and rewards our employees for performance that supports our strategic goals. The following table describes the changes we made to our compensation program for our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142875</wp:posOffset>
            </wp:positionV>
            <wp:extent cx="258000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110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00ADBB"/>
              </w:rPr>
              <w:t>STI Metric</w:t>
            </w:r>
          </w:p>
        </w:tc>
        <w:tc>
          <w:tcPr>
            <w:tcW w:w="240" w:type="dxa"/>
            <w:vAlign w:val="bottom"/>
          </w:tcPr>
          <w:p>
            <w:pPr>
              <w:spacing w:after="0"/>
              <w:rPr>
                <w:sz w:val="23"/>
                <w:szCs w:val="23"/>
                <w:color w:val="auto"/>
              </w:rPr>
            </w:pPr>
          </w:p>
        </w:tc>
        <w:tc>
          <w:tcPr>
            <w:tcW w:w="1120" w:type="dxa"/>
            <w:vAlign w:val="bottom"/>
            <w:tcBorders>
              <w:top w:val="single" w:sz="8" w:color="00ADBB"/>
            </w:tcBorders>
          </w:tcPr>
          <w:p>
            <w:pPr>
              <w:jc w:val="right"/>
              <w:ind w:right="30"/>
              <w:spacing w:after="0"/>
              <w:rPr>
                <w:sz w:val="20"/>
                <w:szCs w:val="20"/>
                <w:color w:val="auto"/>
              </w:rPr>
            </w:pPr>
            <w:r>
              <w:rPr>
                <w:rFonts w:ascii="Arial" w:cs="Arial" w:eastAsia="Arial" w:hAnsi="Arial"/>
                <w:sz w:val="18"/>
                <w:szCs w:val="18"/>
                <w:b w:val="1"/>
                <w:bCs w:val="1"/>
                <w:color w:val="00ADBB"/>
              </w:rPr>
              <w:t>Weighting</w:t>
            </w:r>
          </w:p>
        </w:tc>
        <w:tc>
          <w:tcPr>
            <w:tcW w:w="200" w:type="dxa"/>
            <w:vAlign w:val="bottom"/>
          </w:tcPr>
          <w:p>
            <w:pPr>
              <w:spacing w:after="0"/>
              <w:rPr>
                <w:sz w:val="23"/>
                <w:szCs w:val="23"/>
                <w:color w:val="auto"/>
              </w:rPr>
            </w:pPr>
          </w:p>
        </w:tc>
        <w:tc>
          <w:tcPr>
            <w:tcW w:w="4080" w:type="dxa"/>
            <w:vAlign w:val="bottom"/>
            <w:tcBorders>
              <w:top w:val="single" w:sz="8" w:color="00ADBB"/>
            </w:tcBorders>
          </w:tcPr>
          <w:p>
            <w:pPr>
              <w:ind w:left="120"/>
              <w:spacing w:after="0"/>
              <w:rPr>
                <w:sz w:val="20"/>
                <w:szCs w:val="20"/>
                <w:color w:val="auto"/>
              </w:rPr>
            </w:pPr>
            <w:r>
              <w:rPr>
                <w:rFonts w:ascii="Arial" w:cs="Arial" w:eastAsia="Arial" w:hAnsi="Arial"/>
                <w:sz w:val="18"/>
                <w:szCs w:val="18"/>
                <w:b w:val="1"/>
                <w:bCs w:val="1"/>
                <w:color w:val="00ADBB"/>
              </w:rPr>
              <w:t>Performance Link</w:t>
            </w: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tcPr>
          <w:p>
            <w:pPr>
              <w:spacing w:after="0"/>
              <w:rPr>
                <w:sz w:val="13"/>
                <w:szCs w:val="13"/>
                <w:color w:val="auto"/>
              </w:rPr>
            </w:pPr>
          </w:p>
        </w:tc>
        <w:tc>
          <w:tcPr>
            <w:tcW w:w="240" w:type="dxa"/>
            <w:vAlign w:val="bottom"/>
            <w:vMerge w:val="restart"/>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line="173" w:lineRule="exact"/>
              <w:rPr>
                <w:sz w:val="20"/>
                <w:szCs w:val="20"/>
                <w:color w:val="auto"/>
              </w:rPr>
            </w:pPr>
            <w:r>
              <w:rPr>
                <w:rFonts w:ascii="Arial" w:cs="Arial" w:eastAsia="Arial" w:hAnsi="Arial"/>
                <w:sz w:val="18"/>
                <w:szCs w:val="18"/>
                <w:b w:val="1"/>
                <w:bCs w:val="1"/>
                <w:color w:val="4C4C4C"/>
              </w:rPr>
              <w:t>Expense</w:t>
            </w:r>
          </w:p>
        </w:tc>
        <w:tc>
          <w:tcPr>
            <w:tcW w:w="240" w:type="dxa"/>
            <w:vAlign w:val="bottom"/>
            <w:vMerge w:val="continue"/>
          </w:tcPr>
          <w:p>
            <w:pPr>
              <w:spacing w:after="0"/>
              <w:rPr>
                <w:sz w:val="15"/>
                <w:szCs w:val="15"/>
                <w:color w:val="auto"/>
              </w:rPr>
            </w:pPr>
          </w:p>
        </w:tc>
        <w:tc>
          <w:tcPr>
            <w:tcW w:w="1120" w:type="dxa"/>
            <w:vAlign w:val="bottom"/>
          </w:tcPr>
          <w:p>
            <w:pPr>
              <w:jc w:val="right"/>
              <w:ind w:right="230"/>
              <w:spacing w:after="0" w:line="173"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5"/>
                <w:szCs w:val="15"/>
                <w:color w:val="auto"/>
              </w:rPr>
            </w:pPr>
          </w:p>
        </w:tc>
        <w:tc>
          <w:tcPr>
            <w:tcW w:w="4080" w:type="dxa"/>
            <w:vAlign w:val="bottom"/>
          </w:tcPr>
          <w:p>
            <w:pPr>
              <w:ind w:left="120"/>
              <w:spacing w:after="0" w:line="173" w:lineRule="exact"/>
              <w:rPr>
                <w:sz w:val="20"/>
                <w:szCs w:val="20"/>
                <w:color w:val="auto"/>
              </w:rPr>
            </w:pPr>
            <w:r>
              <w:rPr>
                <w:rFonts w:ascii="Arial" w:cs="Arial" w:eastAsia="Arial" w:hAnsi="Arial"/>
                <w:sz w:val="18"/>
                <w:szCs w:val="18"/>
                <w:color w:val="4C4C4C"/>
              </w:rPr>
              <w:t>Effectively managing our expenses by adopting</w:t>
            </w:r>
          </w:p>
        </w:tc>
        <w:tc>
          <w:tcPr>
            <w:tcW w:w="0" w:type="dxa"/>
            <w:vAlign w:val="bottom"/>
          </w:tcPr>
          <w:p>
            <w:pPr>
              <w:spacing w:after="0"/>
              <w:rPr>
                <w:sz w:val="1"/>
                <w:szCs w:val="1"/>
                <w:color w:val="auto"/>
              </w:rPr>
            </w:pPr>
          </w:p>
        </w:tc>
      </w:tr>
      <w:tr>
        <w:trPr>
          <w:trHeight w:val="224"/>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Target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and maintaining an operating model that reduces</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our run-rate expenses is a core element of our</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strategy. This metric aligns with our publicly</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w w:val="99"/>
              </w:rPr>
              <w:t>disclosed target of reducing run-rate expenses by</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$150 million by the end of 2020 and an additional</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$25 million in 2021.</w:t>
            </w:r>
          </w:p>
        </w:tc>
        <w:tc>
          <w:tcPr>
            <w:tcW w:w="0" w:type="dxa"/>
            <w:vAlign w:val="bottom"/>
          </w:tcPr>
          <w:p>
            <w:pPr>
              <w:spacing w:after="0"/>
              <w:rPr>
                <w:sz w:val="1"/>
                <w:szCs w:val="1"/>
                <w:color w:val="auto"/>
              </w:rPr>
            </w:pPr>
          </w:p>
        </w:tc>
      </w:tr>
      <w:tr>
        <w:trPr>
          <w:trHeight w:val="405"/>
        </w:trPr>
        <w:tc>
          <w:tcPr>
            <w:tcW w:w="1100" w:type="dxa"/>
            <w:vAlign w:val="bottom"/>
            <w:tcBorders>
              <w:bottom w:val="single" w:sz="8" w:color="auto"/>
            </w:tcBorders>
          </w:tcPr>
          <w:p>
            <w:pPr>
              <w:spacing w:after="0"/>
              <w:rPr>
                <w:sz w:val="24"/>
                <w:szCs w:val="24"/>
                <w:color w:val="auto"/>
              </w:rPr>
            </w:pPr>
          </w:p>
        </w:tc>
        <w:tc>
          <w:tcPr>
            <w:tcW w:w="24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b w:val="1"/>
                <w:bCs w:val="1"/>
                <w:color w:val="4C4C4C"/>
              </w:rPr>
              <w:t>Sales</w:t>
            </w:r>
          </w:p>
        </w:tc>
        <w:tc>
          <w:tcPr>
            <w:tcW w:w="240" w:type="dxa"/>
            <w:vAlign w:val="bottom"/>
            <w:vMerge w:val="continue"/>
          </w:tcPr>
          <w:p>
            <w:pPr>
              <w:spacing w:after="0"/>
              <w:rPr>
                <w:sz w:val="16"/>
                <w:szCs w:val="16"/>
                <w:color w:val="auto"/>
              </w:rPr>
            </w:pPr>
          </w:p>
        </w:tc>
        <w:tc>
          <w:tcPr>
            <w:tcW w:w="1120" w:type="dxa"/>
            <w:vAlign w:val="bottom"/>
          </w:tcPr>
          <w:p>
            <w:pPr>
              <w:jc w:val="right"/>
              <w:ind w:right="230"/>
              <w:spacing w:after="0" w:line="195"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6"/>
                <w:szCs w:val="16"/>
                <w:color w:val="auto"/>
              </w:rPr>
            </w:pP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4C4C4C"/>
              </w:rPr>
              <w:t>Key driver of revenues and an important indicator</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of our growth prospects and franchise stability.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color w:val="4C4C4C"/>
              </w:rPr>
              <w:t>Normalized</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right"/>
              <w:ind w:right="230"/>
              <w:spacing w:after="0" w:line="193" w:lineRule="exact"/>
              <w:rPr>
                <w:sz w:val="20"/>
                <w:szCs w:val="20"/>
                <w:color w:val="auto"/>
              </w:rPr>
            </w:pPr>
            <w:r>
              <w:rPr>
                <w:rFonts w:ascii="Arial" w:cs="Arial" w:eastAsia="Arial" w:hAnsi="Arial"/>
                <w:sz w:val="18"/>
                <w:szCs w:val="18"/>
                <w:color w:val="4C4C4C"/>
              </w:rPr>
              <w:t>20%</w:t>
            </w:r>
          </w:p>
        </w:tc>
        <w:tc>
          <w:tcPr>
            <w:tcW w:w="200" w:type="dxa"/>
            <w:vAlign w:val="bottom"/>
          </w:tcPr>
          <w:p>
            <w:pPr>
              <w:spacing w:after="0"/>
              <w:rPr>
                <w:sz w:val="16"/>
                <w:szCs w:val="16"/>
                <w:color w:val="auto"/>
              </w:rPr>
            </w:pPr>
          </w:p>
        </w:tc>
        <w:tc>
          <w:tcPr>
            <w:tcW w:w="4080" w:type="dxa"/>
            <w:vAlign w:val="bottom"/>
            <w:tcBorders>
              <w:top w:val="single" w:sz="8" w:color="auto"/>
            </w:tcBorders>
          </w:tcPr>
          <w:p>
            <w:pPr>
              <w:ind w:left="120"/>
              <w:spacing w:after="0" w:line="193" w:lineRule="exact"/>
              <w:rPr>
                <w:sz w:val="20"/>
                <w:szCs w:val="20"/>
                <w:color w:val="auto"/>
              </w:rPr>
            </w:pPr>
            <w:r>
              <w:rPr>
                <w:rFonts w:ascii="Arial" w:cs="Arial" w:eastAsia="Arial" w:hAnsi="Arial"/>
                <w:sz w:val="18"/>
                <w:szCs w:val="18"/>
                <w:color w:val="4C4C4C"/>
              </w:rPr>
              <w:t>Key metric used by management to measure our</w:t>
            </w: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Statutory</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insurance companies’ generation of statutory</w:t>
            </w:r>
          </w:p>
        </w:tc>
        <w:tc>
          <w:tcPr>
            <w:tcW w:w="0" w:type="dxa"/>
            <w:vAlign w:val="bottom"/>
          </w:tcPr>
          <w:p>
            <w:pPr>
              <w:spacing w:after="0"/>
              <w:rPr>
                <w:sz w:val="1"/>
                <w:szCs w:val="1"/>
                <w:color w:val="auto"/>
              </w:rPr>
            </w:pPr>
          </w:p>
        </w:tc>
      </w:tr>
      <w:tr>
        <w:trPr>
          <w:trHeight w:val="225"/>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Earnings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distributable cash flows (sometimes referred to</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as distributable earnings) and which is reflective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of whether our hedging program functions as</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intended.</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0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00ADBB"/>
              </w:rPr>
              <w:t>LTI Metric</w:t>
            </w:r>
          </w:p>
        </w:tc>
        <w:tc>
          <w:tcPr>
            <w:tcW w:w="240" w:type="dxa"/>
            <w:vAlign w:val="bottom"/>
          </w:tcPr>
          <w:p>
            <w:pPr>
              <w:spacing w:after="0"/>
              <w:rPr>
                <w:sz w:val="20"/>
                <w:szCs w:val="20"/>
                <w:color w:val="auto"/>
              </w:rPr>
            </w:pPr>
          </w:p>
        </w:tc>
        <w:tc>
          <w:tcPr>
            <w:tcW w:w="1120" w:type="dxa"/>
            <w:vAlign w:val="bottom"/>
            <w:tcBorders>
              <w:top w:val="single" w:sz="8" w:color="00ADBB"/>
            </w:tcBorders>
          </w:tcPr>
          <w:p>
            <w:pPr>
              <w:jc w:val="right"/>
              <w:ind w:right="30"/>
              <w:spacing w:after="0"/>
              <w:rPr>
                <w:sz w:val="20"/>
                <w:szCs w:val="20"/>
                <w:color w:val="auto"/>
              </w:rPr>
            </w:pPr>
            <w:r>
              <w:rPr>
                <w:rFonts w:ascii="Arial" w:cs="Arial" w:eastAsia="Arial" w:hAnsi="Arial"/>
                <w:sz w:val="18"/>
                <w:szCs w:val="18"/>
                <w:b w:val="1"/>
                <w:bCs w:val="1"/>
                <w:color w:val="00ADBB"/>
              </w:rPr>
              <w:t>Weighting</w:t>
            </w:r>
          </w:p>
        </w:tc>
        <w:tc>
          <w:tcPr>
            <w:tcW w:w="200" w:type="dxa"/>
            <w:vAlign w:val="bottom"/>
          </w:tcPr>
          <w:p>
            <w:pPr>
              <w:spacing w:after="0"/>
              <w:rPr>
                <w:sz w:val="20"/>
                <w:szCs w:val="20"/>
                <w:color w:val="auto"/>
              </w:rPr>
            </w:pPr>
          </w:p>
        </w:tc>
        <w:tc>
          <w:tcPr>
            <w:tcW w:w="4080" w:type="dxa"/>
            <w:vAlign w:val="bottom"/>
            <w:tcBorders>
              <w:top w:val="single" w:sz="8" w:color="00ADBB"/>
            </w:tcBorders>
          </w:tcPr>
          <w:p>
            <w:pPr>
              <w:ind w:left="120"/>
              <w:spacing w:after="0"/>
              <w:rPr>
                <w:sz w:val="20"/>
                <w:szCs w:val="20"/>
                <w:color w:val="auto"/>
              </w:rPr>
            </w:pPr>
            <w:r>
              <w:rPr>
                <w:rFonts w:ascii="Arial" w:cs="Arial" w:eastAsia="Arial" w:hAnsi="Arial"/>
                <w:sz w:val="18"/>
                <w:szCs w:val="18"/>
                <w:b w:val="1"/>
                <w:bCs w:val="1"/>
                <w:color w:val="00ADBB"/>
              </w:rPr>
              <w:t>Performance Link</w:t>
            </w: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tcPr>
          <w:p>
            <w:pPr>
              <w:spacing w:after="0"/>
              <w:rPr>
                <w:sz w:val="13"/>
                <w:szCs w:val="13"/>
                <w:color w:val="auto"/>
              </w:rPr>
            </w:pPr>
          </w:p>
        </w:tc>
        <w:tc>
          <w:tcPr>
            <w:tcW w:w="240" w:type="dxa"/>
            <w:vAlign w:val="bottom"/>
            <w:vMerge w:val="restart"/>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line="173" w:lineRule="exact"/>
              <w:rPr>
                <w:sz w:val="20"/>
                <w:szCs w:val="20"/>
                <w:color w:val="auto"/>
              </w:rPr>
            </w:pPr>
            <w:r>
              <w:rPr>
                <w:rFonts w:ascii="Arial" w:cs="Arial" w:eastAsia="Arial" w:hAnsi="Arial"/>
                <w:sz w:val="18"/>
                <w:szCs w:val="18"/>
                <w:b w:val="1"/>
                <w:bCs w:val="1"/>
                <w:color w:val="4C4C4C"/>
              </w:rPr>
              <w:t>Statutory</w:t>
            </w:r>
          </w:p>
        </w:tc>
        <w:tc>
          <w:tcPr>
            <w:tcW w:w="240" w:type="dxa"/>
            <w:vAlign w:val="bottom"/>
            <w:vMerge w:val="continue"/>
          </w:tcPr>
          <w:p>
            <w:pPr>
              <w:spacing w:after="0"/>
              <w:rPr>
                <w:sz w:val="15"/>
                <w:szCs w:val="15"/>
                <w:color w:val="auto"/>
              </w:rPr>
            </w:pPr>
          </w:p>
        </w:tc>
        <w:tc>
          <w:tcPr>
            <w:tcW w:w="1120" w:type="dxa"/>
            <w:vAlign w:val="bottom"/>
          </w:tcPr>
          <w:p>
            <w:pPr>
              <w:jc w:val="right"/>
              <w:ind w:right="230"/>
              <w:spacing w:after="0" w:line="173" w:lineRule="exact"/>
              <w:rPr>
                <w:sz w:val="20"/>
                <w:szCs w:val="20"/>
                <w:color w:val="auto"/>
              </w:rPr>
            </w:pPr>
            <w:r>
              <w:rPr>
                <w:rFonts w:ascii="Arial" w:cs="Arial" w:eastAsia="Arial" w:hAnsi="Arial"/>
                <w:sz w:val="18"/>
                <w:szCs w:val="18"/>
                <w:color w:val="4C4C4C"/>
              </w:rPr>
              <w:t>60%</w:t>
            </w:r>
          </w:p>
        </w:tc>
        <w:tc>
          <w:tcPr>
            <w:tcW w:w="200" w:type="dxa"/>
            <w:vAlign w:val="bottom"/>
          </w:tcPr>
          <w:p>
            <w:pPr>
              <w:spacing w:after="0"/>
              <w:rPr>
                <w:sz w:val="15"/>
                <w:szCs w:val="15"/>
                <w:color w:val="auto"/>
              </w:rPr>
            </w:pPr>
          </w:p>
        </w:tc>
        <w:tc>
          <w:tcPr>
            <w:tcW w:w="4080" w:type="dxa"/>
            <w:vAlign w:val="bottom"/>
          </w:tcPr>
          <w:p>
            <w:pPr>
              <w:ind w:left="120"/>
              <w:spacing w:after="0" w:line="173" w:lineRule="exact"/>
              <w:rPr>
                <w:sz w:val="20"/>
                <w:szCs w:val="20"/>
                <w:color w:val="auto"/>
              </w:rPr>
            </w:pPr>
            <w:r>
              <w:rPr>
                <w:rFonts w:ascii="Arial" w:cs="Arial" w:eastAsia="Arial" w:hAnsi="Arial"/>
                <w:sz w:val="18"/>
                <w:szCs w:val="18"/>
                <w:color w:val="4C4C4C"/>
              </w:rPr>
              <w:t>Reflects the ratio of statutory earnings expenses</w:t>
            </w: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Expense</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to statutory premiums and fee income, and</w:t>
            </w:r>
          </w:p>
        </w:tc>
        <w:tc>
          <w:tcPr>
            <w:tcW w:w="0" w:type="dxa"/>
            <w:vAlign w:val="bottom"/>
          </w:tcPr>
          <w:p>
            <w:pPr>
              <w:spacing w:after="0"/>
              <w:rPr>
                <w:sz w:val="1"/>
                <w:szCs w:val="1"/>
                <w:color w:val="auto"/>
              </w:rPr>
            </w:pPr>
          </w:p>
        </w:tc>
      </w:tr>
      <w:tr>
        <w:trPr>
          <w:trHeight w:val="224"/>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Ratio</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measures our performance in key strategic areas</w:t>
            </w:r>
          </w:p>
        </w:tc>
        <w:tc>
          <w:tcPr>
            <w:tcW w:w="0" w:type="dxa"/>
            <w:vAlign w:val="bottom"/>
          </w:tcPr>
          <w:p>
            <w:pPr>
              <w:spacing w:after="0"/>
              <w:rPr>
                <w:sz w:val="1"/>
                <w:szCs w:val="1"/>
                <w:color w:val="auto"/>
              </w:rPr>
            </w:pPr>
          </w:p>
        </w:tc>
      </w:tr>
      <w:tr>
        <w:trPr>
          <w:trHeight w:val="203"/>
        </w:trPr>
        <w:tc>
          <w:tcPr>
            <w:tcW w:w="1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4C4C4C"/>
              </w:rPr>
              <w:t>of expense management and top-line growth.</w:t>
            </w:r>
          </w:p>
        </w:tc>
        <w:tc>
          <w:tcPr>
            <w:tcW w:w="0" w:type="dxa"/>
            <w:vAlign w:val="bottom"/>
          </w:tcPr>
          <w:p>
            <w:pPr>
              <w:spacing w:after="0"/>
              <w:rPr>
                <w:sz w:val="1"/>
                <w:szCs w:val="1"/>
                <w:color w:val="auto"/>
              </w:rPr>
            </w:pPr>
          </w:p>
        </w:tc>
      </w:tr>
      <w:tr>
        <w:trPr>
          <w:trHeight w:val="173"/>
        </w:trPr>
        <w:tc>
          <w:tcPr>
            <w:tcW w:w="1100" w:type="dxa"/>
            <w:vAlign w:val="bottom"/>
          </w:tcPr>
          <w:p>
            <w:pPr>
              <w:spacing w:after="0" w:line="173" w:lineRule="exact"/>
              <w:rPr>
                <w:sz w:val="20"/>
                <w:szCs w:val="20"/>
                <w:color w:val="auto"/>
              </w:rPr>
            </w:pPr>
            <w:r>
              <w:rPr>
                <w:rFonts w:ascii="Arial" w:cs="Arial" w:eastAsia="Arial" w:hAnsi="Arial"/>
                <w:sz w:val="18"/>
                <w:szCs w:val="18"/>
                <w:b w:val="1"/>
                <w:bCs w:val="1"/>
                <w:color w:val="4C4C4C"/>
              </w:rPr>
              <w:t>Net Cash</w:t>
            </w:r>
          </w:p>
        </w:tc>
        <w:tc>
          <w:tcPr>
            <w:tcW w:w="240" w:type="dxa"/>
            <w:vAlign w:val="bottom"/>
          </w:tcPr>
          <w:p>
            <w:pPr>
              <w:spacing w:after="0"/>
              <w:rPr>
                <w:sz w:val="15"/>
                <w:szCs w:val="15"/>
                <w:color w:val="auto"/>
              </w:rPr>
            </w:pPr>
          </w:p>
        </w:tc>
        <w:tc>
          <w:tcPr>
            <w:tcW w:w="1120" w:type="dxa"/>
            <w:vAlign w:val="bottom"/>
          </w:tcPr>
          <w:p>
            <w:pPr>
              <w:jc w:val="right"/>
              <w:ind w:right="230"/>
              <w:spacing w:after="0" w:line="173"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5"/>
                <w:szCs w:val="15"/>
                <w:color w:val="auto"/>
              </w:rPr>
            </w:pPr>
          </w:p>
        </w:tc>
        <w:tc>
          <w:tcPr>
            <w:tcW w:w="4080" w:type="dxa"/>
            <w:vAlign w:val="bottom"/>
          </w:tcPr>
          <w:p>
            <w:pPr>
              <w:ind w:left="120"/>
              <w:spacing w:after="0" w:line="173" w:lineRule="exact"/>
              <w:rPr>
                <w:sz w:val="20"/>
                <w:szCs w:val="20"/>
                <w:color w:val="auto"/>
              </w:rPr>
            </w:pPr>
            <w:r>
              <w:rPr>
                <w:rFonts w:ascii="Arial" w:cs="Arial" w:eastAsia="Arial" w:hAnsi="Arial"/>
                <w:sz w:val="18"/>
                <w:szCs w:val="18"/>
                <w:color w:val="4C4C4C"/>
              </w:rPr>
              <w:t>Measures net capital distributions from</w:t>
            </w: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Flow to the</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Brighthouse’s operating companies, which</w:t>
            </w: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Holding</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strengthens our holding company and provides</w:t>
            </w:r>
          </w:p>
        </w:tc>
        <w:tc>
          <w:tcPr>
            <w:tcW w:w="0" w:type="dxa"/>
            <w:vAlign w:val="bottom"/>
          </w:tcPr>
          <w:p>
            <w:pPr>
              <w:spacing w:after="0"/>
              <w:rPr>
                <w:sz w:val="1"/>
                <w:szCs w:val="1"/>
                <w:color w:val="auto"/>
              </w:rPr>
            </w:pPr>
          </w:p>
        </w:tc>
      </w:tr>
      <w:tr>
        <w:trPr>
          <w:trHeight w:val="225"/>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Company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4C4C4C"/>
              </w:rPr>
              <w:t>management with flexibility to deploy our capital</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Pr>
          <w:p>
            <w:pPr>
              <w:ind w:left="120"/>
              <w:spacing w:after="0" w:line="202" w:lineRule="exact"/>
              <w:rPr>
                <w:sz w:val="20"/>
                <w:szCs w:val="20"/>
                <w:color w:val="auto"/>
              </w:rPr>
            </w:pPr>
            <w:r>
              <w:rPr>
                <w:rFonts w:ascii="Arial" w:cs="Arial" w:eastAsia="Arial" w:hAnsi="Arial"/>
                <w:sz w:val="18"/>
                <w:szCs w:val="18"/>
                <w:color w:val="4C4C4C"/>
              </w:rPr>
              <w:t>for various purposes, including return of capital to</w:t>
            </w:r>
          </w:p>
        </w:tc>
        <w:tc>
          <w:tcPr>
            <w:tcW w:w="0" w:type="dxa"/>
            <w:vAlign w:val="bottom"/>
          </w:tcPr>
          <w:p>
            <w:pPr>
              <w:spacing w:after="0"/>
              <w:rPr>
                <w:sz w:val="1"/>
                <w:szCs w:val="1"/>
                <w:color w:val="auto"/>
              </w:rPr>
            </w:pPr>
          </w:p>
        </w:tc>
      </w:tr>
      <w:tr>
        <w:trPr>
          <w:trHeight w:val="203"/>
        </w:trPr>
        <w:tc>
          <w:tcPr>
            <w:tcW w:w="1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4C4C4C"/>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ADBB"/>
        </w:rPr>
        <w:t>Key Changes from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123190</wp:posOffset>
            </wp:positionV>
            <wp:extent cx="25800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87" w:lineRule="exact"/>
        <w:rPr>
          <w:sz w:val="20"/>
          <w:szCs w:val="20"/>
          <w:color w:val="auto"/>
        </w:rPr>
      </w:pPr>
    </w:p>
    <w:p>
      <w:pPr>
        <w:ind w:left="184" w:right="220" w:hanging="184"/>
        <w:spacing w:after="0" w:line="234" w:lineRule="auto"/>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 weighting of this metric was increased to 40% (from 33</w:t>
      </w:r>
      <w:r>
        <w:rPr>
          <w:rFonts w:ascii="Arial" w:cs="Arial" w:eastAsia="Arial" w:hAnsi="Arial"/>
          <w:sz w:val="14"/>
          <w:szCs w:val="14"/>
          <w:color w:val="4C4C4C"/>
        </w:rPr>
        <w:t>1</w:t>
      </w:r>
      <w:r>
        <w:rPr>
          <w:rFonts w:ascii="Arial" w:cs="Arial" w:eastAsia="Arial" w:hAnsi="Arial"/>
          <w:sz w:val="18"/>
          <w:szCs w:val="18"/>
          <w:color w:val="4C4C4C"/>
        </w:rPr>
        <w:t>⁄</w:t>
      </w:r>
      <w:r>
        <w:rPr>
          <w:rFonts w:ascii="Arial" w:cs="Arial" w:eastAsia="Arial" w:hAnsi="Arial"/>
          <w:sz w:val="14"/>
          <w:szCs w:val="14"/>
          <w:color w:val="4C4C4C"/>
        </w:rPr>
        <w:t>3</w:t>
      </w:r>
      <w:r>
        <w:rPr>
          <w:rFonts w:ascii="Arial" w:cs="Arial" w:eastAsia="Arial" w:hAnsi="Arial"/>
          <w:sz w:val="18"/>
          <w:szCs w:val="18"/>
          <w:color w:val="4C4C4C"/>
        </w:rPr>
        <w:t>%) to reflect its strategic importance and management’s line of sight over performance.</w:t>
      </w:r>
    </w:p>
    <w:p>
      <w:pPr>
        <w:spacing w:after="0" w:line="2" w:lineRule="exact"/>
        <w:rPr>
          <w:rFonts w:ascii="Arial" w:cs="Arial" w:eastAsia="Arial" w:hAnsi="Arial"/>
          <w:sz w:val="18"/>
          <w:szCs w:val="18"/>
          <w:color w:val="4C4C4C"/>
        </w:rPr>
      </w:pPr>
    </w:p>
    <w:p>
      <w:pPr>
        <w:ind w:left="184" w:right="340" w:hanging="184"/>
        <w:spacing w:after="0" w:line="238" w:lineRule="auto"/>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 Compensation and Human Capital Committee determined to include “establishment costs” in this metric to holistically measure our total expenses and address stockholder feedback.</w:t>
      </w:r>
    </w:p>
    <w:p>
      <w:pPr>
        <w:spacing w:after="0" w:line="13" w:lineRule="exact"/>
        <w:rPr>
          <w:rFonts w:ascii="Arial" w:cs="Arial" w:eastAsia="Arial" w:hAnsi="Arial"/>
          <w:sz w:val="18"/>
          <w:szCs w:val="18"/>
          <w:color w:val="4C4C4C"/>
        </w:rPr>
      </w:pPr>
    </w:p>
    <w:p>
      <w:pPr>
        <w:ind w:left="184" w:right="220" w:hanging="184"/>
        <w:spacing w:after="0" w:line="234" w:lineRule="auto"/>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 weighting of this metric was increased to 40% (from 33</w:t>
      </w:r>
      <w:r>
        <w:rPr>
          <w:rFonts w:ascii="Arial" w:cs="Arial" w:eastAsia="Arial" w:hAnsi="Arial"/>
          <w:sz w:val="14"/>
          <w:szCs w:val="14"/>
          <w:color w:val="4C4C4C"/>
        </w:rPr>
        <w:t>1</w:t>
      </w:r>
      <w:r>
        <w:rPr>
          <w:rFonts w:ascii="Arial" w:cs="Arial" w:eastAsia="Arial" w:hAnsi="Arial"/>
          <w:sz w:val="18"/>
          <w:szCs w:val="18"/>
          <w:color w:val="4C4C4C"/>
        </w:rPr>
        <w:t>⁄</w:t>
      </w:r>
      <w:r>
        <w:rPr>
          <w:rFonts w:ascii="Arial" w:cs="Arial" w:eastAsia="Arial" w:hAnsi="Arial"/>
          <w:sz w:val="14"/>
          <w:szCs w:val="14"/>
          <w:color w:val="4C4C4C"/>
        </w:rPr>
        <w:t>3</w:t>
      </w:r>
      <w:r>
        <w:rPr>
          <w:rFonts w:ascii="Arial" w:cs="Arial" w:eastAsia="Arial" w:hAnsi="Arial"/>
          <w:sz w:val="18"/>
          <w:szCs w:val="18"/>
          <w:color w:val="4C4C4C"/>
        </w:rPr>
        <w:t>%) to reflect its strategic importance and management’s line of sight over performance.</w:t>
      </w:r>
    </w:p>
    <w:p>
      <w:pPr>
        <w:spacing w:after="0" w:line="2" w:lineRule="exact"/>
        <w:rPr>
          <w:rFonts w:ascii="Arial" w:cs="Arial" w:eastAsia="Arial" w:hAnsi="Arial"/>
          <w:sz w:val="18"/>
          <w:szCs w:val="18"/>
          <w:color w:val="4C4C4C"/>
        </w:rPr>
      </w:pPr>
    </w:p>
    <w:p>
      <w:pPr>
        <w:ind w:left="184" w:right="120" w:hanging="184"/>
        <w:spacing w:after="0" w:line="234" w:lineRule="auto"/>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 relative weighting of annuity sales and life insurance sales changed (in 2019, life insurance sales was a payout modifier).</w:t>
      </w:r>
    </w:p>
    <w:p>
      <w:pPr>
        <w:spacing w:after="0" w:line="2" w:lineRule="exact"/>
        <w:rPr>
          <w:rFonts w:ascii="Arial" w:cs="Arial" w:eastAsia="Arial" w:hAnsi="Arial"/>
          <w:sz w:val="18"/>
          <w:szCs w:val="18"/>
          <w:color w:val="4C4C4C"/>
        </w:rPr>
      </w:pPr>
    </w:p>
    <w:p>
      <w:pPr>
        <w:jc w:val="both"/>
        <w:ind w:left="544" w:right="260" w:hanging="183"/>
        <w:spacing w:after="0" w:line="248" w:lineRule="auto"/>
        <w:tabs>
          <w:tab w:leader="none" w:pos="518" w:val="left"/>
        </w:tabs>
        <w:numPr>
          <w:ilvl w:val="1"/>
          <w:numId w:val="125"/>
        </w:numPr>
        <w:rPr>
          <w:rFonts w:ascii="Arial" w:cs="Arial" w:eastAsia="Arial" w:hAnsi="Arial"/>
          <w:sz w:val="17"/>
          <w:szCs w:val="17"/>
          <w:color w:val="4C4C4C"/>
        </w:rPr>
      </w:pPr>
      <w:r>
        <w:rPr>
          <w:rFonts w:ascii="Arial" w:cs="Arial" w:eastAsia="Arial" w:hAnsi="Arial"/>
          <w:sz w:val="17"/>
          <w:szCs w:val="17"/>
          <w:color w:val="4C4C4C"/>
        </w:rPr>
        <w:t>Annuity sales is weighted at 75% of the metric to reflect that annuities represent the greatest portion of our business.</w:t>
      </w:r>
    </w:p>
    <w:p>
      <w:pPr>
        <w:spacing w:after="0" w:line="1" w:lineRule="exact"/>
        <w:rPr>
          <w:rFonts w:ascii="Arial" w:cs="Arial" w:eastAsia="Arial" w:hAnsi="Arial"/>
          <w:sz w:val="17"/>
          <w:szCs w:val="17"/>
          <w:color w:val="4C4C4C"/>
        </w:rPr>
      </w:pPr>
    </w:p>
    <w:p>
      <w:pPr>
        <w:ind w:left="544" w:right="40" w:hanging="183"/>
        <w:spacing w:after="0" w:line="238" w:lineRule="auto"/>
        <w:tabs>
          <w:tab w:leader="none" w:pos="528" w:val="left"/>
        </w:tabs>
        <w:numPr>
          <w:ilvl w:val="1"/>
          <w:numId w:val="125"/>
        </w:numPr>
        <w:rPr>
          <w:rFonts w:ascii="Arial" w:cs="Arial" w:eastAsia="Arial" w:hAnsi="Arial"/>
          <w:sz w:val="18"/>
          <w:szCs w:val="18"/>
          <w:color w:val="4C4C4C"/>
        </w:rPr>
      </w:pPr>
      <w:r>
        <w:rPr>
          <w:rFonts w:ascii="Arial" w:cs="Arial" w:eastAsia="Arial" w:hAnsi="Arial"/>
          <w:sz w:val="18"/>
          <w:szCs w:val="18"/>
          <w:color w:val="4C4C4C"/>
        </w:rPr>
        <w:t>Life insurance sales is weighted at 25% of the metric to reflect the strategic importance to the Brighthouse franchise of growing life insurance sales.</w:t>
      </w:r>
    </w:p>
    <w:p>
      <w:pPr>
        <w:spacing w:after="0" w:line="15" w:lineRule="exact"/>
        <w:rPr>
          <w:rFonts w:ascii="Arial" w:cs="Arial" w:eastAsia="Arial" w:hAnsi="Arial"/>
          <w:sz w:val="18"/>
          <w:szCs w:val="18"/>
          <w:color w:val="4C4C4C"/>
        </w:rPr>
      </w:pPr>
    </w:p>
    <w:p>
      <w:pPr>
        <w:ind w:left="184" w:right="160" w:hanging="184"/>
        <w:spacing w:after="0" w:line="234" w:lineRule="auto"/>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 weighting of this metric was reduced to 20% (from 33</w:t>
      </w:r>
      <w:r>
        <w:rPr>
          <w:rFonts w:ascii="Arial" w:cs="Arial" w:eastAsia="Arial" w:hAnsi="Arial"/>
          <w:sz w:val="14"/>
          <w:szCs w:val="14"/>
          <w:color w:val="4C4C4C"/>
        </w:rPr>
        <w:t>1</w:t>
      </w:r>
      <w:r>
        <w:rPr>
          <w:rFonts w:ascii="Arial" w:cs="Arial" w:eastAsia="Arial" w:hAnsi="Arial"/>
          <w:sz w:val="18"/>
          <w:szCs w:val="18"/>
          <w:color w:val="4C4C4C"/>
        </w:rPr>
        <w:t>⁄</w:t>
      </w:r>
      <w:r>
        <w:rPr>
          <w:rFonts w:ascii="Arial" w:cs="Arial" w:eastAsia="Arial" w:hAnsi="Arial"/>
          <w:sz w:val="14"/>
          <w:szCs w:val="14"/>
          <w:color w:val="4C4C4C"/>
        </w:rPr>
        <w:t>3</w:t>
      </w:r>
      <w:r>
        <w:rPr>
          <w:rFonts w:ascii="Arial" w:cs="Arial" w:eastAsia="Arial" w:hAnsi="Arial"/>
          <w:sz w:val="18"/>
          <w:szCs w:val="18"/>
          <w:color w:val="4C4C4C"/>
        </w:rPr>
        <w:t>%) because of the metric’s sensitivity to market performance and interest rates.</w:t>
      </w:r>
    </w:p>
    <w:p>
      <w:pPr>
        <w:spacing w:after="0" w:line="2" w:lineRule="exact"/>
        <w:rPr>
          <w:rFonts w:ascii="Arial" w:cs="Arial" w:eastAsia="Arial" w:hAnsi="Arial"/>
          <w:sz w:val="18"/>
          <w:szCs w:val="18"/>
          <w:color w:val="4C4C4C"/>
        </w:rPr>
      </w:pPr>
    </w:p>
    <w:p>
      <w:pPr>
        <w:ind w:left="184" w:right="300" w:hanging="184"/>
        <w:spacing w:after="0"/>
        <w:tabs>
          <w:tab w:leader="none" w:pos="165" w:val="left"/>
        </w:tabs>
        <w:numPr>
          <w:ilvl w:val="0"/>
          <w:numId w:val="125"/>
        </w:numPr>
        <w:rPr>
          <w:rFonts w:ascii="Arial" w:cs="Arial" w:eastAsia="Arial" w:hAnsi="Arial"/>
          <w:sz w:val="18"/>
          <w:szCs w:val="18"/>
          <w:color w:val="4C4C4C"/>
        </w:rPr>
      </w:pPr>
      <w:r>
        <w:rPr>
          <w:rFonts w:ascii="Arial" w:cs="Arial" w:eastAsia="Arial" w:hAnsi="Arial"/>
          <w:sz w:val="18"/>
          <w:szCs w:val="18"/>
          <w:color w:val="4C4C4C"/>
        </w:rPr>
        <w:t>There was no change to the definition of the metric. Normalized statutory earnings continues to be a key strategic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wp:posOffset>
            </wp:positionV>
            <wp:extent cx="258000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8000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-916305</wp:posOffset>
            </wp:positionV>
            <wp:extent cx="25800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-2733675</wp:posOffset>
            </wp:positionV>
            <wp:extent cx="25800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00ADBB"/>
        </w:rPr>
        <w:t>Key Changes from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123190</wp:posOffset>
            </wp:positionV>
            <wp:extent cx="25800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87" w:lineRule="exact"/>
        <w:rPr>
          <w:sz w:val="20"/>
          <w:szCs w:val="20"/>
          <w:color w:val="auto"/>
        </w:rPr>
      </w:pPr>
    </w:p>
    <w:p>
      <w:pPr>
        <w:ind w:left="184" w:right="340" w:hanging="184"/>
        <w:spacing w:after="0" w:line="246" w:lineRule="auto"/>
        <w:tabs>
          <w:tab w:leader="none" w:pos="165" w:val="left"/>
        </w:tabs>
        <w:numPr>
          <w:ilvl w:val="0"/>
          <w:numId w:val="126"/>
        </w:numPr>
        <w:rPr>
          <w:rFonts w:ascii="Arial" w:cs="Arial" w:eastAsia="Arial" w:hAnsi="Arial"/>
          <w:sz w:val="18"/>
          <w:szCs w:val="18"/>
          <w:color w:val="4C4C4C"/>
        </w:rPr>
      </w:pPr>
      <w:r>
        <w:rPr>
          <w:rFonts w:ascii="Arial" w:cs="Arial" w:eastAsia="Arial" w:hAnsi="Arial"/>
          <w:sz w:val="18"/>
          <w:szCs w:val="18"/>
          <w:color w:val="4C4C4C"/>
        </w:rPr>
        <w:t>This metric is unchanged from the 2019 LTI Program.</w:t>
      </w:r>
    </w:p>
    <w:p>
      <w:pPr>
        <w:spacing w:after="0" w:line="399" w:lineRule="exact"/>
        <w:rPr>
          <w:rFonts w:ascii="Arial" w:cs="Arial" w:eastAsia="Arial" w:hAnsi="Arial"/>
          <w:sz w:val="18"/>
          <w:szCs w:val="18"/>
          <w:color w:val="4C4C4C"/>
        </w:rPr>
      </w:pPr>
    </w:p>
    <w:p>
      <w:pPr>
        <w:ind w:left="184" w:right="180" w:hanging="184"/>
        <w:spacing w:after="0" w:line="246" w:lineRule="auto"/>
        <w:tabs>
          <w:tab w:leader="none" w:pos="165" w:val="left"/>
        </w:tabs>
        <w:numPr>
          <w:ilvl w:val="0"/>
          <w:numId w:val="126"/>
        </w:numPr>
        <w:rPr>
          <w:rFonts w:ascii="Arial" w:cs="Arial" w:eastAsia="Arial" w:hAnsi="Arial"/>
          <w:sz w:val="18"/>
          <w:szCs w:val="18"/>
          <w:color w:val="4C4C4C"/>
        </w:rPr>
      </w:pPr>
      <w:r>
        <w:rPr>
          <w:rFonts w:ascii="Arial" w:cs="Arial" w:eastAsia="Arial" w:hAnsi="Arial"/>
          <w:sz w:val="18"/>
          <w:szCs w:val="18"/>
          <w:color w:val="4C4C4C"/>
        </w:rPr>
        <w:t>This is a new metric in our 2019 LTI Program, replacing capital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502920</wp:posOffset>
            </wp:positionV>
            <wp:extent cx="25800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-276860</wp:posOffset>
            </wp:positionV>
            <wp:extent cx="25800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45</w:t>
      </w:r>
    </w:p>
    <w:p>
      <w:pPr>
        <w:sectPr>
          <w:pgSz w:w="11900" w:h="16838" w:orient="portrait"/>
          <w:cols w:equalWidth="0" w:num="2">
            <w:col w:w="6860" w:space="316"/>
            <w:col w:w="3964"/>
          </w:cols>
          <w:pgMar w:left="32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Compensation Discussion and Analysis</w:t>
      </w:r>
      <w:r>
        <w:rPr>
          <w:sz w:val="20"/>
          <w:szCs w:val="20"/>
          <w:color w:val="auto"/>
        </w:rPr>
        <w:tab/>
      </w:r>
      <w:r>
        <w:rPr>
          <w:rFonts w:ascii="Arial" w:cs="Arial" w:eastAsia="Arial" w:hAnsi="Arial"/>
          <w:sz w:val="12"/>
          <w:szCs w:val="12"/>
          <w:b w:val="1"/>
          <w:bCs w:val="1"/>
          <w:color w:val="00ADBB"/>
        </w:rPr>
        <w:t>Brighthouse Financial, Inc.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1 – Executive Summary</w:t>
      </w:r>
    </w:p>
    <w:p>
      <w:pPr>
        <w:spacing w:after="0" w:line="328" w:lineRule="exact"/>
        <w:rPr>
          <w:sz w:val="20"/>
          <w:szCs w:val="20"/>
          <w:color w:val="auto"/>
        </w:rPr>
      </w:pPr>
    </w:p>
    <w:p>
      <w:pPr>
        <w:ind w:left="280" w:right="200"/>
        <w:spacing w:after="0"/>
        <w:rPr>
          <w:sz w:val="20"/>
          <w:szCs w:val="20"/>
          <w:color w:val="auto"/>
        </w:rPr>
      </w:pPr>
      <w:r>
        <w:rPr>
          <w:rFonts w:ascii="Arial" w:cs="Arial" w:eastAsia="Arial" w:hAnsi="Arial"/>
          <w:sz w:val="18"/>
          <w:szCs w:val="18"/>
          <w:color w:val="4C4C4C"/>
        </w:rPr>
        <w:t>STI Awards and LTI Awards were issued under the Brighthouse Financial, Inc. 2017 Stock and Incentive Compensation Plan, as amended (the “</w:t>
      </w:r>
      <w:r>
        <w:rPr>
          <w:rFonts w:ascii="Arial" w:cs="Arial" w:eastAsia="Arial" w:hAnsi="Arial"/>
          <w:sz w:val="18"/>
          <w:szCs w:val="18"/>
          <w:b w:val="1"/>
          <w:bCs w:val="1"/>
          <w:color w:val="00ADBB"/>
        </w:rPr>
        <w:t>Employee Plan</w:t>
      </w:r>
      <w:r>
        <w:rPr>
          <w:rFonts w:ascii="Arial" w:cs="Arial" w:eastAsia="Arial" w:hAnsi="Arial"/>
          <w:sz w:val="18"/>
          <w:szCs w:val="18"/>
          <w:color w:val="4C4C4C"/>
        </w:rPr>
        <w:t>”), and its subplans. For more information about our 2019 Compensation Program, see “</w:t>
      </w:r>
      <w:r>
        <w:rPr>
          <w:rFonts w:ascii="Arial" w:cs="Arial" w:eastAsia="Arial" w:hAnsi="Arial"/>
          <w:sz w:val="18"/>
          <w:szCs w:val="18"/>
          <w:color w:val="00ADBB"/>
        </w:rPr>
        <w:t>Compensation</w:t>
      </w:r>
      <w:r>
        <w:rPr>
          <w:rFonts w:ascii="Arial" w:cs="Arial" w:eastAsia="Arial" w:hAnsi="Arial"/>
          <w:sz w:val="18"/>
          <w:szCs w:val="18"/>
          <w:color w:val="4C4C4C"/>
        </w:rPr>
        <w:t xml:space="preserve"> </w:t>
      </w:r>
      <w:r>
        <w:rPr>
          <w:rFonts w:ascii="Arial" w:cs="Arial" w:eastAsia="Arial" w:hAnsi="Arial"/>
          <w:sz w:val="18"/>
          <w:szCs w:val="18"/>
          <w:color w:val="00ADBB"/>
        </w:rPr>
        <w:t>Discussion and Analysis – Section 2 – Our 2020 Executive Compensation Program</w:t>
      </w:r>
      <w:r>
        <w:rPr>
          <w:rFonts w:ascii="Arial" w:cs="Arial" w:eastAsia="Arial" w:hAnsi="Arial"/>
          <w:sz w:val="18"/>
          <w:szCs w:val="18"/>
          <w:color w:val="4C4C4C"/>
        </w:rPr>
        <w:t>.”</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2020 Say-on-Pay Vote and Stockholder Engagement</w:t>
      </w:r>
    </w:p>
    <w:p>
      <w:pPr>
        <w:spacing w:after="0" w:line="13" w:lineRule="exact"/>
        <w:rPr>
          <w:sz w:val="20"/>
          <w:szCs w:val="20"/>
          <w:color w:val="auto"/>
        </w:rPr>
      </w:pPr>
    </w:p>
    <w:p>
      <w:pPr>
        <w:ind w:left="280" w:right="240"/>
        <w:spacing w:after="0" w:line="237" w:lineRule="auto"/>
        <w:rPr>
          <w:sz w:val="20"/>
          <w:szCs w:val="20"/>
          <w:color w:val="auto"/>
        </w:rPr>
      </w:pPr>
      <w:r>
        <w:rPr>
          <w:rFonts w:ascii="Arial" w:cs="Arial" w:eastAsia="Arial" w:hAnsi="Arial"/>
          <w:sz w:val="18"/>
          <w:szCs w:val="18"/>
          <w:color w:val="4C4C4C"/>
        </w:rPr>
        <w:t>Our stockholders have expressed strong support for our compensation program during our engagement meetings and through their overwhelming approval of our 2020 Say-on-Pay proposal (more than 97% of votes in favor). The Compensation and Human Capital Committee considered stockholder feedback and the Say-on-Pay vote results in reviewing our 2020 executive compensation program and making compensation decisions for our NEOs. In particular, the Compensation and Human Capital Committee modified the definition of the STI program’s expense target, changed the weighting of the three STI metrics, and replaced the capital return metric with a new metric that provides management with more flexibility to prudently deploy the Company’s capital.</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Compensation Highlights</w:t>
      </w:r>
    </w:p>
    <w:p>
      <w:pPr>
        <w:spacing w:after="0" w:line="13" w:lineRule="exact"/>
        <w:rPr>
          <w:sz w:val="20"/>
          <w:szCs w:val="20"/>
          <w:color w:val="auto"/>
        </w:rPr>
      </w:pPr>
    </w:p>
    <w:p>
      <w:pPr>
        <w:ind w:left="280" w:right="260"/>
        <w:spacing w:after="0" w:line="255" w:lineRule="auto"/>
        <w:rPr>
          <w:sz w:val="20"/>
          <w:szCs w:val="20"/>
          <w:color w:val="auto"/>
        </w:rPr>
      </w:pPr>
      <w:r>
        <w:rPr>
          <w:rFonts w:ascii="Arial" w:cs="Arial" w:eastAsia="Arial" w:hAnsi="Arial"/>
          <w:sz w:val="17"/>
          <w:szCs w:val="17"/>
          <w:i w:val="1"/>
          <w:iCs w:val="1"/>
          <w:color w:val="4C4C4C"/>
        </w:rPr>
        <w:t xml:space="preserve">2020 STI Awards. </w:t>
      </w:r>
      <w:r>
        <w:rPr>
          <w:rFonts w:ascii="Arial" w:cs="Arial" w:eastAsia="Arial" w:hAnsi="Arial"/>
          <w:sz w:val="17"/>
          <w:szCs w:val="17"/>
          <w:color w:val="4C4C4C"/>
        </w:rPr>
        <w:t>The table below presents our 2020 metrics for STI Awards (“</w:t>
      </w:r>
      <w:r>
        <w:rPr>
          <w:rFonts w:ascii="Arial" w:cs="Arial" w:eastAsia="Arial" w:hAnsi="Arial"/>
          <w:sz w:val="17"/>
          <w:szCs w:val="17"/>
          <w:b w:val="1"/>
          <w:bCs w:val="1"/>
          <w:color w:val="00ADBB"/>
        </w:rPr>
        <w:t>STI Metrics</w:t>
      </w:r>
      <w:r>
        <w:rPr>
          <w:rFonts w:ascii="Arial" w:cs="Arial" w:eastAsia="Arial" w:hAnsi="Arial"/>
          <w:sz w:val="17"/>
          <w:szCs w:val="17"/>
          <w:color w:val="4C4C4C"/>
        </w:rPr>
        <w:t>”), which measure our performance in the</w:t>
      </w:r>
      <w:r>
        <w:rPr>
          <w:rFonts w:ascii="Arial" w:cs="Arial" w:eastAsia="Arial" w:hAnsi="Arial"/>
          <w:sz w:val="17"/>
          <w:szCs w:val="17"/>
          <w:i w:val="1"/>
          <w:iCs w:val="1"/>
          <w:color w:val="4C4C4C"/>
        </w:rPr>
        <w:t xml:space="preserve"> </w:t>
      </w:r>
      <w:r>
        <w:rPr>
          <w:rFonts w:ascii="Arial" w:cs="Arial" w:eastAsia="Arial" w:hAnsi="Arial"/>
          <w:sz w:val="17"/>
          <w:szCs w:val="17"/>
          <w:color w:val="4C4C4C"/>
        </w:rPr>
        <w:t>areas that are critical to meeting our strategic goals for the year. Brighthouse performance in 2020 resulted in an aggregate Company Performance Factor of 110%. For additional information about our STI Awards, see “</w:t>
      </w:r>
      <w:r>
        <w:rPr>
          <w:rFonts w:ascii="Arial" w:cs="Arial" w:eastAsia="Arial" w:hAnsi="Arial"/>
          <w:sz w:val="17"/>
          <w:szCs w:val="17"/>
          <w:color w:val="00ADBB"/>
        </w:rPr>
        <w:t>Compensation Discussion and Analysis –</w:t>
      </w:r>
      <w:r>
        <w:rPr>
          <w:rFonts w:ascii="Arial" w:cs="Arial" w:eastAsia="Arial" w:hAnsi="Arial"/>
          <w:sz w:val="17"/>
          <w:szCs w:val="17"/>
          <w:color w:val="4C4C4C"/>
        </w:rPr>
        <w:t xml:space="preserve"> </w:t>
      </w:r>
      <w:r>
        <w:rPr>
          <w:rFonts w:ascii="Arial" w:cs="Arial" w:eastAsia="Arial" w:hAnsi="Arial"/>
          <w:sz w:val="17"/>
          <w:szCs w:val="17"/>
          <w:color w:val="00ADBB"/>
        </w:rPr>
        <w:t>Section 2 – Our 2020 Executive Compensation Program – Elements of 2020 Compensation</w:t>
      </w:r>
      <w:r>
        <w:rPr>
          <w:rFonts w:ascii="Arial" w:cs="Arial" w:eastAsia="Arial" w:hAnsi="Arial"/>
          <w:sz w:val="17"/>
          <w:szCs w:val="17"/>
          <w:color w:val="4C4C4C"/>
        </w:rPr>
        <w:t>” and “</w:t>
      </w:r>
      <w:r>
        <w:rPr>
          <w:rFonts w:ascii="Arial" w:cs="Arial" w:eastAsia="Arial" w:hAnsi="Arial"/>
          <w:sz w:val="17"/>
          <w:szCs w:val="17"/>
          <w:color w:val="00ADBB"/>
        </w:rPr>
        <w:t>– 2020 STI Awards for Our NEOs</w:t>
      </w:r>
      <w:r>
        <w:rPr>
          <w:rFonts w:ascii="Arial" w:cs="Arial" w:eastAsia="Arial" w:hAnsi="Arial"/>
          <w:sz w:val="17"/>
          <w:szCs w:val="17"/>
          <w:color w:val="4C4C4C"/>
        </w:rPr>
        <w:t>.”</w:t>
      </w:r>
      <w:r>
        <w:rPr>
          <w:rFonts w:ascii="Arial" w:cs="Arial" w:eastAsia="Arial" w:hAnsi="Arial"/>
          <w:sz w:val="17"/>
          <w:szCs w:val="17"/>
          <w:color w:val="00ADBB"/>
        </w:rPr>
        <w:t xml:space="preserve"> </w:t>
      </w:r>
      <w:r>
        <w:rPr>
          <w:rFonts w:ascii="Arial" w:cs="Arial" w:eastAsia="Arial" w:hAnsi="Arial"/>
          <w:sz w:val="17"/>
          <w:szCs w:val="17"/>
          <w:color w:val="4C4C4C"/>
        </w:rPr>
        <w:t>STI Awards are made under the Amended and Restated Brighthouse Services, LLC Short-Term Incentive Plan (the “</w:t>
      </w:r>
      <w:r>
        <w:rPr>
          <w:rFonts w:ascii="Arial" w:cs="Arial" w:eastAsia="Arial" w:hAnsi="Arial"/>
          <w:sz w:val="17"/>
          <w:szCs w:val="17"/>
          <w:b w:val="1"/>
          <w:bCs w:val="1"/>
          <w:color w:val="00ADBB"/>
        </w:rPr>
        <w:t>STI Plan</w:t>
      </w:r>
      <w:r>
        <w:rPr>
          <w:rFonts w:ascii="Arial" w:cs="Arial" w:eastAsia="Arial" w:hAnsi="Arial"/>
          <w:sz w:val="17"/>
          <w:szCs w:val="17"/>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138430</wp:posOffset>
            </wp:positionV>
            <wp:extent cx="678053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3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STI Metric</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(weighting)</w:t>
      </w:r>
    </w:p>
    <w:p>
      <w:pPr>
        <w:spacing w:after="0" w:line="41" w:lineRule="exact"/>
        <w:rPr>
          <w:sz w:val="20"/>
          <w:szCs w:val="20"/>
          <w:color w:val="auto"/>
        </w:rPr>
      </w:pPr>
    </w:p>
    <w:p>
      <w:pPr>
        <w:ind w:left="280"/>
        <w:spacing w:after="0" w:line="255" w:lineRule="auto"/>
        <w:rPr>
          <w:sz w:val="20"/>
          <w:szCs w:val="20"/>
          <w:color w:val="auto"/>
        </w:rPr>
      </w:pPr>
      <w:r>
        <w:rPr>
          <w:rFonts w:ascii="Arial" w:cs="Arial" w:eastAsia="Arial" w:hAnsi="Arial"/>
          <w:sz w:val="18"/>
          <w:szCs w:val="18"/>
          <w:b w:val="1"/>
          <w:bCs w:val="1"/>
          <w:color w:val="4C4C4C"/>
        </w:rPr>
        <w:t>Expense Target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-6985</wp:posOffset>
            </wp:positionV>
            <wp:extent cx="10198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-272415</wp:posOffset>
            </wp:positionV>
            <wp:extent cx="10198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4C4C4C"/>
        </w:rPr>
        <w:t>Sales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-1905</wp:posOffset>
            </wp:positionV>
            <wp:extent cx="10198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280" w:right="40"/>
        <w:spacing w:after="0" w:line="261" w:lineRule="auto"/>
        <w:rPr>
          <w:sz w:val="20"/>
          <w:szCs w:val="20"/>
          <w:color w:val="auto"/>
        </w:rPr>
      </w:pPr>
      <w:r>
        <w:rPr>
          <w:rFonts w:ascii="Arial" w:cs="Arial" w:eastAsia="Arial" w:hAnsi="Arial"/>
          <w:sz w:val="17"/>
          <w:szCs w:val="17"/>
          <w:b w:val="1"/>
          <w:bCs w:val="1"/>
          <w:color w:val="4C4C4C"/>
        </w:rPr>
        <w:t>Normalized Statutory Earnings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45720</wp:posOffset>
            </wp:positionV>
            <wp:extent cx="25800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65"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color w:val="4C4C4C"/>
        </w:rPr>
        <w:t>Effectively managing our expenses is a core element of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25800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C4C4C"/>
        </w:rPr>
        <w:t>Key driver of growth and franchise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-1905</wp:posOffset>
            </wp:positionV>
            <wp:extent cx="25800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4C4C4C"/>
        </w:rPr>
        <w:t>Important driver of financial strength that measures our insurance companies’ ability to pay future distributions and the effectiveness of our hedging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Exceeded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-125095</wp:posOffset>
            </wp:positionV>
            <wp:extent cx="12941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Exceeded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11430</wp:posOffset>
            </wp:positionV>
            <wp:extent cx="12941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-125095</wp:posOffset>
            </wp:positionV>
            <wp:extent cx="12941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4C4C4C"/>
        </w:rPr>
        <w:t>Between Threshold and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00ADBB"/>
        </w:rPr>
        <w:t xml:space="preserve">Payout Percentage </w:t>
      </w:r>
      <w:r>
        <w:rPr>
          <w:rFonts w:ascii="Arial" w:cs="Arial" w:eastAsia="Arial" w:hAnsi="Arial"/>
          <w:sz w:val="15"/>
          <w:szCs w:val="15"/>
          <w:b w:val="1"/>
          <w:bCs w:val="1"/>
          <w:color w:val="00ADBB"/>
        </w:rPr>
        <w:t>(1)</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4C4C4C"/>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-125095</wp:posOffset>
            </wp:positionV>
            <wp:extent cx="1277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92"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4C4C4C"/>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11430</wp:posOffset>
            </wp:positionV>
            <wp:extent cx="12776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7620"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-125095</wp:posOffset>
            </wp:positionV>
            <wp:extent cx="12776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1"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4C4C4C"/>
        </w:rPr>
        <w:t>83%</w:t>
      </w:r>
    </w:p>
    <w:p>
      <w:pPr>
        <w:spacing w:after="0" w:line="604" w:lineRule="exact"/>
        <w:rPr>
          <w:sz w:val="20"/>
          <w:szCs w:val="20"/>
          <w:color w:val="auto"/>
        </w:rPr>
      </w:pPr>
    </w:p>
    <w:p>
      <w:pPr>
        <w:sectPr>
          <w:pgSz w:w="11900" w:h="16838" w:orient="portrait"/>
          <w:cols w:equalWidth="0" w:num="4">
            <w:col w:w="1620" w:space="700"/>
            <w:col w:w="3940" w:space="460"/>
            <w:col w:w="1660" w:space="660"/>
            <w:col w:w="2100"/>
          </w:cols>
          <w:pgMar w:left="320" w:top="459" w:right="439" w:bottom="1440" w:gutter="0" w:footer="0" w:header="0"/>
          <w:type w:val="continuous"/>
        </w:sectPr>
      </w:pPr>
    </w:p>
    <w:tbl>
      <w:tblPr>
        <w:tblLayout w:type="fixed"/>
        <w:tblInd w:w="280" w:type="dxa"/>
        <w:tblCellMar>
          <w:top w:w="0" w:type="dxa"/>
          <w:left w:w="0" w:type="dxa"/>
          <w:bottom w:w="0" w:type="dxa"/>
          <w:right w:w="0" w:type="dxa"/>
        </w:tblCellMar>
      </w:tblPr>
      <w:tr>
        <w:trPr>
          <w:trHeight w:val="196"/>
        </w:trPr>
        <w:tc>
          <w:tcPr>
            <w:tcW w:w="8360" w:type="dxa"/>
            <w:vAlign w:val="bottom"/>
            <w:tcBorders>
              <w:top w:val="single" w:sz="8" w:color="4C4C4C"/>
              <w:bottom w:val="single" w:sz="8" w:color="4C4C4C"/>
            </w:tcBorders>
            <w:shd w:val="clear" w:color="auto" w:fill="E5F6F8"/>
          </w:tcPr>
          <w:p>
            <w:pPr>
              <w:spacing w:after="0" w:line="196" w:lineRule="exact"/>
              <w:rPr>
                <w:sz w:val="20"/>
                <w:szCs w:val="20"/>
                <w:color w:val="auto"/>
              </w:rPr>
            </w:pPr>
            <w:r>
              <w:rPr>
                <w:rFonts w:ascii="Arial" w:cs="Arial" w:eastAsia="Arial" w:hAnsi="Arial"/>
                <w:sz w:val="18"/>
                <w:szCs w:val="18"/>
                <w:b w:val="1"/>
                <w:bCs w:val="1"/>
                <w:color w:val="4CC5CF"/>
              </w:rPr>
              <w:t>2020 Company Performance Factor</w:t>
            </w:r>
          </w:p>
        </w:tc>
        <w:tc>
          <w:tcPr>
            <w:tcW w:w="300" w:type="dxa"/>
            <w:vAlign w:val="bottom"/>
            <w:tcBorders>
              <w:top w:val="single" w:sz="8" w:color="E5F6F8"/>
            </w:tcBorders>
            <w:shd w:val="clear" w:color="auto" w:fill="E5F6F8"/>
          </w:tcPr>
          <w:p>
            <w:pPr>
              <w:spacing w:after="0"/>
              <w:rPr>
                <w:sz w:val="17"/>
                <w:szCs w:val="17"/>
                <w:color w:val="auto"/>
              </w:rPr>
            </w:pPr>
          </w:p>
        </w:tc>
        <w:tc>
          <w:tcPr>
            <w:tcW w:w="2020" w:type="dxa"/>
            <w:vAlign w:val="bottom"/>
            <w:tcBorders>
              <w:top w:val="single" w:sz="8" w:color="4C4C4C"/>
              <w:bottom w:val="single" w:sz="8" w:color="4C4C4C"/>
            </w:tcBorders>
            <w:shd w:val="clear" w:color="auto" w:fill="E5F6F8"/>
          </w:tcPr>
          <w:p>
            <w:pPr>
              <w:jc w:val="right"/>
              <w:ind w:right="630"/>
              <w:spacing w:after="0" w:line="196" w:lineRule="exact"/>
              <w:rPr>
                <w:sz w:val="20"/>
                <w:szCs w:val="20"/>
                <w:color w:val="auto"/>
              </w:rPr>
            </w:pPr>
            <w:r>
              <w:rPr>
                <w:rFonts w:ascii="Arial" w:cs="Arial" w:eastAsia="Arial" w:hAnsi="Arial"/>
                <w:sz w:val="18"/>
                <w:szCs w:val="18"/>
                <w:b w:val="1"/>
                <w:bCs w:val="1"/>
                <w:color w:val="4CC5CF"/>
              </w:rPr>
              <w:t>110%</w:t>
            </w:r>
          </w:p>
        </w:tc>
      </w:tr>
    </w:tbl>
    <w:p>
      <w:pPr>
        <w:spacing w:after="0" w:line="121" w:lineRule="exact"/>
        <w:rPr>
          <w:sz w:val="20"/>
          <w:szCs w:val="20"/>
          <w:color w:val="auto"/>
        </w:rPr>
      </w:pPr>
    </w:p>
    <w:p>
      <w:pPr>
        <w:ind w:left="700" w:hanging="419"/>
        <w:spacing w:after="0"/>
        <w:tabs>
          <w:tab w:leader="none" w:pos="700" w:val="left"/>
        </w:tabs>
        <w:numPr>
          <w:ilvl w:val="0"/>
          <w:numId w:val="127"/>
        </w:numPr>
        <w:rPr>
          <w:rFonts w:ascii="Arial" w:cs="Arial" w:eastAsia="Arial" w:hAnsi="Arial"/>
          <w:sz w:val="18"/>
          <w:szCs w:val="18"/>
          <w:color w:val="4C4C4C"/>
        </w:rPr>
      </w:pPr>
      <w:r>
        <w:rPr>
          <w:rFonts w:ascii="Arial" w:cs="Arial" w:eastAsia="Arial" w:hAnsi="Arial"/>
          <w:sz w:val="18"/>
          <w:szCs w:val="18"/>
          <w:color w:val="4C4C4C"/>
        </w:rPr>
        <w:t>Rounded to the nearest whole number.</w:t>
      </w:r>
    </w:p>
    <w:p>
      <w:pPr>
        <w:spacing w:after="0" w:line="86" w:lineRule="exact"/>
        <w:rPr>
          <w:sz w:val="20"/>
          <w:szCs w:val="20"/>
          <w:color w:val="auto"/>
        </w:rPr>
      </w:pPr>
    </w:p>
    <w:p>
      <w:pPr>
        <w:ind w:left="280" w:right="360"/>
        <w:spacing w:after="0" w:line="267" w:lineRule="auto"/>
        <w:rPr>
          <w:sz w:val="20"/>
          <w:szCs w:val="20"/>
          <w:color w:val="auto"/>
        </w:rPr>
      </w:pPr>
      <w:r>
        <w:rPr>
          <w:rFonts w:ascii="Arial" w:cs="Arial" w:eastAsia="Arial" w:hAnsi="Arial"/>
          <w:sz w:val="18"/>
          <w:szCs w:val="18"/>
          <w:i w:val="1"/>
          <w:iCs w:val="1"/>
          <w:color w:val="4C4C4C"/>
        </w:rPr>
        <w:t xml:space="preserve">2020 LTI Awards. </w:t>
      </w:r>
      <w:r>
        <w:rPr>
          <w:rFonts w:ascii="Arial" w:cs="Arial" w:eastAsia="Arial" w:hAnsi="Arial"/>
          <w:sz w:val="18"/>
          <w:szCs w:val="18"/>
          <w:color w:val="4C4C4C"/>
        </w:rPr>
        <w:t>In February 2020, the Independent Directors (with respect to the CEO) and the Compensation and Human Capital</w:t>
      </w:r>
      <w:r>
        <w:rPr>
          <w:rFonts w:ascii="Arial" w:cs="Arial" w:eastAsia="Arial" w:hAnsi="Arial"/>
          <w:sz w:val="18"/>
          <w:szCs w:val="18"/>
          <w:i w:val="1"/>
          <w:iCs w:val="1"/>
          <w:color w:val="4C4C4C"/>
        </w:rPr>
        <w:t xml:space="preserve"> </w:t>
      </w:r>
      <w:r>
        <w:rPr>
          <w:rFonts w:ascii="Arial" w:cs="Arial" w:eastAsia="Arial" w:hAnsi="Arial"/>
          <w:sz w:val="18"/>
          <w:szCs w:val="18"/>
          <w:color w:val="4C4C4C"/>
        </w:rPr>
        <w:t>Committee (with respect to the other NEOs) awarded LTI awards to each of the NEOs at their respective Target LTI levels.</w:t>
      </w:r>
    </w:p>
    <w:p>
      <w:pPr>
        <w:spacing w:after="0" w:line="52" w:lineRule="exact"/>
        <w:rPr>
          <w:sz w:val="20"/>
          <w:szCs w:val="20"/>
          <w:color w:val="auto"/>
        </w:rPr>
      </w:pPr>
    </w:p>
    <w:p>
      <w:pPr>
        <w:ind w:left="280" w:right="340"/>
        <w:spacing w:after="0" w:line="242" w:lineRule="auto"/>
        <w:rPr>
          <w:sz w:val="20"/>
          <w:szCs w:val="20"/>
          <w:color w:val="auto"/>
        </w:rPr>
      </w:pPr>
      <w:r>
        <w:rPr>
          <w:rFonts w:ascii="Arial" w:cs="Arial" w:eastAsia="Arial" w:hAnsi="Arial"/>
          <w:sz w:val="18"/>
          <w:szCs w:val="18"/>
          <w:i w:val="1"/>
          <w:iCs w:val="1"/>
          <w:color w:val="4C4C4C"/>
        </w:rPr>
        <w:t xml:space="preserve">2018 PSU Payouts. </w:t>
      </w:r>
      <w:r>
        <w:rPr>
          <w:rFonts w:ascii="Arial" w:cs="Arial" w:eastAsia="Arial" w:hAnsi="Arial"/>
          <w:sz w:val="18"/>
          <w:szCs w:val="18"/>
          <w:color w:val="4C4C4C"/>
        </w:rPr>
        <w:t>In February 2021, the NEOs received payouts with respect to PSUs granted in 2019 as part of the 2018 LTI</w:t>
      </w:r>
      <w:r>
        <w:rPr>
          <w:rFonts w:ascii="Arial" w:cs="Arial" w:eastAsia="Arial" w:hAnsi="Arial"/>
          <w:sz w:val="18"/>
          <w:szCs w:val="18"/>
          <w:i w:val="1"/>
          <w:iCs w:val="1"/>
          <w:color w:val="4C4C4C"/>
        </w:rPr>
        <w:t xml:space="preserve"> </w:t>
      </w:r>
      <w:r>
        <w:rPr>
          <w:rFonts w:ascii="Arial" w:cs="Arial" w:eastAsia="Arial" w:hAnsi="Arial"/>
          <w:sz w:val="18"/>
          <w:szCs w:val="18"/>
          <w:color w:val="4C4C4C"/>
        </w:rPr>
        <w:t>program. The value of these PSUs was based on the Company’s performance for the 2018-2020 performance period against PSU metrics approved by the Compensation and Human Capital Committee and described below. For information about our performance against these metrics and payout percentages, see “</w:t>
      </w:r>
      <w:r>
        <w:rPr>
          <w:rFonts w:ascii="Arial" w:cs="Arial" w:eastAsia="Arial" w:hAnsi="Arial"/>
          <w:sz w:val="18"/>
          <w:szCs w:val="18"/>
          <w:color w:val="00ADBB"/>
        </w:rPr>
        <w:t>Compensation Discussion and Analysis – Section 2 – Our 2020 Executive</w:t>
      </w:r>
      <w:r>
        <w:rPr>
          <w:rFonts w:ascii="Arial" w:cs="Arial" w:eastAsia="Arial" w:hAnsi="Arial"/>
          <w:sz w:val="18"/>
          <w:szCs w:val="18"/>
          <w:color w:val="4C4C4C"/>
        </w:rPr>
        <w:t xml:space="preserve"> </w:t>
      </w:r>
      <w:r>
        <w:rPr>
          <w:rFonts w:ascii="Arial" w:cs="Arial" w:eastAsia="Arial" w:hAnsi="Arial"/>
          <w:sz w:val="18"/>
          <w:szCs w:val="18"/>
          <w:color w:val="00ADBB"/>
        </w:rPr>
        <w:t>Compensation Program – Elements of 2020 Compensation – 2018 PSU Payouts.</w:t>
      </w:r>
      <w:r>
        <w:rPr>
          <w:rFonts w:ascii="Arial" w:cs="Arial" w:eastAsia="Arial" w:hAnsi="Arial"/>
          <w:sz w:val="18"/>
          <w:szCs w:val="18"/>
          <w:color w:val="4C4C4C"/>
        </w:rPr>
        <w:t>”</w:t>
      </w: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46 | 2021 Proxy Statement</w:t>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Brighthouse Financial, Inc.</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176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00ADBB"/>
              </w:rPr>
              <w:t>2018 PSU Metrics</w:t>
            </w:r>
          </w:p>
        </w:tc>
        <w:tc>
          <w:tcPr>
            <w:tcW w:w="360" w:type="dxa"/>
            <w:vAlign w:val="bottom"/>
          </w:tcPr>
          <w:p>
            <w:pPr>
              <w:spacing w:after="0"/>
              <w:rPr>
                <w:sz w:val="23"/>
                <w:szCs w:val="23"/>
                <w:color w:val="auto"/>
              </w:rPr>
            </w:pPr>
          </w:p>
        </w:tc>
        <w:tc>
          <w:tcPr>
            <w:tcW w:w="1100" w:type="dxa"/>
            <w:vAlign w:val="bottom"/>
            <w:tcBorders>
              <w:top w:val="single" w:sz="8" w:color="00ADBB"/>
            </w:tcBorders>
          </w:tcPr>
          <w:p>
            <w:pPr>
              <w:jc w:val="right"/>
              <w:ind w:right="30"/>
              <w:spacing w:after="0"/>
              <w:rPr>
                <w:sz w:val="20"/>
                <w:szCs w:val="20"/>
                <w:color w:val="auto"/>
              </w:rPr>
            </w:pPr>
            <w:r>
              <w:rPr>
                <w:rFonts w:ascii="Arial" w:cs="Arial" w:eastAsia="Arial" w:hAnsi="Arial"/>
                <w:sz w:val="18"/>
                <w:szCs w:val="18"/>
                <w:b w:val="1"/>
                <w:bCs w:val="1"/>
                <w:color w:val="00ADBB"/>
              </w:rPr>
              <w:t>Weighting</w:t>
            </w:r>
          </w:p>
        </w:tc>
        <w:tc>
          <w:tcPr>
            <w:tcW w:w="0" w:type="dxa"/>
            <w:vAlign w:val="bottom"/>
          </w:tcPr>
          <w:p>
            <w:pPr>
              <w:spacing w:after="0"/>
              <w:rPr>
                <w:sz w:val="1"/>
                <w:szCs w:val="1"/>
                <w:color w:val="auto"/>
              </w:rPr>
            </w:pPr>
          </w:p>
        </w:tc>
      </w:tr>
      <w:tr>
        <w:trPr>
          <w:trHeight w:val="31"/>
        </w:trPr>
        <w:tc>
          <w:tcPr>
            <w:tcW w:w="1760" w:type="dxa"/>
            <w:vAlign w:val="bottom"/>
            <w:tcBorders>
              <w:bottom w:val="single" w:sz="8" w:color="4C4C4C"/>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1100" w:type="dxa"/>
            <w:vAlign w:val="bottom"/>
            <w:tcBorders>
              <w:bottom w:val="single" w:sz="8" w:color="4C4C4C"/>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line="173" w:lineRule="exact"/>
              <w:rPr>
                <w:sz w:val="20"/>
                <w:szCs w:val="20"/>
                <w:color w:val="auto"/>
              </w:rPr>
            </w:pPr>
            <w:r>
              <w:rPr>
                <w:rFonts w:ascii="Arial" w:cs="Arial" w:eastAsia="Arial" w:hAnsi="Arial"/>
                <w:sz w:val="18"/>
                <w:szCs w:val="18"/>
                <w:b w:val="1"/>
                <w:bCs w:val="1"/>
                <w:color w:val="4C4C4C"/>
              </w:rPr>
              <w:t>Corporate Expense</w:t>
            </w:r>
          </w:p>
        </w:tc>
        <w:tc>
          <w:tcPr>
            <w:tcW w:w="360" w:type="dxa"/>
            <w:vAlign w:val="bottom"/>
            <w:vMerge w:val="continue"/>
          </w:tcPr>
          <w:p>
            <w:pPr>
              <w:spacing w:after="0"/>
              <w:rPr>
                <w:sz w:val="15"/>
                <w:szCs w:val="15"/>
                <w:color w:val="auto"/>
              </w:rPr>
            </w:pPr>
          </w:p>
        </w:tc>
        <w:tc>
          <w:tcPr>
            <w:tcW w:w="1100" w:type="dxa"/>
            <w:vAlign w:val="bottom"/>
          </w:tcPr>
          <w:p>
            <w:pPr>
              <w:jc w:val="right"/>
              <w:ind w:right="230"/>
              <w:spacing w:after="0" w:line="173" w:lineRule="exact"/>
              <w:rPr>
                <w:sz w:val="20"/>
                <w:szCs w:val="20"/>
                <w:color w:val="auto"/>
              </w:rPr>
            </w:pPr>
            <w:r>
              <w:rPr>
                <w:rFonts w:ascii="Arial" w:cs="Arial" w:eastAsia="Arial" w:hAnsi="Arial"/>
                <w:sz w:val="18"/>
                <w:szCs w:val="18"/>
                <w:color w:val="4C4C4C"/>
              </w:rPr>
              <w:t>60%</w:t>
            </w:r>
          </w:p>
        </w:tc>
        <w:tc>
          <w:tcPr>
            <w:tcW w:w="0" w:type="dxa"/>
            <w:vAlign w:val="bottom"/>
          </w:tcPr>
          <w:p>
            <w:pPr>
              <w:spacing w:after="0"/>
              <w:rPr>
                <w:sz w:val="1"/>
                <w:szCs w:val="1"/>
                <w:color w:val="auto"/>
              </w:rPr>
            </w:pPr>
          </w:p>
        </w:tc>
      </w:tr>
      <w:tr>
        <w:trPr>
          <w:trHeight w:val="239"/>
        </w:trPr>
        <w:tc>
          <w:tcPr>
            <w:tcW w:w="2120" w:type="dxa"/>
            <w:vAlign w:val="bottom"/>
            <w:gridSpan w:val="2"/>
          </w:tcPr>
          <w:p>
            <w:pPr>
              <w:spacing w:after="0"/>
              <w:rPr>
                <w:sz w:val="20"/>
                <w:szCs w:val="20"/>
                <w:color w:val="auto"/>
              </w:rPr>
            </w:pPr>
            <w:r>
              <w:rPr>
                <w:rFonts w:ascii="Arial" w:cs="Arial" w:eastAsia="Arial" w:hAnsi="Arial"/>
                <w:sz w:val="18"/>
                <w:szCs w:val="18"/>
                <w:b w:val="1"/>
                <w:bCs w:val="1"/>
                <w:color w:val="4C4C4C"/>
              </w:rPr>
              <w:t>Reduction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1760" w:type="dxa"/>
            <w:vAlign w:val="bottom"/>
            <w:tcBorders>
              <w:top w:val="single" w:sz="8" w:color="4C4C4C"/>
            </w:tcBorders>
          </w:tcPr>
          <w:p>
            <w:pPr>
              <w:spacing w:after="0"/>
              <w:rPr>
                <w:sz w:val="20"/>
                <w:szCs w:val="20"/>
                <w:color w:val="auto"/>
              </w:rPr>
            </w:pPr>
            <w:r>
              <w:rPr>
                <w:rFonts w:ascii="Arial" w:cs="Arial" w:eastAsia="Arial" w:hAnsi="Arial"/>
                <w:sz w:val="18"/>
                <w:szCs w:val="18"/>
                <w:b w:val="1"/>
                <w:bCs w:val="1"/>
                <w:color w:val="4C4C4C"/>
              </w:rPr>
              <w:t>Capital Return</w:t>
            </w:r>
          </w:p>
        </w:tc>
        <w:tc>
          <w:tcPr>
            <w:tcW w:w="360" w:type="dxa"/>
            <w:vAlign w:val="bottom"/>
          </w:tcPr>
          <w:p>
            <w:pPr>
              <w:spacing w:after="0"/>
              <w:rPr>
                <w:sz w:val="21"/>
                <w:szCs w:val="21"/>
                <w:color w:val="auto"/>
              </w:rPr>
            </w:pPr>
          </w:p>
        </w:tc>
        <w:tc>
          <w:tcPr>
            <w:tcW w:w="1100" w:type="dxa"/>
            <w:vAlign w:val="bottom"/>
            <w:tcBorders>
              <w:top w:val="single" w:sz="8" w:color="4C4C4C"/>
            </w:tcBorders>
          </w:tcPr>
          <w:p>
            <w:pPr>
              <w:jc w:val="right"/>
              <w:ind w:right="230"/>
              <w:spacing w:after="0"/>
              <w:rPr>
                <w:sz w:val="20"/>
                <w:szCs w:val="20"/>
                <w:color w:val="auto"/>
              </w:rPr>
            </w:pPr>
            <w:r>
              <w:rPr>
                <w:rFonts w:ascii="Arial" w:cs="Arial" w:eastAsia="Arial" w:hAnsi="Arial"/>
                <w:sz w:val="18"/>
                <w:szCs w:val="18"/>
                <w:color w:val="4C4C4C"/>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20485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45720</wp:posOffset>
            </wp:positionV>
            <wp:extent cx="22288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-142240</wp:posOffset>
            </wp:positionV>
            <wp:extent cx="222885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4C4C4C"/>
        </w:rPr>
        <w:t>Reduction in run-rate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640715</wp:posOffset>
            </wp:positionV>
            <wp:extent cx="22288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7"/>
          <w:szCs w:val="17"/>
          <w:color w:val="4C4C4C"/>
        </w:rPr>
        <w:t>Return of capital to stockholders, including through stock repurchases 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102870</wp:posOffset>
            </wp:positionV>
            <wp:extent cx="22288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ind w:left="1140"/>
        <w:spacing w:after="0" w:line="286" w:lineRule="auto"/>
        <w:rPr>
          <w:sz w:val="20"/>
          <w:szCs w:val="20"/>
          <w:color w:val="auto"/>
        </w:rPr>
      </w:pPr>
      <w:r>
        <w:rPr>
          <w:rFonts w:ascii="Arial" w:cs="Arial" w:eastAsia="Arial" w:hAnsi="Arial"/>
          <w:sz w:val="12"/>
          <w:szCs w:val="12"/>
          <w:b w:val="1"/>
          <w:bCs w:val="1"/>
          <w:color w:val="00ADBB"/>
        </w:rPr>
        <w:t>Compensation Discussion and Analysis Section 1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139700</wp:posOffset>
            </wp:positionV>
            <wp:extent cx="230568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05685"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45720</wp:posOffset>
            </wp:positionV>
            <wp:extent cx="23056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4C4C4C"/>
        </w:rPr>
        <w:t>Expense reduction has been a core element of our strategy since Brighthouse’s establishment. The target aligns with Brighthouse’s publicly disclosed target of reducing run-rate expenses by $150 million by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-6350</wp:posOffset>
            </wp:positionV>
            <wp:extent cx="23056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right="280"/>
        <w:spacing w:after="0"/>
        <w:rPr>
          <w:sz w:val="20"/>
          <w:szCs w:val="20"/>
          <w:color w:val="auto"/>
        </w:rPr>
      </w:pPr>
      <w:r>
        <w:rPr>
          <w:rFonts w:ascii="Arial" w:cs="Arial" w:eastAsia="Arial" w:hAnsi="Arial"/>
          <w:sz w:val="18"/>
          <w:szCs w:val="18"/>
          <w:color w:val="4C4C4C"/>
        </w:rPr>
        <w:t>The metric measures alignment of our financial and operational goals with long-term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-7620</wp:posOffset>
            </wp:positionV>
            <wp:extent cx="23056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3">
            <w:col w:w="3340" w:space="440"/>
            <w:col w:w="3380" w:space="440"/>
            <w:col w:w="35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4C4C4C"/>
        </w:rPr>
        <w:t>CEO Compensation</w:t>
      </w:r>
    </w:p>
    <w:p>
      <w:pPr>
        <w:spacing w:after="0" w:line="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4C4C4C"/>
        </w:rPr>
        <w:t xml:space="preserve">2020 Target TDC. </w:t>
      </w:r>
      <w:r>
        <w:rPr>
          <w:rFonts w:ascii="Arial" w:cs="Arial" w:eastAsia="Arial" w:hAnsi="Arial"/>
          <w:sz w:val="18"/>
          <w:szCs w:val="18"/>
          <w:color w:val="4C4C4C"/>
        </w:rPr>
        <w:t>In January 2020, as part of the annual compensation planning process, the Independent Directors, on the</w:t>
      </w:r>
      <w:r>
        <w:rPr>
          <w:rFonts w:ascii="Arial" w:cs="Arial" w:eastAsia="Arial" w:hAnsi="Arial"/>
          <w:sz w:val="18"/>
          <w:szCs w:val="18"/>
          <w:i w:val="1"/>
          <w:iCs w:val="1"/>
          <w:color w:val="4C4C4C"/>
        </w:rPr>
        <w:t xml:space="preserve"> </w:t>
      </w:r>
      <w:r>
        <w:rPr>
          <w:rFonts w:ascii="Arial" w:cs="Arial" w:eastAsia="Arial" w:hAnsi="Arial"/>
          <w:sz w:val="18"/>
          <w:szCs w:val="18"/>
          <w:color w:val="4C4C4C"/>
        </w:rPr>
        <w:t>recommendation of the Compensation and Human Capital Committee, approved an increase to Mr. Steigerwalt’s 2020 Target TDC to align it more closely with market median in accordance with our pay positioning strategy. This was the first change to Mr. Steigerwalt’s Target TDC since we became an independent, public company. Mr. Steigerwalt’s 2020 Target TDC is described in the following table (changes from his 2019 Target TDC are indicated, where applicable).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00" w:type="dxa"/>
            <w:vAlign w:val="bottom"/>
            <w:shd w:val="clear" w:color="auto" w:fill="00ADBB"/>
          </w:tcPr>
          <w:p>
            <w:pPr>
              <w:spacing w:after="0"/>
              <w:rPr>
                <w:sz w:val="17"/>
                <w:szCs w:val="17"/>
                <w:color w:val="auto"/>
              </w:rPr>
            </w:pPr>
          </w:p>
        </w:tc>
        <w:tc>
          <w:tcPr>
            <w:tcW w:w="2160" w:type="dxa"/>
            <w:vAlign w:val="bottom"/>
            <w:shd w:val="clear" w:color="auto" w:fill="00ADBB"/>
          </w:tcPr>
          <w:p>
            <w:pPr>
              <w:spacing w:after="0"/>
              <w:rPr>
                <w:sz w:val="17"/>
                <w:szCs w:val="17"/>
                <w:color w:val="auto"/>
              </w:rPr>
            </w:pPr>
          </w:p>
        </w:tc>
        <w:tc>
          <w:tcPr>
            <w:tcW w:w="2400" w:type="dxa"/>
            <w:vAlign w:val="bottom"/>
            <w:shd w:val="clear" w:color="auto" w:fill="00ADBB"/>
          </w:tcPr>
          <w:p>
            <w:pPr>
              <w:jc w:val="center"/>
              <w:ind w:left="90"/>
              <w:spacing w:after="0"/>
              <w:rPr>
                <w:sz w:val="20"/>
                <w:szCs w:val="20"/>
                <w:color w:val="auto"/>
              </w:rPr>
            </w:pPr>
            <w:r>
              <w:rPr>
                <w:rFonts w:ascii="Arial" w:cs="Arial" w:eastAsia="Arial" w:hAnsi="Arial"/>
                <w:sz w:val="18"/>
                <w:szCs w:val="18"/>
                <w:b w:val="1"/>
                <w:bCs w:val="1"/>
                <w:color w:val="FFFFFF"/>
                <w:w w:val="97"/>
              </w:rPr>
              <w:t>Target STI</w:t>
            </w:r>
          </w:p>
        </w:tc>
        <w:tc>
          <w:tcPr>
            <w:tcW w:w="2420" w:type="dxa"/>
            <w:vAlign w:val="bottom"/>
            <w:shd w:val="clear" w:color="auto" w:fill="00ADBB"/>
          </w:tcPr>
          <w:p>
            <w:pPr>
              <w:jc w:val="center"/>
              <w:ind w:right="130"/>
              <w:spacing w:after="0"/>
              <w:rPr>
                <w:sz w:val="20"/>
                <w:szCs w:val="20"/>
                <w:color w:val="auto"/>
              </w:rPr>
            </w:pPr>
            <w:r>
              <w:rPr>
                <w:rFonts w:ascii="Arial" w:cs="Arial" w:eastAsia="Arial" w:hAnsi="Arial"/>
                <w:sz w:val="18"/>
                <w:szCs w:val="18"/>
                <w:b w:val="1"/>
                <w:bCs w:val="1"/>
                <w:color w:val="FFFFFF"/>
                <w:w w:val="96"/>
              </w:rPr>
              <w:t>Target LTI</w:t>
            </w:r>
          </w:p>
        </w:tc>
        <w:tc>
          <w:tcPr>
            <w:tcW w:w="1940" w:type="dxa"/>
            <w:vAlign w:val="bottom"/>
            <w:shd w:val="clear" w:color="auto" w:fill="00ADBB"/>
          </w:tcPr>
          <w:p>
            <w:pPr>
              <w:spacing w:after="0"/>
              <w:rPr>
                <w:sz w:val="17"/>
                <w:szCs w:val="17"/>
                <w:color w:val="auto"/>
              </w:rPr>
            </w:pPr>
          </w:p>
        </w:tc>
      </w:tr>
      <w:tr>
        <w:trPr>
          <w:trHeight w:val="239"/>
        </w:trPr>
        <w:tc>
          <w:tcPr>
            <w:tcW w:w="210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Name</w:t>
            </w:r>
          </w:p>
        </w:tc>
        <w:tc>
          <w:tcPr>
            <w:tcW w:w="2160" w:type="dxa"/>
            <w:vAlign w:val="bottom"/>
            <w:shd w:val="clear" w:color="auto" w:fill="00ADBB"/>
          </w:tcPr>
          <w:p>
            <w:pPr>
              <w:jc w:val="right"/>
              <w:ind w:right="310"/>
              <w:spacing w:after="0"/>
              <w:rPr>
                <w:sz w:val="20"/>
                <w:szCs w:val="20"/>
                <w:color w:val="auto"/>
              </w:rPr>
            </w:pPr>
            <w:r>
              <w:rPr>
                <w:rFonts w:ascii="Arial" w:cs="Arial" w:eastAsia="Arial" w:hAnsi="Arial"/>
                <w:sz w:val="18"/>
                <w:szCs w:val="18"/>
                <w:b w:val="1"/>
                <w:bCs w:val="1"/>
                <w:color w:val="FFFFFF"/>
              </w:rPr>
              <w:t>Base Salary</w:t>
            </w:r>
          </w:p>
        </w:tc>
        <w:tc>
          <w:tcPr>
            <w:tcW w:w="2400" w:type="dxa"/>
            <w:vAlign w:val="bottom"/>
            <w:shd w:val="clear" w:color="auto" w:fill="00ADBB"/>
          </w:tcPr>
          <w:p>
            <w:pPr>
              <w:jc w:val="center"/>
              <w:ind w:left="90"/>
              <w:spacing w:after="0"/>
              <w:rPr>
                <w:sz w:val="20"/>
                <w:szCs w:val="20"/>
                <w:color w:val="auto"/>
              </w:rPr>
            </w:pPr>
            <w:r>
              <w:rPr>
                <w:rFonts w:ascii="Arial" w:cs="Arial" w:eastAsia="Arial" w:hAnsi="Arial"/>
                <w:sz w:val="18"/>
                <w:szCs w:val="18"/>
                <w:b w:val="1"/>
                <w:bCs w:val="1"/>
                <w:color w:val="FFFFFF"/>
                <w:w w:val="99"/>
              </w:rPr>
              <w:t>(as % of Base Salary)</w:t>
            </w:r>
          </w:p>
        </w:tc>
        <w:tc>
          <w:tcPr>
            <w:tcW w:w="2420" w:type="dxa"/>
            <w:vAlign w:val="bottom"/>
            <w:shd w:val="clear" w:color="auto" w:fill="00ADBB"/>
          </w:tcPr>
          <w:p>
            <w:pPr>
              <w:jc w:val="center"/>
              <w:ind w:right="110"/>
              <w:spacing w:after="0"/>
              <w:rPr>
                <w:sz w:val="20"/>
                <w:szCs w:val="20"/>
                <w:color w:val="auto"/>
              </w:rPr>
            </w:pPr>
            <w:r>
              <w:rPr>
                <w:rFonts w:ascii="Arial" w:cs="Arial" w:eastAsia="Arial" w:hAnsi="Arial"/>
                <w:sz w:val="18"/>
                <w:szCs w:val="18"/>
                <w:b w:val="1"/>
                <w:bCs w:val="1"/>
                <w:color w:val="FFFFFF"/>
                <w:w w:val="99"/>
              </w:rPr>
              <w:t>(as % of Base Salary)</w:t>
            </w:r>
          </w:p>
        </w:tc>
        <w:tc>
          <w:tcPr>
            <w:tcW w:w="1940" w:type="dxa"/>
            <w:vAlign w:val="bottom"/>
            <w:shd w:val="clear" w:color="auto" w:fill="00ADBB"/>
          </w:tcPr>
          <w:p>
            <w:pPr>
              <w:ind w:left="400"/>
              <w:spacing w:after="0"/>
              <w:rPr>
                <w:sz w:val="20"/>
                <w:szCs w:val="20"/>
                <w:color w:val="auto"/>
              </w:rPr>
            </w:pPr>
            <w:r>
              <w:rPr>
                <w:rFonts w:ascii="Arial" w:cs="Arial" w:eastAsia="Arial" w:hAnsi="Arial"/>
                <w:sz w:val="18"/>
                <w:szCs w:val="18"/>
                <w:b w:val="1"/>
                <w:bCs w:val="1"/>
                <w:color w:val="FFFFFF"/>
              </w:rPr>
              <w:t>Target TDC</w:t>
            </w:r>
          </w:p>
        </w:tc>
      </w:tr>
      <w:tr>
        <w:trPr>
          <w:trHeight w:val="202"/>
        </w:trPr>
        <w:tc>
          <w:tcPr>
            <w:tcW w:w="2100" w:type="dxa"/>
            <w:vAlign w:val="bottom"/>
          </w:tcPr>
          <w:p>
            <w:pPr>
              <w:ind w:left="100"/>
              <w:spacing w:after="0" w:line="201" w:lineRule="exact"/>
              <w:rPr>
                <w:sz w:val="20"/>
                <w:szCs w:val="20"/>
                <w:color w:val="auto"/>
              </w:rPr>
            </w:pPr>
            <w:r>
              <w:rPr>
                <w:rFonts w:ascii="Arial" w:cs="Arial" w:eastAsia="Arial" w:hAnsi="Arial"/>
                <w:sz w:val="18"/>
                <w:szCs w:val="18"/>
                <w:color w:val="4C4C4C"/>
              </w:rPr>
              <w:t>Eric Steigerwalt</w:t>
            </w:r>
          </w:p>
        </w:tc>
        <w:tc>
          <w:tcPr>
            <w:tcW w:w="2160" w:type="dxa"/>
            <w:vAlign w:val="bottom"/>
          </w:tcPr>
          <w:p>
            <w:pPr>
              <w:jc w:val="right"/>
              <w:ind w:right="450"/>
              <w:spacing w:after="0" w:line="201" w:lineRule="exact"/>
              <w:rPr>
                <w:sz w:val="20"/>
                <w:szCs w:val="20"/>
                <w:color w:val="auto"/>
              </w:rPr>
            </w:pPr>
            <w:r>
              <w:rPr>
                <w:rFonts w:ascii="Arial" w:cs="Arial" w:eastAsia="Arial" w:hAnsi="Arial"/>
                <w:sz w:val="18"/>
                <w:szCs w:val="18"/>
                <w:color w:val="4C4C4C"/>
              </w:rPr>
              <w:t>$925,000</w:t>
            </w:r>
          </w:p>
        </w:tc>
        <w:tc>
          <w:tcPr>
            <w:tcW w:w="2400" w:type="dxa"/>
            <w:vAlign w:val="bottom"/>
          </w:tcPr>
          <w:p>
            <w:pPr>
              <w:jc w:val="center"/>
              <w:ind w:left="90"/>
              <w:spacing w:after="0" w:line="201" w:lineRule="exact"/>
              <w:rPr>
                <w:sz w:val="20"/>
                <w:szCs w:val="20"/>
                <w:color w:val="auto"/>
              </w:rPr>
            </w:pPr>
            <w:r>
              <w:rPr>
                <w:rFonts w:ascii="Arial" w:cs="Arial" w:eastAsia="Arial" w:hAnsi="Arial"/>
                <w:sz w:val="18"/>
                <w:szCs w:val="18"/>
                <w:color w:val="4C4C4C"/>
                <w:w w:val="99"/>
              </w:rPr>
              <w:t>200%</w:t>
            </w:r>
          </w:p>
        </w:tc>
        <w:tc>
          <w:tcPr>
            <w:tcW w:w="2420" w:type="dxa"/>
            <w:vAlign w:val="bottom"/>
          </w:tcPr>
          <w:p>
            <w:pPr>
              <w:jc w:val="center"/>
              <w:ind w:right="110"/>
              <w:spacing w:after="0" w:line="201" w:lineRule="exact"/>
              <w:rPr>
                <w:sz w:val="20"/>
                <w:szCs w:val="20"/>
                <w:color w:val="auto"/>
              </w:rPr>
            </w:pPr>
            <w:r>
              <w:rPr>
                <w:rFonts w:ascii="Arial" w:cs="Arial" w:eastAsia="Arial" w:hAnsi="Arial"/>
                <w:sz w:val="18"/>
                <w:szCs w:val="18"/>
                <w:color w:val="4C4C4C"/>
                <w:w w:val="99"/>
              </w:rPr>
              <w:t>530%</w:t>
            </w:r>
          </w:p>
        </w:tc>
        <w:tc>
          <w:tcPr>
            <w:tcW w:w="1940" w:type="dxa"/>
            <w:vAlign w:val="bottom"/>
          </w:tcPr>
          <w:p>
            <w:pPr>
              <w:jc w:val="right"/>
              <w:ind w:right="510"/>
              <w:spacing w:after="0" w:line="201" w:lineRule="exact"/>
              <w:rPr>
                <w:sz w:val="20"/>
                <w:szCs w:val="20"/>
                <w:color w:val="auto"/>
              </w:rPr>
            </w:pPr>
            <w:r>
              <w:rPr>
                <w:rFonts w:ascii="Arial" w:cs="Arial" w:eastAsia="Arial" w:hAnsi="Arial"/>
                <w:sz w:val="18"/>
                <w:szCs w:val="18"/>
                <w:color w:val="4C4C4C"/>
              </w:rPr>
              <w:t>$7,677,500</w:t>
            </w:r>
          </w:p>
        </w:tc>
      </w:tr>
      <w:tr>
        <w:trPr>
          <w:trHeight w:val="217"/>
        </w:trPr>
        <w:tc>
          <w:tcPr>
            <w:tcW w:w="2100" w:type="dxa"/>
            <w:vAlign w:val="bottom"/>
            <w:tcBorders>
              <w:bottom w:val="single" w:sz="8" w:color="4C4C4C"/>
            </w:tcBorders>
          </w:tcPr>
          <w:p>
            <w:pPr>
              <w:spacing w:after="0"/>
              <w:rPr>
                <w:sz w:val="18"/>
                <w:szCs w:val="18"/>
                <w:color w:val="auto"/>
              </w:rPr>
            </w:pPr>
          </w:p>
        </w:tc>
        <w:tc>
          <w:tcPr>
            <w:tcW w:w="2160" w:type="dxa"/>
            <w:vAlign w:val="bottom"/>
            <w:tcBorders>
              <w:bottom w:val="single" w:sz="8" w:color="4C4C4C"/>
            </w:tcBorders>
          </w:tcPr>
          <w:p>
            <w:pPr>
              <w:jc w:val="right"/>
              <w:ind w:right="390"/>
              <w:spacing w:after="0"/>
              <w:rPr>
                <w:sz w:val="20"/>
                <w:szCs w:val="20"/>
                <w:color w:val="auto"/>
              </w:rPr>
            </w:pPr>
            <w:r>
              <w:rPr>
                <w:rFonts w:ascii="Arial" w:cs="Arial" w:eastAsia="Arial" w:hAnsi="Arial"/>
                <w:sz w:val="18"/>
                <w:szCs w:val="18"/>
                <w:color w:val="4C4C4C"/>
              </w:rPr>
              <w:t>(+$25,000)</w:t>
            </w:r>
          </w:p>
        </w:tc>
        <w:tc>
          <w:tcPr>
            <w:tcW w:w="2400" w:type="dxa"/>
            <w:vAlign w:val="bottom"/>
            <w:tcBorders>
              <w:bottom w:val="single" w:sz="8" w:color="4C4C4C"/>
            </w:tcBorders>
          </w:tcPr>
          <w:p>
            <w:pPr>
              <w:spacing w:after="0"/>
              <w:rPr>
                <w:sz w:val="18"/>
                <w:szCs w:val="18"/>
                <w:color w:val="auto"/>
              </w:rPr>
            </w:pPr>
          </w:p>
        </w:tc>
        <w:tc>
          <w:tcPr>
            <w:tcW w:w="2420" w:type="dxa"/>
            <w:vAlign w:val="bottom"/>
            <w:tcBorders>
              <w:bottom w:val="single" w:sz="8" w:color="4C4C4C"/>
            </w:tcBorders>
          </w:tcPr>
          <w:p>
            <w:pPr>
              <w:jc w:val="center"/>
              <w:ind w:right="130"/>
              <w:spacing w:after="0"/>
              <w:rPr>
                <w:sz w:val="20"/>
                <w:szCs w:val="20"/>
                <w:color w:val="auto"/>
              </w:rPr>
            </w:pPr>
            <w:r>
              <w:rPr>
                <w:rFonts w:ascii="Arial" w:cs="Arial" w:eastAsia="Arial" w:hAnsi="Arial"/>
                <w:sz w:val="18"/>
                <w:szCs w:val="18"/>
                <w:color w:val="4C4C4C"/>
              </w:rPr>
              <w:t>(+30% of base salary)</w:t>
            </w:r>
          </w:p>
        </w:tc>
        <w:tc>
          <w:tcPr>
            <w:tcW w:w="1940" w:type="dxa"/>
            <w:vAlign w:val="bottom"/>
            <w:tcBorders>
              <w:bottom w:val="single" w:sz="8" w:color="4C4C4C"/>
            </w:tcBorders>
          </w:tcPr>
          <w:p>
            <w:pPr>
              <w:jc w:val="right"/>
              <w:ind w:right="470"/>
              <w:spacing w:after="0"/>
              <w:rPr>
                <w:sz w:val="20"/>
                <w:szCs w:val="20"/>
                <w:color w:val="auto"/>
              </w:rPr>
            </w:pPr>
            <w:r>
              <w:rPr>
                <w:rFonts w:ascii="Arial" w:cs="Arial" w:eastAsia="Arial" w:hAnsi="Arial"/>
                <w:sz w:val="18"/>
                <w:szCs w:val="18"/>
                <w:color w:val="4C4C4C"/>
              </w:rPr>
              <w:t>(+$477,500)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-539115</wp:posOffset>
            </wp:positionV>
            <wp:extent cx="8255" cy="265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-539115</wp:posOffset>
            </wp:positionV>
            <wp:extent cx="8255" cy="265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-539115</wp:posOffset>
            </wp:positionV>
            <wp:extent cx="8890" cy="265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26543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-539115</wp:posOffset>
            </wp:positionV>
            <wp:extent cx="8890" cy="265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177"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i w:val="1"/>
          <w:iCs w:val="1"/>
          <w:color w:val="4C4C4C"/>
        </w:rPr>
        <w:t xml:space="preserve">2020 STI Award. </w:t>
      </w:r>
      <w:r>
        <w:rPr>
          <w:rFonts w:ascii="Arial" w:cs="Arial" w:eastAsia="Arial" w:hAnsi="Arial"/>
          <w:sz w:val="18"/>
          <w:szCs w:val="18"/>
          <w:color w:val="4C4C4C"/>
        </w:rPr>
        <w:t>Mr. Steigerwalt’s individual goals for 2020 were a mix of strategic and operational objectives that measured his</w:t>
      </w:r>
      <w:r>
        <w:rPr>
          <w:rFonts w:ascii="Arial" w:cs="Arial" w:eastAsia="Arial" w:hAnsi="Arial"/>
          <w:sz w:val="18"/>
          <w:szCs w:val="18"/>
          <w:i w:val="1"/>
          <w:iCs w:val="1"/>
          <w:color w:val="4C4C4C"/>
        </w:rPr>
        <w:t xml:space="preserve"> </w:t>
      </w:r>
      <w:r>
        <w:rPr>
          <w:rFonts w:ascii="Arial" w:cs="Arial" w:eastAsia="Arial" w:hAnsi="Arial"/>
          <w:sz w:val="18"/>
          <w:szCs w:val="18"/>
          <w:color w:val="4C4C4C"/>
        </w:rPr>
        <w:t>performance in leading Brighthouse, developing and executing Brighthouse’s strategy, and delivering positive financial results. In setting the STI payout percentage at the Company Performance Factor of 110%, the Independent Directors considered Brighthouse’s performance against the 2020 STI Metrics and Mr. Steigerwalt’s achievements against his 2020 goals. The following table highlights Mr. Steigerwalt’s 2020 STI Award for performance in 2020, as approved by the Independent Directors in January 2021.</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40" w:type="dxa"/>
            <w:vAlign w:val="bottom"/>
            <w:shd w:val="clear" w:color="auto" w:fill="00ADBB"/>
          </w:tcPr>
          <w:p>
            <w:pPr>
              <w:spacing w:after="0"/>
              <w:rPr>
                <w:sz w:val="18"/>
                <w:szCs w:val="18"/>
                <w:color w:val="auto"/>
              </w:rPr>
            </w:pPr>
          </w:p>
        </w:tc>
        <w:tc>
          <w:tcPr>
            <w:tcW w:w="3120" w:type="dxa"/>
            <w:vAlign w:val="bottom"/>
            <w:shd w:val="clear" w:color="auto" w:fill="00ADBB"/>
          </w:tcPr>
          <w:p>
            <w:pPr>
              <w:spacing w:after="0"/>
              <w:rPr>
                <w:sz w:val="18"/>
                <w:szCs w:val="18"/>
                <w:color w:val="auto"/>
              </w:rPr>
            </w:pPr>
          </w:p>
        </w:tc>
        <w:tc>
          <w:tcPr>
            <w:tcW w:w="278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2020 STI Payout</w:t>
            </w:r>
          </w:p>
        </w:tc>
        <w:tc>
          <w:tcPr>
            <w:tcW w:w="2680" w:type="dxa"/>
            <w:vAlign w:val="bottom"/>
            <w:shd w:val="clear" w:color="auto" w:fill="00ADBB"/>
          </w:tcPr>
          <w:p>
            <w:pPr>
              <w:spacing w:after="0"/>
              <w:rPr>
                <w:sz w:val="18"/>
                <w:szCs w:val="18"/>
                <w:color w:val="auto"/>
              </w:rPr>
            </w:pPr>
          </w:p>
        </w:tc>
      </w:tr>
      <w:tr>
        <w:trPr>
          <w:trHeight w:val="225"/>
        </w:trPr>
        <w:tc>
          <w:tcPr>
            <w:tcW w:w="244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Name</w:t>
            </w:r>
          </w:p>
        </w:tc>
        <w:tc>
          <w:tcPr>
            <w:tcW w:w="3120" w:type="dxa"/>
            <w:vAlign w:val="bottom"/>
            <w:shd w:val="clear" w:color="auto" w:fill="00ADBB"/>
          </w:tcPr>
          <w:p>
            <w:pPr>
              <w:jc w:val="center"/>
              <w:ind w:left="270"/>
              <w:spacing w:after="0"/>
              <w:rPr>
                <w:sz w:val="20"/>
                <w:szCs w:val="20"/>
                <w:color w:val="auto"/>
              </w:rPr>
            </w:pPr>
            <w:r>
              <w:rPr>
                <w:rFonts w:ascii="Arial" w:cs="Arial" w:eastAsia="Arial" w:hAnsi="Arial"/>
                <w:sz w:val="18"/>
                <w:szCs w:val="18"/>
                <w:b w:val="1"/>
                <w:bCs w:val="1"/>
                <w:color w:val="FFFFFF"/>
                <w:w w:val="99"/>
              </w:rPr>
              <w:t>2020 STI Target</w:t>
            </w:r>
          </w:p>
        </w:tc>
        <w:tc>
          <w:tcPr>
            <w:tcW w:w="278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8"/>
              </w:rPr>
              <w:t>Percentage</w:t>
            </w:r>
          </w:p>
        </w:tc>
        <w:tc>
          <w:tcPr>
            <w:tcW w:w="268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2020 STI Award</w:t>
            </w:r>
          </w:p>
        </w:tc>
      </w:tr>
      <w:tr>
        <w:trPr>
          <w:trHeight w:val="203"/>
        </w:trPr>
        <w:tc>
          <w:tcPr>
            <w:tcW w:w="2440" w:type="dxa"/>
            <w:vAlign w:val="bottom"/>
            <w:tcBorders>
              <w:bottom w:val="single" w:sz="8" w:color="4C4C4C"/>
            </w:tcBorders>
          </w:tcPr>
          <w:p>
            <w:pPr>
              <w:ind w:left="100"/>
              <w:spacing w:after="0" w:line="202" w:lineRule="exact"/>
              <w:rPr>
                <w:sz w:val="20"/>
                <w:szCs w:val="20"/>
                <w:color w:val="auto"/>
              </w:rPr>
            </w:pPr>
            <w:r>
              <w:rPr>
                <w:rFonts w:ascii="Arial" w:cs="Arial" w:eastAsia="Arial" w:hAnsi="Arial"/>
                <w:sz w:val="18"/>
                <w:szCs w:val="18"/>
                <w:color w:val="4C4C4C"/>
              </w:rPr>
              <w:t>Eric Steigerwalt</w:t>
            </w:r>
          </w:p>
        </w:tc>
        <w:tc>
          <w:tcPr>
            <w:tcW w:w="3120" w:type="dxa"/>
            <w:vAlign w:val="bottom"/>
            <w:tcBorders>
              <w:bottom w:val="single" w:sz="8" w:color="4C4C4C"/>
            </w:tcBorders>
          </w:tcPr>
          <w:p>
            <w:pPr>
              <w:jc w:val="right"/>
              <w:ind w:right="830"/>
              <w:spacing w:after="0" w:line="202" w:lineRule="exact"/>
              <w:rPr>
                <w:sz w:val="20"/>
                <w:szCs w:val="20"/>
                <w:color w:val="auto"/>
              </w:rPr>
            </w:pPr>
            <w:r>
              <w:rPr>
                <w:rFonts w:ascii="Arial" w:cs="Arial" w:eastAsia="Arial" w:hAnsi="Arial"/>
                <w:sz w:val="18"/>
                <w:szCs w:val="18"/>
                <w:color w:val="4C4C4C"/>
              </w:rPr>
              <w:t>$1,850,000</w:t>
            </w:r>
          </w:p>
        </w:tc>
        <w:tc>
          <w:tcPr>
            <w:tcW w:w="2780" w:type="dxa"/>
            <w:vAlign w:val="bottom"/>
            <w:tcBorders>
              <w:bottom w:val="single" w:sz="8" w:color="4C4C4C"/>
            </w:tcBorders>
          </w:tcPr>
          <w:p>
            <w:pPr>
              <w:jc w:val="center"/>
              <w:spacing w:after="0" w:line="202" w:lineRule="exact"/>
              <w:rPr>
                <w:sz w:val="20"/>
                <w:szCs w:val="20"/>
                <w:color w:val="auto"/>
              </w:rPr>
            </w:pPr>
            <w:r>
              <w:rPr>
                <w:rFonts w:ascii="Arial" w:cs="Arial" w:eastAsia="Arial" w:hAnsi="Arial"/>
                <w:sz w:val="18"/>
                <w:szCs w:val="18"/>
                <w:color w:val="4C4C4C"/>
                <w:w w:val="99"/>
              </w:rPr>
              <w:t>110%</w:t>
            </w:r>
          </w:p>
        </w:tc>
        <w:tc>
          <w:tcPr>
            <w:tcW w:w="2680" w:type="dxa"/>
            <w:vAlign w:val="bottom"/>
            <w:tcBorders>
              <w:bottom w:val="single" w:sz="8" w:color="4C4C4C"/>
            </w:tcBorders>
          </w:tcPr>
          <w:p>
            <w:pPr>
              <w:jc w:val="right"/>
              <w:ind w:right="790"/>
              <w:spacing w:after="0" w:line="202" w:lineRule="exact"/>
              <w:rPr>
                <w:sz w:val="20"/>
                <w:szCs w:val="20"/>
                <w:color w:val="auto"/>
              </w:rPr>
            </w:pPr>
            <w:r>
              <w:rPr>
                <w:rFonts w:ascii="Arial" w:cs="Arial" w:eastAsia="Arial" w:hAnsi="Arial"/>
                <w:sz w:val="18"/>
                <w:szCs w:val="18"/>
                <w:color w:val="4C4C4C"/>
              </w:rPr>
              <w:t>$2,035,000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-393700</wp:posOffset>
            </wp:positionV>
            <wp:extent cx="8255" cy="2571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-393700</wp:posOffset>
            </wp:positionV>
            <wp:extent cx="8255" cy="257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-393700</wp:posOffset>
            </wp:positionV>
            <wp:extent cx="8890" cy="2571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257175"/>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C4C4C"/>
        </w:rPr>
        <w:t xml:space="preserve">2020 LTI Award. </w:t>
      </w:r>
      <w:r>
        <w:rPr>
          <w:rFonts w:ascii="Arial" w:cs="Arial" w:eastAsia="Arial" w:hAnsi="Arial"/>
          <w:sz w:val="18"/>
          <w:szCs w:val="18"/>
          <w:color w:val="4C4C4C"/>
        </w:rPr>
        <w:t>In January 2020, the Independent Directors approved a 2020 LTI Award for Mr. Steigerwalt at his LTI target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$4,902,500, consisting of 70% PSUs and 30% RSUs. The actual number of PSUs issued will depend on Brighthouse’s actual performance</w:t>
      </w:r>
    </w:p>
    <w:p>
      <w:pPr>
        <w:ind w:left="120"/>
        <w:spacing w:after="0" w:line="234" w:lineRule="auto"/>
        <w:rPr>
          <w:sz w:val="20"/>
          <w:szCs w:val="20"/>
          <w:color w:val="auto"/>
        </w:rPr>
      </w:pPr>
      <w:r>
        <w:rPr>
          <w:rFonts w:ascii="Arial" w:cs="Arial" w:eastAsia="Arial" w:hAnsi="Arial"/>
          <w:sz w:val="18"/>
          <w:szCs w:val="18"/>
          <w:color w:val="4C4C4C"/>
        </w:rPr>
        <w:t>at the end of the 2020-2022 performance period. Additional information about Mr. Steigerwalt’s STI and LTI Awards is presented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w:t>
      </w:r>
      <w:r>
        <w:rPr>
          <w:rFonts w:ascii="Arial" w:cs="Arial" w:eastAsia="Arial" w:hAnsi="Arial"/>
          <w:sz w:val="18"/>
          <w:szCs w:val="18"/>
          <w:color w:val="00ADBB"/>
        </w:rPr>
        <w:t>Compensation Discussion and Analysis – Section 2 – Our 2020 Executive Compensation Program</w:t>
      </w:r>
      <w:r>
        <w:rPr>
          <w:rFonts w:ascii="Arial" w:cs="Arial" w:eastAsia="Arial" w:hAnsi="Arial"/>
          <w:sz w:val="18"/>
          <w:szCs w:val="18"/>
          <w:color w:val="4C4C4C"/>
        </w:rPr>
        <w:t xml:space="preserve">” and “ </w:t>
      </w:r>
      <w:r>
        <w:rPr>
          <w:rFonts w:ascii="Arial" w:cs="Arial" w:eastAsia="Arial" w:hAnsi="Arial"/>
          <w:sz w:val="18"/>
          <w:szCs w:val="18"/>
          <w:color w:val="00ADBB"/>
        </w:rPr>
        <w:t>2020 Compensation Tables</w:t>
      </w:r>
      <w:r>
        <w:rPr>
          <w:rFonts w:ascii="Arial" w:cs="Arial" w:eastAsia="Arial" w:hAnsi="Arial"/>
          <w:sz w:val="18"/>
          <w:szCs w:val="18"/>
          <w:color w:val="4C4C4C"/>
        </w:rPr>
        <w: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Planned Changes for 2021</w:t>
      </w:r>
    </w:p>
    <w:p>
      <w:pPr>
        <w:spacing w:after="0" w:line="13"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4C4C4C"/>
        </w:rPr>
        <w:t>We have committed to a regular review of our compensation program to help ensure that it evolves with our maturing organization and continues to motivate and reward our employees for performance that supports our strategic goals. To this end, and in consideration of stockholder feedback, the Compensation and Human Capital Committee has approved several changes to our compensation program, which are described in “</w:t>
      </w:r>
      <w:r>
        <w:rPr>
          <w:rFonts w:ascii="Arial" w:cs="Arial" w:eastAsia="Arial" w:hAnsi="Arial"/>
          <w:sz w:val="18"/>
          <w:szCs w:val="18"/>
          <w:color w:val="00ADBB"/>
        </w:rPr>
        <w:t>Section 4 – 2021 Compensation Program Overview</w:t>
      </w:r>
      <w:r>
        <w:rPr>
          <w:rFonts w:ascii="Arial" w:cs="Arial" w:eastAsia="Arial" w:hAnsi="Arial"/>
          <w:sz w:val="18"/>
          <w:szCs w:val="18"/>
          <w:color w:val="4C4C4C"/>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47</w:t>
      </w:r>
    </w:p>
    <w:p>
      <w:pPr>
        <w:sectPr>
          <w:pgSz w:w="11900" w:h="16838" w:orient="portrait"/>
          <w:cols w:equalWidth="0" w:num="1">
            <w:col w:w="11140"/>
          </w:cols>
          <w:pgMar w:left="320" w:top="459" w:right="4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Section 2 – Our 2020 Executive Compensation Program</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Section 2 – Our 2020 Executive Compensation Program</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2020 Compensation Planning Process</w:t>
      </w:r>
    </w:p>
    <w:p>
      <w:pPr>
        <w:spacing w:after="0" w:line="13"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4C4C4C"/>
        </w:rPr>
        <w:t>Our Human Resources organization (“</w:t>
      </w:r>
      <w:r>
        <w:rPr>
          <w:rFonts w:ascii="Arial" w:cs="Arial" w:eastAsia="Arial" w:hAnsi="Arial"/>
          <w:sz w:val="18"/>
          <w:szCs w:val="18"/>
          <w:b w:val="1"/>
          <w:bCs w:val="1"/>
          <w:color w:val="00ADBB"/>
        </w:rPr>
        <w:t>HR</w:t>
      </w:r>
      <w:r>
        <w:rPr>
          <w:rFonts w:ascii="Arial" w:cs="Arial" w:eastAsia="Arial" w:hAnsi="Arial"/>
          <w:sz w:val="18"/>
          <w:szCs w:val="18"/>
          <w:color w:val="4C4C4C"/>
        </w:rPr>
        <w:t>”) led our 2020 market benchmarking process. We use benchmarking to provide context for the 2020 compensation recommendations for our Senior Leadership Management Group (the “</w:t>
      </w:r>
      <w:r>
        <w:rPr>
          <w:rFonts w:ascii="Arial" w:cs="Arial" w:eastAsia="Arial" w:hAnsi="Arial"/>
          <w:sz w:val="18"/>
          <w:szCs w:val="18"/>
          <w:b w:val="1"/>
          <w:bCs w:val="1"/>
          <w:color w:val="00ADBB"/>
        </w:rPr>
        <w:t>SLMG</w:t>
      </w:r>
      <w:r>
        <w:rPr>
          <w:rFonts w:ascii="Arial" w:cs="Arial" w:eastAsia="Arial" w:hAnsi="Arial"/>
          <w:sz w:val="18"/>
          <w:szCs w:val="18"/>
          <w:color w:val="4C4C4C"/>
        </w:rPr>
        <w:t>”), which includes our NEOs and other members of our senior management team. In developing its recommendations, HR consulted with Willis Towers Watson (“</w:t>
      </w:r>
      <w:r>
        <w:rPr>
          <w:rFonts w:ascii="Arial" w:cs="Arial" w:eastAsia="Arial" w:hAnsi="Arial"/>
          <w:sz w:val="18"/>
          <w:szCs w:val="18"/>
          <w:b w:val="1"/>
          <w:bCs w:val="1"/>
          <w:color w:val="00ADBB"/>
        </w:rPr>
        <w:t>WTW</w:t>
      </w:r>
      <w:r>
        <w:rPr>
          <w:rFonts w:ascii="Arial" w:cs="Arial" w:eastAsia="Arial" w:hAnsi="Arial"/>
          <w:sz w:val="18"/>
          <w:szCs w:val="18"/>
          <w:color w:val="4C4C4C"/>
        </w:rPr>
        <w:t>”), which serves as management’s compensation consultant.</w:t>
      </w:r>
    </w:p>
    <w:p>
      <w:pPr>
        <w:spacing w:after="0" w:line="97" w:lineRule="exact"/>
        <w:rPr>
          <w:sz w:val="20"/>
          <w:szCs w:val="20"/>
          <w:color w:val="auto"/>
        </w:rPr>
      </w:pPr>
    </w:p>
    <w:p>
      <w:pPr>
        <w:ind w:left="280" w:right="300"/>
        <w:spacing w:after="0" w:line="237" w:lineRule="auto"/>
        <w:rPr>
          <w:sz w:val="20"/>
          <w:szCs w:val="20"/>
          <w:color w:val="auto"/>
        </w:rPr>
      </w:pPr>
      <w:r>
        <w:rPr>
          <w:rFonts w:ascii="Arial" w:cs="Arial" w:eastAsia="Arial" w:hAnsi="Arial"/>
          <w:sz w:val="18"/>
          <w:szCs w:val="18"/>
          <w:color w:val="4C4C4C"/>
        </w:rPr>
        <w:t>In setting Target TDC for the members of the SLMG, we have adopted a pay positioning strategy that generally seeks to align Target TDC with market median, and that modifies the positioning of individual employees due to a variety of factors, including criticality of role, performance, experience, and retention. We also review the positioning of discrete elements of SLMG members’ compensation, including base salary, target STI (both in terms of value and as a percentage of base salary), total cash compensation (base salary plus target STI), and LTI (both in terms of value and as a percentage of base salary). To determine pay positioning, we primarily use WTW’s proprietary database of executive compensation at large diversified insurers (“</w:t>
      </w:r>
      <w:r>
        <w:rPr>
          <w:rFonts w:ascii="Arial" w:cs="Arial" w:eastAsia="Arial" w:hAnsi="Arial"/>
          <w:sz w:val="18"/>
          <w:szCs w:val="18"/>
          <w:b w:val="1"/>
          <w:bCs w:val="1"/>
          <w:color w:val="00ADBB"/>
        </w:rPr>
        <w:t>DIS</w:t>
      </w:r>
      <w:r>
        <w:rPr>
          <w:rFonts w:ascii="Arial" w:cs="Arial" w:eastAsia="Arial" w:hAnsi="Arial"/>
          <w:sz w:val="18"/>
          <w:szCs w:val="18"/>
          <w:color w:val="4C4C4C"/>
        </w:rPr>
        <w:t>”), supplemented by a select compensation comparator group, as described below.</w:t>
      </w:r>
    </w:p>
    <w:p>
      <w:pPr>
        <w:spacing w:after="0" w:line="77"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i w:val="1"/>
          <w:iCs w:val="1"/>
          <w:color w:val="4C4C4C"/>
        </w:rPr>
        <w:t xml:space="preserve">Establishing a Compensation Comparator Group. </w:t>
      </w:r>
      <w:r>
        <w:rPr>
          <w:rFonts w:ascii="Arial" w:cs="Arial" w:eastAsia="Arial" w:hAnsi="Arial"/>
          <w:sz w:val="18"/>
          <w:szCs w:val="18"/>
          <w:color w:val="4C4C4C"/>
        </w:rPr>
        <w:t>For compensation benchmarking purposes, we also used a group of peer</w:t>
      </w:r>
      <w:r>
        <w:rPr>
          <w:rFonts w:ascii="Arial" w:cs="Arial" w:eastAsia="Arial" w:hAnsi="Arial"/>
          <w:sz w:val="18"/>
          <w:szCs w:val="18"/>
          <w:i w:val="1"/>
          <w:iCs w:val="1"/>
          <w:color w:val="4C4C4C"/>
        </w:rPr>
        <w:t xml:space="preserve"> </w:t>
      </w:r>
      <w:r>
        <w:rPr>
          <w:rFonts w:ascii="Arial" w:cs="Arial" w:eastAsia="Arial" w:hAnsi="Arial"/>
          <w:sz w:val="18"/>
          <w:szCs w:val="18"/>
          <w:color w:val="4C4C4C"/>
        </w:rPr>
        <w:t>companies within our industry that are similar to us in terms of assets and revenues and with which we compete for executive talent (the “</w:t>
      </w:r>
      <w:r>
        <w:rPr>
          <w:rFonts w:ascii="Arial" w:cs="Arial" w:eastAsia="Arial" w:hAnsi="Arial"/>
          <w:sz w:val="18"/>
          <w:szCs w:val="18"/>
          <w:b w:val="1"/>
          <w:bCs w:val="1"/>
          <w:color w:val="00ADBB"/>
        </w:rPr>
        <w:t>Comparator Group</w:t>
      </w:r>
      <w:r>
        <w:rPr>
          <w:rFonts w:ascii="Arial" w:cs="Arial" w:eastAsia="Arial" w:hAnsi="Arial"/>
          <w:sz w:val="18"/>
          <w:szCs w:val="18"/>
          <w:color w:val="4C4C4C"/>
        </w:rPr>
        <w:t>”). HR, with input from WTW, constructed the Comparator Group and used the companies in the Comparator Group as a market reference for benchmarking and setting context for pay recommendations for our NEOs and other members of the SLMG. In constructing the Comparator Group, we aimed to select the most appropriate companies against which Brighthouse’s compensation-related performance should be measured. The Comparator Group consists of thirteen publicly traded companies in the insurance industry with assets and/or revenues between approximately 0.5 to 2.0 times those of Brighthouse. As Brighthouse exclusively sells individual life and annuities products in the U.S., comparably sized insurers with a meaningfully different business mix or with significant global operations were excluded from the Comparator Group.</w:t>
      </w:r>
    </w:p>
    <w:p>
      <w:pPr>
        <w:spacing w:after="0" w:line="101" w:lineRule="exact"/>
        <w:rPr>
          <w:sz w:val="20"/>
          <w:szCs w:val="20"/>
          <w:color w:val="auto"/>
        </w:rPr>
      </w:pPr>
    </w:p>
    <w:p>
      <w:pPr>
        <w:ind w:left="280" w:right="600"/>
        <w:spacing w:after="0"/>
        <w:rPr>
          <w:sz w:val="20"/>
          <w:szCs w:val="20"/>
          <w:color w:val="auto"/>
        </w:rPr>
      </w:pPr>
      <w:r>
        <w:rPr>
          <w:rFonts w:ascii="Arial" w:cs="Arial" w:eastAsia="Arial" w:hAnsi="Arial"/>
          <w:sz w:val="18"/>
          <w:szCs w:val="18"/>
          <w:color w:val="4C4C4C"/>
        </w:rPr>
        <w:t>Applying these criteria, in August 2020, the Compensation and Human Capital Committee, in consultation with Semler Brossy Consulting Group (“</w:t>
      </w:r>
      <w:r>
        <w:rPr>
          <w:rFonts w:ascii="Arial" w:cs="Arial" w:eastAsia="Arial" w:hAnsi="Arial"/>
          <w:sz w:val="18"/>
          <w:szCs w:val="18"/>
          <w:b w:val="1"/>
          <w:bCs w:val="1"/>
          <w:color w:val="00ADBB"/>
        </w:rPr>
        <w:t>SBCG</w:t>
      </w:r>
      <w:r>
        <w:rPr>
          <w:rFonts w:ascii="Arial" w:cs="Arial" w:eastAsia="Arial" w:hAnsi="Arial"/>
          <w:sz w:val="18"/>
          <w:szCs w:val="18"/>
          <w:color w:val="4C4C4C"/>
        </w:rPr>
        <w:t>”), determined not to make changes to the composition of our Comparator Group, which consists of the following companies: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4C4C4C"/>
              </w:rPr>
              <w:t>•  American Equity Investment Life Holding Company</w:t>
            </w:r>
          </w:p>
        </w:tc>
        <w:tc>
          <w:tcPr>
            <w:tcW w:w="740" w:type="dxa"/>
            <w:vAlign w:val="bottom"/>
          </w:tcPr>
          <w:p>
            <w:pPr>
              <w:ind w:left="600"/>
              <w:spacing w:after="0"/>
              <w:rPr>
                <w:sz w:val="20"/>
                <w:szCs w:val="20"/>
                <w:color w:val="auto"/>
              </w:rPr>
            </w:pPr>
            <w:r>
              <w:rPr>
                <w:rFonts w:ascii="Arial" w:cs="Arial" w:eastAsia="Arial" w:hAnsi="Arial"/>
                <w:sz w:val="18"/>
                <w:szCs w:val="18"/>
                <w:color w:val="4C4C4C"/>
              </w:rPr>
              <w:t>•</w:t>
            </w:r>
          </w:p>
        </w:tc>
        <w:tc>
          <w:tcPr>
            <w:tcW w:w="3640" w:type="dxa"/>
            <w:vAlign w:val="bottom"/>
          </w:tcPr>
          <w:p>
            <w:pPr>
              <w:ind w:left="60"/>
              <w:spacing w:after="0"/>
              <w:rPr>
                <w:sz w:val="20"/>
                <w:szCs w:val="20"/>
                <w:color w:val="auto"/>
              </w:rPr>
            </w:pPr>
            <w:r>
              <w:rPr>
                <w:rFonts w:ascii="Arial" w:cs="Arial" w:eastAsia="Arial" w:hAnsi="Arial"/>
                <w:sz w:val="18"/>
                <w:szCs w:val="18"/>
                <w:color w:val="4C4C4C"/>
              </w:rPr>
              <w:t>Globe Life Inc.</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4C4C4C"/>
              </w:rPr>
              <w:t>•</w:t>
            </w:r>
          </w:p>
        </w:tc>
        <w:tc>
          <w:tcPr>
            <w:tcW w:w="4720" w:type="dxa"/>
            <w:vAlign w:val="bottom"/>
          </w:tcPr>
          <w:p>
            <w:pPr>
              <w:ind w:left="80"/>
              <w:spacing w:after="0" w:line="202" w:lineRule="exact"/>
              <w:rPr>
                <w:sz w:val="20"/>
                <w:szCs w:val="20"/>
                <w:color w:val="auto"/>
              </w:rPr>
            </w:pPr>
            <w:r>
              <w:rPr>
                <w:rFonts w:ascii="Arial" w:cs="Arial" w:eastAsia="Arial" w:hAnsi="Arial"/>
                <w:sz w:val="18"/>
                <w:szCs w:val="18"/>
                <w:color w:val="4C4C4C"/>
              </w:rPr>
              <w:t>Ameriprise Financial, Inc.</w:t>
            </w:r>
          </w:p>
        </w:tc>
        <w:tc>
          <w:tcPr>
            <w:tcW w:w="740" w:type="dxa"/>
            <w:vAlign w:val="bottom"/>
          </w:tcPr>
          <w:p>
            <w:pPr>
              <w:ind w:left="600"/>
              <w:spacing w:after="0" w:line="202" w:lineRule="exact"/>
              <w:rPr>
                <w:sz w:val="20"/>
                <w:szCs w:val="20"/>
                <w:color w:val="auto"/>
              </w:rPr>
            </w:pPr>
            <w:r>
              <w:rPr>
                <w:rFonts w:ascii="Arial" w:cs="Arial" w:eastAsia="Arial" w:hAnsi="Arial"/>
                <w:sz w:val="18"/>
                <w:szCs w:val="18"/>
                <w:color w:val="4C4C4C"/>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4C4C4C"/>
              </w:rPr>
              <w:t>Lincoln National Corporation</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4C4C4C"/>
              </w:rPr>
              <w:t>•</w:t>
            </w:r>
          </w:p>
        </w:tc>
        <w:tc>
          <w:tcPr>
            <w:tcW w:w="4720" w:type="dxa"/>
            <w:vAlign w:val="bottom"/>
          </w:tcPr>
          <w:p>
            <w:pPr>
              <w:ind w:left="80"/>
              <w:spacing w:after="0" w:line="202" w:lineRule="exact"/>
              <w:rPr>
                <w:sz w:val="20"/>
                <w:szCs w:val="20"/>
                <w:color w:val="auto"/>
              </w:rPr>
            </w:pPr>
            <w:r>
              <w:rPr>
                <w:rFonts w:ascii="Arial" w:cs="Arial" w:eastAsia="Arial" w:hAnsi="Arial"/>
                <w:sz w:val="18"/>
                <w:szCs w:val="18"/>
                <w:color w:val="4C4C4C"/>
              </w:rPr>
              <w:t>Assurant, Inc.</w:t>
            </w:r>
          </w:p>
        </w:tc>
        <w:tc>
          <w:tcPr>
            <w:tcW w:w="740" w:type="dxa"/>
            <w:vAlign w:val="bottom"/>
          </w:tcPr>
          <w:p>
            <w:pPr>
              <w:ind w:left="600"/>
              <w:spacing w:after="0" w:line="202" w:lineRule="exact"/>
              <w:rPr>
                <w:sz w:val="20"/>
                <w:szCs w:val="20"/>
                <w:color w:val="auto"/>
              </w:rPr>
            </w:pPr>
            <w:r>
              <w:rPr>
                <w:rFonts w:ascii="Arial" w:cs="Arial" w:eastAsia="Arial" w:hAnsi="Arial"/>
                <w:sz w:val="18"/>
                <w:szCs w:val="18"/>
                <w:color w:val="4C4C4C"/>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4C4C4C"/>
              </w:rPr>
              <w:t>Principal Financial Group, Inc.</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4C4C4C"/>
              </w:rPr>
              <w:t>•</w:t>
            </w:r>
          </w:p>
        </w:tc>
        <w:tc>
          <w:tcPr>
            <w:tcW w:w="4720" w:type="dxa"/>
            <w:vAlign w:val="bottom"/>
          </w:tcPr>
          <w:p>
            <w:pPr>
              <w:ind w:left="80"/>
              <w:spacing w:after="0" w:line="202" w:lineRule="exact"/>
              <w:rPr>
                <w:sz w:val="20"/>
                <w:szCs w:val="20"/>
                <w:color w:val="auto"/>
              </w:rPr>
            </w:pPr>
            <w:r>
              <w:rPr>
                <w:rFonts w:ascii="Arial" w:cs="Arial" w:eastAsia="Arial" w:hAnsi="Arial"/>
                <w:sz w:val="18"/>
                <w:szCs w:val="18"/>
                <w:color w:val="4C4C4C"/>
              </w:rPr>
              <w:t>Athene Holding Ltd.</w:t>
            </w:r>
          </w:p>
        </w:tc>
        <w:tc>
          <w:tcPr>
            <w:tcW w:w="740" w:type="dxa"/>
            <w:vAlign w:val="bottom"/>
          </w:tcPr>
          <w:p>
            <w:pPr>
              <w:ind w:left="600"/>
              <w:spacing w:after="0" w:line="202" w:lineRule="exact"/>
              <w:rPr>
                <w:sz w:val="20"/>
                <w:szCs w:val="20"/>
                <w:color w:val="auto"/>
              </w:rPr>
            </w:pPr>
            <w:r>
              <w:rPr>
                <w:rFonts w:ascii="Arial" w:cs="Arial" w:eastAsia="Arial" w:hAnsi="Arial"/>
                <w:sz w:val="18"/>
                <w:szCs w:val="18"/>
                <w:color w:val="4C4C4C"/>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4C4C4C"/>
                <w:w w:val="99"/>
              </w:rPr>
              <w:t>Reinsurance Group of America, Incorporated</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4C4C4C"/>
              </w:rPr>
              <w:t>•  CNO Financial Group, Inc.</w:t>
            </w:r>
          </w:p>
        </w:tc>
        <w:tc>
          <w:tcPr>
            <w:tcW w:w="740" w:type="dxa"/>
            <w:vAlign w:val="bottom"/>
          </w:tcPr>
          <w:p>
            <w:pPr>
              <w:ind w:left="600"/>
              <w:spacing w:after="0" w:line="202" w:lineRule="exact"/>
              <w:rPr>
                <w:sz w:val="20"/>
                <w:szCs w:val="20"/>
                <w:color w:val="auto"/>
              </w:rPr>
            </w:pPr>
            <w:r>
              <w:rPr>
                <w:rFonts w:ascii="Arial" w:cs="Arial" w:eastAsia="Arial" w:hAnsi="Arial"/>
                <w:sz w:val="18"/>
                <w:szCs w:val="18"/>
                <w:color w:val="4C4C4C"/>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4C4C4C"/>
              </w:rPr>
              <w:t>Sun Life Financial Inc.</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4C4C4C"/>
              </w:rPr>
              <w:t>•</w:t>
            </w:r>
          </w:p>
        </w:tc>
        <w:tc>
          <w:tcPr>
            <w:tcW w:w="4720" w:type="dxa"/>
            <w:vAlign w:val="bottom"/>
          </w:tcPr>
          <w:p>
            <w:pPr>
              <w:ind w:left="80"/>
              <w:spacing w:after="0" w:line="202" w:lineRule="exact"/>
              <w:rPr>
                <w:sz w:val="20"/>
                <w:szCs w:val="20"/>
                <w:color w:val="auto"/>
              </w:rPr>
            </w:pPr>
            <w:r>
              <w:rPr>
                <w:rFonts w:ascii="Arial" w:cs="Arial" w:eastAsia="Arial" w:hAnsi="Arial"/>
                <w:sz w:val="18"/>
                <w:szCs w:val="18"/>
                <w:color w:val="4C4C4C"/>
              </w:rPr>
              <w:t>Equitable Holdings, Inc.</w:t>
            </w:r>
          </w:p>
        </w:tc>
        <w:tc>
          <w:tcPr>
            <w:tcW w:w="740" w:type="dxa"/>
            <w:vAlign w:val="bottom"/>
          </w:tcPr>
          <w:p>
            <w:pPr>
              <w:ind w:left="600"/>
              <w:spacing w:after="0" w:line="202" w:lineRule="exact"/>
              <w:rPr>
                <w:sz w:val="20"/>
                <w:szCs w:val="20"/>
                <w:color w:val="auto"/>
              </w:rPr>
            </w:pPr>
            <w:r>
              <w:rPr>
                <w:rFonts w:ascii="Arial" w:cs="Arial" w:eastAsia="Arial" w:hAnsi="Arial"/>
                <w:sz w:val="18"/>
                <w:szCs w:val="18"/>
                <w:color w:val="4C4C4C"/>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4C4C4C"/>
              </w:rPr>
              <w:t>Unum Group</w:t>
            </w:r>
          </w:p>
        </w:tc>
      </w:tr>
      <w:tr>
        <w:trPr>
          <w:trHeight w:val="217"/>
        </w:trPr>
        <w:tc>
          <w:tcPr>
            <w:tcW w:w="1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4C4C4C"/>
              </w:rPr>
              <w:t>•</w:t>
            </w:r>
          </w:p>
        </w:tc>
        <w:tc>
          <w:tcPr>
            <w:tcW w:w="3640" w:type="dxa"/>
            <w:vAlign w:val="bottom"/>
          </w:tcPr>
          <w:p>
            <w:pPr>
              <w:ind w:left="60"/>
              <w:spacing w:after="0"/>
              <w:rPr>
                <w:sz w:val="20"/>
                <w:szCs w:val="20"/>
                <w:color w:val="auto"/>
              </w:rPr>
            </w:pPr>
            <w:r>
              <w:rPr>
                <w:rFonts w:ascii="Arial" w:cs="Arial" w:eastAsia="Arial" w:hAnsi="Arial"/>
                <w:sz w:val="18"/>
                <w:szCs w:val="18"/>
                <w:color w:val="4C4C4C"/>
              </w:rPr>
              <w:t>Voya Financial, Inc.</w:t>
            </w:r>
          </w:p>
        </w:tc>
      </w:tr>
    </w:tbl>
    <w:p>
      <w:pPr>
        <w:spacing w:after="0" w:line="242" w:lineRule="exact"/>
        <w:rPr>
          <w:sz w:val="20"/>
          <w:szCs w:val="20"/>
          <w:color w:val="auto"/>
        </w:rPr>
      </w:pPr>
    </w:p>
    <w:p>
      <w:pPr>
        <w:ind w:left="280" w:right="360"/>
        <w:spacing w:after="0" w:line="246" w:lineRule="auto"/>
        <w:rPr>
          <w:sz w:val="20"/>
          <w:szCs w:val="20"/>
          <w:color w:val="auto"/>
        </w:rPr>
      </w:pPr>
      <w:r>
        <w:rPr>
          <w:rFonts w:ascii="Arial" w:cs="Arial" w:eastAsia="Arial" w:hAnsi="Arial"/>
          <w:sz w:val="18"/>
          <w:szCs w:val="18"/>
          <w:color w:val="4C4C4C"/>
        </w:rPr>
        <w:t>The Compensation and Human Capital Committee will continue to annually review the Comparator Group to include companies of a similar size and business mix and with which Brighthouse competes in the talent market.</w:t>
      </w:r>
    </w:p>
    <w:p>
      <w:pPr>
        <w:spacing w:after="0" w:line="71" w:lineRule="exact"/>
        <w:rPr>
          <w:sz w:val="20"/>
          <w:szCs w:val="20"/>
          <w:color w:val="auto"/>
        </w:rPr>
      </w:pPr>
    </w:p>
    <w:p>
      <w:pPr>
        <w:ind w:left="280" w:right="200"/>
        <w:spacing w:after="0"/>
        <w:rPr>
          <w:sz w:val="20"/>
          <w:szCs w:val="20"/>
          <w:color w:val="auto"/>
        </w:rPr>
      </w:pPr>
      <w:r>
        <w:rPr>
          <w:rFonts w:ascii="Arial" w:cs="Arial" w:eastAsia="Arial" w:hAnsi="Arial"/>
          <w:sz w:val="18"/>
          <w:szCs w:val="18"/>
          <w:i w:val="1"/>
          <w:iCs w:val="1"/>
          <w:color w:val="4C4C4C"/>
        </w:rPr>
        <w:t xml:space="preserve">Benchmarking Process. </w:t>
      </w:r>
      <w:r>
        <w:rPr>
          <w:rFonts w:ascii="Arial" w:cs="Arial" w:eastAsia="Arial" w:hAnsi="Arial"/>
          <w:sz w:val="18"/>
          <w:szCs w:val="18"/>
          <w:color w:val="4C4C4C"/>
        </w:rPr>
        <w:t>We generally aim to benchmark SLMG members’ Target TDC against the compensation of individuals holding</w:t>
      </w:r>
      <w:r>
        <w:rPr>
          <w:rFonts w:ascii="Arial" w:cs="Arial" w:eastAsia="Arial" w:hAnsi="Arial"/>
          <w:sz w:val="18"/>
          <w:szCs w:val="18"/>
          <w:i w:val="1"/>
          <w:iCs w:val="1"/>
          <w:color w:val="4C4C4C"/>
        </w:rPr>
        <w:t xml:space="preserve"> </w:t>
      </w:r>
      <w:r>
        <w:rPr>
          <w:rFonts w:ascii="Arial" w:cs="Arial" w:eastAsia="Arial" w:hAnsi="Arial"/>
          <w:sz w:val="18"/>
          <w:szCs w:val="18"/>
          <w:color w:val="4C4C4C"/>
        </w:rPr>
        <w:t>similar positions at companies represented in the DIS or Comparator Group. Where our SLMG members’ roles align with roles represented in the DIS or our Comparator Group, we are able to better position their Target TDC within a range of the market median. However, certain SLMG members’ unique roles and responsibilities do not align well with the roles represented in the DIS or Comparator Group. In such cases, management uses analogous roles as reference points, and adjusts its Target TDC recommendations in accordance with the SLMG member’s distinctive roles and responsibilities. In all cases, pay positioning may be modified due to a variety of factors, including criticality of role, performance, experience, and retention.</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48 | 2021 Proxy Statement</w:t>
      </w:r>
    </w:p>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Section 2 – Our 2020 Executive Compensation Program</w:t>
      </w:r>
    </w:p>
    <w:p>
      <w:pPr>
        <w:spacing w:after="0" w:line="200" w:lineRule="exact"/>
        <w:rPr>
          <w:sz w:val="20"/>
          <w:szCs w:val="20"/>
          <w:color w:val="auto"/>
        </w:rPr>
      </w:pPr>
    </w:p>
    <w:p>
      <w:pPr>
        <w:sectPr>
          <w:pgSz w:w="11900" w:h="16838" w:orient="portrait"/>
          <w:cols w:equalWidth="0" w:num="2">
            <w:col w:w="7080" w:space="720"/>
            <w:col w:w="3340"/>
          </w:cols>
          <w:pgMar w:left="320" w:top="459" w:right="439" w:bottom="1440" w:gutter="0" w:footer="0" w:header="0"/>
          <w:type w:val="continuous"/>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Role of the Compensation and Human Capital Committee and Others in Determining Compensation</w:t>
      </w:r>
    </w:p>
    <w:p>
      <w:pPr>
        <w:spacing w:after="0" w:line="1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i w:val="1"/>
          <w:iCs w:val="1"/>
          <w:color w:val="4C4C4C"/>
        </w:rPr>
        <w:t xml:space="preserve">Management’s Role. </w:t>
      </w:r>
      <w:r>
        <w:rPr>
          <w:rFonts w:ascii="Arial" w:cs="Arial" w:eastAsia="Arial" w:hAnsi="Arial"/>
          <w:sz w:val="18"/>
          <w:szCs w:val="18"/>
          <w:color w:val="4C4C4C"/>
        </w:rPr>
        <w:t>As discussed above, HR, in consultation with WTW, is primarily responsible for preparing Target TDC</w:t>
      </w:r>
      <w:r>
        <w:rPr>
          <w:rFonts w:ascii="Arial" w:cs="Arial" w:eastAsia="Arial" w:hAnsi="Arial"/>
          <w:sz w:val="18"/>
          <w:szCs w:val="18"/>
          <w:i w:val="1"/>
          <w:iCs w:val="1"/>
          <w:color w:val="4C4C4C"/>
        </w:rPr>
        <w:t xml:space="preserve"> </w:t>
      </w:r>
      <w:r>
        <w:rPr>
          <w:rFonts w:ascii="Arial" w:cs="Arial" w:eastAsia="Arial" w:hAnsi="Arial"/>
          <w:sz w:val="18"/>
          <w:szCs w:val="18"/>
          <w:color w:val="4C4C4C"/>
        </w:rPr>
        <w:t>recommendations for our SLMG. HR consulted with WTW to gather compensation data that was used to prepare Target TDC recommendations. As part of our year-end compensation planning process, our CEO oversaw the review of each SLMG member’s performance during 2020. The CEO participated in developing recommendations for all elements of pay for the members of the SLMG, other than himself, and discussed these recommendations with the Compensation and Human Capital Committee. Based on the CEO’s assessment of each SLMG member’s performance, HR prepared compensation recommendations for each SLMG member (other than the CEO) and presented them for Compensation and Human Capital Committee approval. With respect to CEO compensation, the Compensation and Human Capital Committee and the Independent Directors reviewed the Company’s and Mr. Steigerwalt’s performance, as well as Mr. Steigerwalt’s self-assessment of his performance. The Compensation and Human Capital Committee recommended the CEO’s compensation, including Target TDC and STI and LTI awards, for approval by the Independent Directors.</w:t>
      </w:r>
    </w:p>
    <w:p>
      <w:pPr>
        <w:spacing w:after="0" w:line="80" w:lineRule="exact"/>
        <w:rPr>
          <w:sz w:val="20"/>
          <w:szCs w:val="20"/>
          <w:color w:val="auto"/>
        </w:rPr>
      </w:pPr>
    </w:p>
    <w:p>
      <w:pPr>
        <w:jc w:val="both"/>
        <w:ind w:left="120" w:right="260"/>
        <w:spacing w:after="0" w:line="241" w:lineRule="auto"/>
        <w:rPr>
          <w:sz w:val="20"/>
          <w:szCs w:val="20"/>
          <w:color w:val="auto"/>
        </w:rPr>
      </w:pPr>
      <w:r>
        <w:rPr>
          <w:rFonts w:ascii="Arial" w:cs="Arial" w:eastAsia="Arial" w:hAnsi="Arial"/>
          <w:sz w:val="18"/>
          <w:szCs w:val="18"/>
          <w:i w:val="1"/>
          <w:iCs w:val="1"/>
          <w:color w:val="4C4C4C"/>
        </w:rPr>
        <w:t xml:space="preserve">Compensation and Human Capital Committee’s Role. </w:t>
      </w:r>
      <w:r>
        <w:rPr>
          <w:rFonts w:ascii="Arial" w:cs="Arial" w:eastAsia="Arial" w:hAnsi="Arial"/>
          <w:sz w:val="18"/>
          <w:szCs w:val="18"/>
          <w:color w:val="4C4C4C"/>
        </w:rPr>
        <w:t>The Compensation and Human Capital Committee is responsible for establishing</w:t>
      </w:r>
      <w:r>
        <w:rPr>
          <w:rFonts w:ascii="Arial" w:cs="Arial" w:eastAsia="Arial" w:hAnsi="Arial"/>
          <w:sz w:val="18"/>
          <w:szCs w:val="18"/>
          <w:i w:val="1"/>
          <w:iCs w:val="1"/>
          <w:color w:val="4C4C4C"/>
        </w:rPr>
        <w:t xml:space="preserve"> </w:t>
      </w:r>
      <w:r>
        <w:rPr>
          <w:rFonts w:ascii="Arial" w:cs="Arial" w:eastAsia="Arial" w:hAnsi="Arial"/>
          <w:sz w:val="18"/>
          <w:szCs w:val="18"/>
          <w:color w:val="4C4C4C"/>
        </w:rPr>
        <w:t>and implementing our executive compensation philosophy and structure. Pursuant to its written charter, the Compensation and Human Capital Committee:</w:t>
      </w:r>
    </w:p>
    <w:p>
      <w:pPr>
        <w:spacing w:after="0" w:line="2" w:lineRule="exact"/>
        <w:rPr>
          <w:sz w:val="20"/>
          <w:szCs w:val="20"/>
          <w:color w:val="auto"/>
        </w:rPr>
      </w:pPr>
    </w:p>
    <w:p>
      <w:pPr>
        <w:ind w:left="340" w:right="620" w:hanging="224"/>
        <w:spacing w:after="0" w:line="234" w:lineRule="auto"/>
        <w:tabs>
          <w:tab w:leader="none" w:pos="340" w:val="left"/>
        </w:tabs>
        <w:numPr>
          <w:ilvl w:val="0"/>
          <w:numId w:val="128"/>
        </w:numPr>
        <w:rPr>
          <w:rFonts w:ascii="Arial" w:cs="Arial" w:eastAsia="Arial" w:hAnsi="Arial"/>
          <w:sz w:val="18"/>
          <w:szCs w:val="18"/>
          <w:color w:val="4C4C4C"/>
        </w:rPr>
      </w:pPr>
      <w:r>
        <w:rPr>
          <w:rFonts w:ascii="Arial" w:cs="Arial" w:eastAsia="Arial" w:hAnsi="Arial"/>
          <w:sz w:val="18"/>
          <w:szCs w:val="18"/>
          <w:color w:val="4C4C4C"/>
        </w:rPr>
        <w:t>assisted the Board in fulfilling its responsibility to oversee the development and administration of compensation programs for our executives and other employees;</w:t>
      </w:r>
    </w:p>
    <w:p>
      <w:pPr>
        <w:spacing w:after="0" w:line="1" w:lineRule="exact"/>
        <w:rPr>
          <w:rFonts w:ascii="Arial" w:cs="Arial" w:eastAsia="Arial" w:hAnsi="Arial"/>
          <w:sz w:val="18"/>
          <w:szCs w:val="18"/>
          <w:color w:val="4C4C4C"/>
        </w:rPr>
      </w:pPr>
    </w:p>
    <w:p>
      <w:pPr>
        <w:ind w:left="340" w:right="180" w:hanging="224"/>
        <w:spacing w:after="0" w:line="248" w:lineRule="auto"/>
        <w:tabs>
          <w:tab w:leader="none" w:pos="340" w:val="left"/>
        </w:tabs>
        <w:numPr>
          <w:ilvl w:val="0"/>
          <w:numId w:val="128"/>
        </w:numPr>
        <w:rPr>
          <w:rFonts w:ascii="Arial" w:cs="Arial" w:eastAsia="Arial" w:hAnsi="Arial"/>
          <w:sz w:val="17"/>
          <w:szCs w:val="17"/>
          <w:color w:val="4C4C4C"/>
        </w:rPr>
      </w:pPr>
      <w:r>
        <w:rPr>
          <w:rFonts w:ascii="Arial" w:cs="Arial" w:eastAsia="Arial" w:hAnsi="Arial"/>
          <w:sz w:val="17"/>
          <w:szCs w:val="17"/>
          <w:color w:val="4C4C4C"/>
        </w:rPr>
        <w:t>approved the goals and objectives relevant to our CEO’s compensation, evaluated our CEO’s performance in light of such goals and objectives, and recommended, for approval by the Independent Directors, the CEO’s annual compensation based on such evaluation;</w:t>
      </w:r>
    </w:p>
    <w:p>
      <w:pPr>
        <w:spacing w:after="0" w:line="1" w:lineRule="exact"/>
        <w:rPr>
          <w:rFonts w:ascii="Arial" w:cs="Arial" w:eastAsia="Arial" w:hAnsi="Arial"/>
          <w:sz w:val="17"/>
          <w:szCs w:val="17"/>
          <w:color w:val="4C4C4C"/>
        </w:rPr>
      </w:pPr>
    </w:p>
    <w:p>
      <w:pPr>
        <w:ind w:left="340" w:right="800" w:hanging="224"/>
        <w:spacing w:after="0" w:line="234" w:lineRule="auto"/>
        <w:tabs>
          <w:tab w:leader="none" w:pos="340" w:val="left"/>
        </w:tabs>
        <w:numPr>
          <w:ilvl w:val="0"/>
          <w:numId w:val="128"/>
        </w:numPr>
        <w:rPr>
          <w:rFonts w:ascii="Arial" w:cs="Arial" w:eastAsia="Arial" w:hAnsi="Arial"/>
          <w:sz w:val="18"/>
          <w:szCs w:val="18"/>
          <w:color w:val="4C4C4C"/>
        </w:rPr>
      </w:pPr>
      <w:r>
        <w:rPr>
          <w:rFonts w:ascii="Arial" w:cs="Arial" w:eastAsia="Arial" w:hAnsi="Arial"/>
          <w:sz w:val="18"/>
          <w:szCs w:val="18"/>
          <w:color w:val="4C4C4C"/>
        </w:rPr>
        <w:t>reviewed the compensation of Brighthouse’s other executive officers (as determined by the Compensation and Human Capital Committee);</w:t>
      </w:r>
    </w:p>
    <w:p>
      <w:pPr>
        <w:spacing w:after="0" w:line="1" w:lineRule="exact"/>
        <w:rPr>
          <w:rFonts w:ascii="Arial" w:cs="Arial" w:eastAsia="Arial" w:hAnsi="Arial"/>
          <w:sz w:val="18"/>
          <w:szCs w:val="18"/>
          <w:color w:val="4C4C4C"/>
        </w:rPr>
      </w:pPr>
    </w:p>
    <w:p>
      <w:pPr>
        <w:ind w:left="340" w:right="60" w:hanging="224"/>
        <w:spacing w:after="0" w:line="234" w:lineRule="auto"/>
        <w:tabs>
          <w:tab w:leader="none" w:pos="340" w:val="left"/>
        </w:tabs>
        <w:numPr>
          <w:ilvl w:val="0"/>
          <w:numId w:val="128"/>
        </w:numPr>
        <w:rPr>
          <w:rFonts w:ascii="Arial" w:cs="Arial" w:eastAsia="Arial" w:hAnsi="Arial"/>
          <w:sz w:val="18"/>
          <w:szCs w:val="18"/>
          <w:color w:val="4C4C4C"/>
        </w:rPr>
      </w:pPr>
      <w:r>
        <w:rPr>
          <w:rFonts w:ascii="Arial" w:cs="Arial" w:eastAsia="Arial" w:hAnsi="Arial"/>
          <w:sz w:val="18"/>
          <w:szCs w:val="18"/>
          <w:color w:val="4C4C4C"/>
        </w:rPr>
        <w:t>reviewed and approved our equity and non-equity incentive compensation plans and arrangements, and where appropriate or required, recommended such plans and arrangements for approval by the Board and/or our stockholders; and</w:t>
      </w:r>
    </w:p>
    <w:p>
      <w:pPr>
        <w:spacing w:after="0" w:line="1" w:lineRule="exact"/>
        <w:rPr>
          <w:rFonts w:ascii="Arial" w:cs="Arial" w:eastAsia="Arial" w:hAnsi="Arial"/>
          <w:sz w:val="18"/>
          <w:szCs w:val="18"/>
          <w:color w:val="4C4C4C"/>
        </w:rPr>
      </w:pPr>
    </w:p>
    <w:p>
      <w:pPr>
        <w:ind w:left="340" w:right="420" w:hanging="224"/>
        <w:spacing w:after="0"/>
        <w:tabs>
          <w:tab w:leader="none" w:pos="340" w:val="left"/>
        </w:tabs>
        <w:numPr>
          <w:ilvl w:val="0"/>
          <w:numId w:val="128"/>
        </w:numPr>
        <w:rPr>
          <w:rFonts w:ascii="Arial" w:cs="Arial" w:eastAsia="Arial" w:hAnsi="Arial"/>
          <w:sz w:val="18"/>
          <w:szCs w:val="18"/>
          <w:color w:val="4C4C4C"/>
        </w:rPr>
      </w:pPr>
      <w:r>
        <w:rPr>
          <w:rFonts w:ascii="Arial" w:cs="Arial" w:eastAsia="Arial" w:hAnsi="Arial"/>
          <w:sz w:val="18"/>
          <w:szCs w:val="18"/>
          <w:color w:val="4C4C4C"/>
        </w:rPr>
        <w:t>reviewed our incentive compensation arrangements to confirm that incentive pay does not encourage our executive officers to take unnecessary risks, and reviewed and discussed the relationship between our risk management policies and practices, corporate strategy, and senior executive compensation.</w:t>
      </w:r>
    </w:p>
    <w:p>
      <w:pPr>
        <w:spacing w:after="0" w:line="77"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i w:val="1"/>
          <w:iCs w:val="1"/>
          <w:color w:val="4C4C4C"/>
        </w:rPr>
        <w:t xml:space="preserve">Compensation Consultants’ Role. </w:t>
      </w:r>
      <w:r>
        <w:rPr>
          <w:rFonts w:ascii="Arial" w:cs="Arial" w:eastAsia="Arial" w:hAnsi="Arial"/>
          <w:sz w:val="17"/>
          <w:szCs w:val="17"/>
          <w:color w:val="4C4C4C"/>
        </w:rPr>
        <w:t>Under its written charter, the Compensation and Human Capital Committee has the authority to retain</w:t>
      </w:r>
      <w:r>
        <w:rPr>
          <w:rFonts w:ascii="Arial" w:cs="Arial" w:eastAsia="Arial" w:hAnsi="Arial"/>
          <w:sz w:val="17"/>
          <w:szCs w:val="17"/>
          <w:i w:val="1"/>
          <w:iCs w:val="1"/>
          <w:color w:val="4C4C4C"/>
        </w:rPr>
        <w:t xml:space="preserve"> </w:t>
      </w:r>
      <w:r>
        <w:rPr>
          <w:rFonts w:ascii="Arial" w:cs="Arial" w:eastAsia="Arial" w:hAnsi="Arial"/>
          <w:sz w:val="17"/>
          <w:szCs w:val="17"/>
          <w:color w:val="4C4C4C"/>
        </w:rPr>
        <w:t>advisers to assist in the discharge of its duties. The Compensation and Human Capital Committee has retained SBCG as its independent compensation consultant since November 2017. The Compensation and Human Capital Committee annually assesses SBCG’s independence in light of SEC standards and has determined that no conflicts of interest or independence concerns exist. SBCG reports directly to the Compensation and Human Capital Committee, and the Compensation and Human Capital Committee has the sole authority to approve the fees and other terms of the retention of SBCG as its independent compensation consultant. SBCG is expected to attend all Compensation and Human Capital Committee meetings and to provide advice to the Compensation and Human Capital Committee on all aspects of the Company’s executive compensation program, including the form, mix, and amount of Target TDC. SBCG has assisted the Compensation and Human Capital Committee in its implementation of our compensation principles and practices. SBCG has advised the Compensation and Human Capital Committee on the development of the Company’s 2020 STI and LTI compensation arrangements, including the STI and LTI metrics for 2020 and the forms of equity-based incentives awarded to members of the SLMG in 2020.</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49</w:t>
      </w:r>
    </w:p>
    <w:p>
      <w:pPr>
        <w:sectPr>
          <w:pgSz w:w="11900" w:h="16838" w:orient="portrait"/>
          <w:cols w:equalWidth="0" w:num="1">
            <w:col w:w="11140"/>
          </w:cols>
          <w:pgMar w:left="320" w:top="459" w:right="4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Section 2 – Our 2020 Executive Compensation Program</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Elements of 2020 Compensation</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266"/>
        </w:trPr>
        <w:tc>
          <w:tcPr>
            <w:tcW w:w="1380" w:type="dxa"/>
            <w:vAlign w:val="bottom"/>
            <w:tcBorders>
              <w:top w:val="single" w:sz="8" w:color="00ADBB"/>
            </w:tcBorders>
          </w:tcPr>
          <w:p>
            <w:pPr>
              <w:spacing w:after="0"/>
              <w:rPr>
                <w:sz w:val="20"/>
                <w:szCs w:val="20"/>
                <w:color w:val="auto"/>
              </w:rPr>
            </w:pPr>
            <w:r>
              <w:rPr>
                <w:rFonts w:ascii="Arial" w:cs="Arial" w:eastAsia="Arial" w:hAnsi="Arial"/>
                <w:sz w:val="18"/>
                <w:szCs w:val="18"/>
                <w:b w:val="1"/>
                <w:bCs w:val="1"/>
                <w:color w:val="00ADBB"/>
              </w:rPr>
              <w:t>Component</w:t>
            </w:r>
          </w:p>
        </w:tc>
        <w:tc>
          <w:tcPr>
            <w:tcW w:w="340" w:type="dxa"/>
            <w:vAlign w:val="bottom"/>
          </w:tcPr>
          <w:p>
            <w:pPr>
              <w:spacing w:after="0"/>
              <w:rPr>
                <w:sz w:val="23"/>
                <w:szCs w:val="23"/>
                <w:color w:val="auto"/>
              </w:rPr>
            </w:pPr>
          </w:p>
        </w:tc>
        <w:tc>
          <w:tcPr>
            <w:tcW w:w="1600" w:type="dxa"/>
            <w:vAlign w:val="bottom"/>
            <w:tcBorders>
              <w:top w:val="single" w:sz="8" w:color="00ADBB"/>
            </w:tcBorders>
          </w:tcPr>
          <w:p>
            <w:pPr>
              <w:ind w:left="100"/>
              <w:spacing w:after="0"/>
              <w:rPr>
                <w:sz w:val="20"/>
                <w:szCs w:val="20"/>
                <w:color w:val="auto"/>
              </w:rPr>
            </w:pPr>
            <w:r>
              <w:rPr>
                <w:rFonts w:ascii="Arial" w:cs="Arial" w:eastAsia="Arial" w:hAnsi="Arial"/>
                <w:sz w:val="18"/>
                <w:szCs w:val="18"/>
                <w:b w:val="1"/>
                <w:bCs w:val="1"/>
                <w:color w:val="00ADBB"/>
              </w:rPr>
              <w:t>Form</w:t>
            </w:r>
          </w:p>
        </w:tc>
        <w:tc>
          <w:tcPr>
            <w:tcW w:w="320" w:type="dxa"/>
            <w:vAlign w:val="bottom"/>
          </w:tcPr>
          <w:p>
            <w:pPr>
              <w:spacing w:after="0"/>
              <w:rPr>
                <w:sz w:val="23"/>
                <w:szCs w:val="23"/>
                <w:color w:val="auto"/>
              </w:rPr>
            </w:pPr>
          </w:p>
        </w:tc>
        <w:tc>
          <w:tcPr>
            <w:tcW w:w="7040" w:type="dxa"/>
            <w:vAlign w:val="bottom"/>
            <w:tcBorders>
              <w:top w:val="single" w:sz="8" w:color="00ADBB"/>
            </w:tcBorders>
          </w:tcPr>
          <w:p>
            <w:pPr>
              <w:ind w:left="100"/>
              <w:spacing w:after="0"/>
              <w:rPr>
                <w:sz w:val="20"/>
                <w:szCs w:val="20"/>
                <w:color w:val="auto"/>
              </w:rPr>
            </w:pPr>
            <w:r>
              <w:rPr>
                <w:rFonts w:ascii="Arial" w:cs="Arial" w:eastAsia="Arial" w:hAnsi="Arial"/>
                <w:sz w:val="18"/>
                <w:szCs w:val="18"/>
                <w:b w:val="1"/>
                <w:bCs w:val="1"/>
                <w:color w:val="00ADBB"/>
              </w:rPr>
              <w:t>Purpose</w:t>
            </w:r>
          </w:p>
        </w:tc>
      </w:tr>
      <w:tr>
        <w:trPr>
          <w:trHeight w:val="153"/>
        </w:trPr>
        <w:tc>
          <w:tcPr>
            <w:tcW w:w="1380" w:type="dxa"/>
            <w:vAlign w:val="bottom"/>
            <w:tcBorders>
              <w:bottom w:val="single" w:sz="8" w:color="4C4C4C"/>
            </w:tcBorders>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Borders>
              <w:bottom w:val="single" w:sz="8" w:color="4C4C4C"/>
            </w:tcBorders>
          </w:tcPr>
          <w:p>
            <w:pPr>
              <w:spacing w:after="0"/>
              <w:rPr>
                <w:sz w:val="13"/>
                <w:szCs w:val="13"/>
                <w:color w:val="auto"/>
              </w:rPr>
            </w:pPr>
          </w:p>
        </w:tc>
        <w:tc>
          <w:tcPr>
            <w:tcW w:w="320" w:type="dxa"/>
            <w:vAlign w:val="bottom"/>
          </w:tcPr>
          <w:p>
            <w:pPr>
              <w:spacing w:after="0"/>
              <w:rPr>
                <w:sz w:val="13"/>
                <w:szCs w:val="13"/>
                <w:color w:val="auto"/>
              </w:rPr>
            </w:pPr>
          </w:p>
        </w:tc>
        <w:tc>
          <w:tcPr>
            <w:tcW w:w="7040" w:type="dxa"/>
            <w:vAlign w:val="bottom"/>
            <w:tcBorders>
              <w:bottom w:val="single" w:sz="8" w:color="4C4C4C"/>
            </w:tcBorders>
          </w:tcPr>
          <w:p>
            <w:pPr>
              <w:spacing w:after="0"/>
              <w:rPr>
                <w:sz w:val="13"/>
                <w:szCs w:val="13"/>
                <w:color w:val="auto"/>
              </w:rPr>
            </w:pPr>
          </w:p>
        </w:tc>
      </w:tr>
      <w:tr>
        <w:trPr>
          <w:trHeight w:val="249"/>
        </w:trPr>
        <w:tc>
          <w:tcPr>
            <w:tcW w:w="1720" w:type="dxa"/>
            <w:vAlign w:val="bottom"/>
            <w:gridSpan w:val="2"/>
          </w:tcPr>
          <w:p>
            <w:pPr>
              <w:spacing w:after="0"/>
              <w:rPr>
                <w:sz w:val="20"/>
                <w:szCs w:val="20"/>
                <w:color w:val="auto"/>
              </w:rPr>
            </w:pPr>
            <w:r>
              <w:rPr>
                <w:rFonts w:ascii="Arial" w:cs="Arial" w:eastAsia="Arial" w:hAnsi="Arial"/>
                <w:sz w:val="18"/>
                <w:szCs w:val="18"/>
                <w:b w:val="1"/>
                <w:bCs w:val="1"/>
                <w:color w:val="4C4C4C"/>
              </w:rPr>
              <w:t>Base Salary</w:t>
            </w:r>
          </w:p>
        </w:tc>
        <w:tc>
          <w:tcPr>
            <w:tcW w:w="1920" w:type="dxa"/>
            <w:vAlign w:val="bottom"/>
            <w:gridSpan w:val="2"/>
          </w:tcPr>
          <w:p>
            <w:pPr>
              <w:ind w:left="100"/>
              <w:spacing w:after="0"/>
              <w:rPr>
                <w:sz w:val="20"/>
                <w:szCs w:val="20"/>
                <w:color w:val="auto"/>
              </w:rPr>
            </w:pPr>
            <w:r>
              <w:rPr>
                <w:rFonts w:ascii="Arial" w:cs="Arial" w:eastAsia="Arial" w:hAnsi="Arial"/>
                <w:sz w:val="18"/>
                <w:szCs w:val="18"/>
                <w:color w:val="4C4C4C"/>
              </w:rPr>
              <w:t>Cash (Fixed)</w:t>
            </w:r>
          </w:p>
        </w:tc>
        <w:tc>
          <w:tcPr>
            <w:tcW w:w="7040" w:type="dxa"/>
            <w:vAlign w:val="bottom"/>
          </w:tcPr>
          <w:p>
            <w:pPr>
              <w:ind w:left="100"/>
              <w:spacing w:after="0"/>
              <w:rPr>
                <w:sz w:val="20"/>
                <w:szCs w:val="20"/>
                <w:color w:val="auto"/>
              </w:rPr>
            </w:pPr>
            <w:r>
              <w:rPr>
                <w:rFonts w:ascii="Arial" w:cs="Arial" w:eastAsia="Arial" w:hAnsi="Arial"/>
                <w:sz w:val="18"/>
                <w:szCs w:val="18"/>
                <w:color w:val="4C4C4C"/>
              </w:rPr>
              <w:t>Base salary provides a fixed amount of compensation for services during the year.</w:t>
            </w:r>
          </w:p>
        </w:tc>
      </w:tr>
      <w:tr>
        <w:trPr>
          <w:trHeight w:val="203"/>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Base salary is determined based upon a variety of factors, including scope of</w:t>
            </w:r>
          </w:p>
        </w:tc>
      </w:tr>
      <w:tr>
        <w:trPr>
          <w:trHeight w:val="203"/>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responsibilities, individual performance, and market data. In line with our</w:t>
            </w:r>
          </w:p>
        </w:tc>
      </w:tr>
      <w:tr>
        <w:trPr>
          <w:trHeight w:val="203"/>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w w:val="99"/>
              </w:rPr>
              <w:t>pay-for-performance philosophy, Target TDC has been structured so that base salary is</w:t>
            </w:r>
          </w:p>
        </w:tc>
      </w:tr>
      <w:tr>
        <w:trPr>
          <w:trHeight w:val="203"/>
        </w:trPr>
        <w:tc>
          <w:tcPr>
            <w:tcW w:w="1380" w:type="dxa"/>
            <w:vAlign w:val="bottom"/>
            <w:tcBorders>
              <w:bottom w:val="single" w:sz="8" w:color="4C4C4C"/>
            </w:tcBorders>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4C4C4C"/>
            </w:tcBorders>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Borders>
              <w:bottom w:val="single" w:sz="8" w:color="4C4C4C"/>
            </w:tcBorders>
          </w:tcPr>
          <w:p>
            <w:pPr>
              <w:ind w:left="100"/>
              <w:spacing w:after="0" w:line="203" w:lineRule="exact"/>
              <w:rPr>
                <w:sz w:val="20"/>
                <w:szCs w:val="20"/>
                <w:color w:val="auto"/>
              </w:rPr>
            </w:pPr>
            <w:r>
              <w:rPr>
                <w:rFonts w:ascii="Arial" w:cs="Arial" w:eastAsia="Arial" w:hAnsi="Arial"/>
                <w:sz w:val="18"/>
                <w:szCs w:val="18"/>
                <w:color w:val="4C4C4C"/>
              </w:rPr>
              <w:t>the smallest component of pay for our NEOs.</w:t>
            </w:r>
          </w:p>
        </w:tc>
      </w:tr>
      <w:tr>
        <w:trPr>
          <w:trHeight w:val="227"/>
        </w:trPr>
        <w:tc>
          <w:tcPr>
            <w:tcW w:w="1720" w:type="dxa"/>
            <w:vAlign w:val="bottom"/>
            <w:gridSpan w:val="2"/>
          </w:tcPr>
          <w:p>
            <w:pPr>
              <w:spacing w:after="0"/>
              <w:rPr>
                <w:sz w:val="20"/>
                <w:szCs w:val="20"/>
                <w:color w:val="auto"/>
              </w:rPr>
            </w:pPr>
            <w:r>
              <w:rPr>
                <w:rFonts w:ascii="Arial" w:cs="Arial" w:eastAsia="Arial" w:hAnsi="Arial"/>
                <w:sz w:val="18"/>
                <w:szCs w:val="18"/>
                <w:b w:val="1"/>
                <w:bCs w:val="1"/>
                <w:color w:val="4C4C4C"/>
              </w:rPr>
              <w:t>Short-Term</w:t>
            </w:r>
          </w:p>
        </w:tc>
        <w:tc>
          <w:tcPr>
            <w:tcW w:w="1920" w:type="dxa"/>
            <w:vAlign w:val="bottom"/>
            <w:gridSpan w:val="2"/>
          </w:tcPr>
          <w:p>
            <w:pPr>
              <w:ind w:left="100"/>
              <w:spacing w:after="0"/>
              <w:rPr>
                <w:sz w:val="20"/>
                <w:szCs w:val="20"/>
                <w:color w:val="auto"/>
              </w:rPr>
            </w:pPr>
            <w:r>
              <w:rPr>
                <w:rFonts w:ascii="Arial" w:cs="Arial" w:eastAsia="Arial" w:hAnsi="Arial"/>
                <w:sz w:val="18"/>
                <w:szCs w:val="18"/>
                <w:color w:val="4C4C4C"/>
              </w:rPr>
              <w:t>Cash (Variable)</w:t>
            </w:r>
          </w:p>
        </w:tc>
        <w:tc>
          <w:tcPr>
            <w:tcW w:w="7040" w:type="dxa"/>
            <w:vAlign w:val="bottom"/>
          </w:tcPr>
          <w:p>
            <w:pPr>
              <w:ind w:left="100"/>
              <w:spacing w:after="0"/>
              <w:rPr>
                <w:sz w:val="20"/>
                <w:szCs w:val="20"/>
                <w:color w:val="auto"/>
              </w:rPr>
            </w:pPr>
            <w:r>
              <w:rPr>
                <w:rFonts w:ascii="Arial" w:cs="Arial" w:eastAsia="Arial" w:hAnsi="Arial"/>
                <w:sz w:val="18"/>
                <w:szCs w:val="18"/>
                <w:color w:val="4C4C4C"/>
              </w:rPr>
              <w:t>STI awards are our annual cash incentive awards that reward our NEOs for their</w:t>
            </w:r>
          </w:p>
        </w:tc>
      </w:tr>
      <w:tr>
        <w:trPr>
          <w:trHeight w:val="203"/>
        </w:trPr>
        <w:tc>
          <w:tcPr>
            <w:tcW w:w="172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Incentive (STI)</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performance in 2020. Payout amounts were based both upon the Company’s</w:t>
            </w:r>
          </w:p>
        </w:tc>
      </w:tr>
      <w:tr>
        <w:trPr>
          <w:trHeight w:val="224"/>
        </w:trPr>
        <w:tc>
          <w:tcPr>
            <w:tcW w:w="1720" w:type="dxa"/>
            <w:vAlign w:val="bottom"/>
            <w:gridSpan w:val="2"/>
          </w:tcPr>
          <w:p>
            <w:pPr>
              <w:spacing w:after="0"/>
              <w:rPr>
                <w:sz w:val="20"/>
                <w:szCs w:val="20"/>
                <w:color w:val="auto"/>
              </w:rPr>
            </w:pPr>
            <w:r>
              <w:rPr>
                <w:rFonts w:ascii="Arial" w:cs="Arial" w:eastAsia="Arial" w:hAnsi="Arial"/>
                <w:sz w:val="18"/>
                <w:szCs w:val="18"/>
                <w:b w:val="1"/>
                <w:bCs w:val="1"/>
                <w:color w:val="4C4C4C"/>
              </w:rPr>
              <w:t>Awards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4C4C4C"/>
              </w:rPr>
              <w:t>performance against the 2020 STI Metrics approved by the Compensation and Human</w:t>
            </w:r>
          </w:p>
        </w:tc>
      </w:tr>
      <w:tr>
        <w:trPr>
          <w:trHeight w:val="203"/>
        </w:trPr>
        <w:tc>
          <w:tcPr>
            <w:tcW w:w="1380" w:type="dxa"/>
            <w:vAlign w:val="bottom"/>
            <w:tcBorders>
              <w:bottom w:val="single" w:sz="8" w:color="4C4C4C"/>
            </w:tcBorders>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4C4C4C"/>
            </w:tcBorders>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Borders>
              <w:bottom w:val="single" w:sz="8" w:color="4C4C4C"/>
            </w:tcBorders>
          </w:tcPr>
          <w:p>
            <w:pPr>
              <w:ind w:left="100"/>
              <w:spacing w:after="0" w:line="203" w:lineRule="exact"/>
              <w:rPr>
                <w:sz w:val="20"/>
                <w:szCs w:val="20"/>
                <w:color w:val="auto"/>
              </w:rPr>
            </w:pPr>
            <w:r>
              <w:rPr>
                <w:rFonts w:ascii="Arial" w:cs="Arial" w:eastAsia="Arial" w:hAnsi="Arial"/>
                <w:sz w:val="18"/>
                <w:szCs w:val="18"/>
                <w:color w:val="4C4C4C"/>
              </w:rPr>
              <w:t>Capital Committee and upon the NEO’s individual performance.</w:t>
            </w:r>
          </w:p>
        </w:tc>
      </w:tr>
      <w:tr>
        <w:trPr>
          <w:trHeight w:val="227"/>
        </w:trPr>
        <w:tc>
          <w:tcPr>
            <w:tcW w:w="1720" w:type="dxa"/>
            <w:vAlign w:val="bottom"/>
            <w:gridSpan w:val="2"/>
          </w:tcPr>
          <w:p>
            <w:pPr>
              <w:spacing w:after="0"/>
              <w:rPr>
                <w:sz w:val="20"/>
                <w:szCs w:val="20"/>
                <w:color w:val="auto"/>
              </w:rPr>
            </w:pPr>
            <w:r>
              <w:rPr>
                <w:rFonts w:ascii="Arial" w:cs="Arial" w:eastAsia="Arial" w:hAnsi="Arial"/>
                <w:sz w:val="18"/>
                <w:szCs w:val="18"/>
                <w:b w:val="1"/>
                <w:bCs w:val="1"/>
                <w:color w:val="4C4C4C"/>
              </w:rPr>
              <w:t>Long-Term</w:t>
            </w:r>
          </w:p>
        </w:tc>
        <w:tc>
          <w:tcPr>
            <w:tcW w:w="1920" w:type="dxa"/>
            <w:vAlign w:val="bottom"/>
            <w:gridSpan w:val="2"/>
          </w:tcPr>
          <w:p>
            <w:pPr>
              <w:ind w:left="100"/>
              <w:spacing w:after="0"/>
              <w:rPr>
                <w:sz w:val="20"/>
                <w:szCs w:val="20"/>
                <w:color w:val="auto"/>
              </w:rPr>
            </w:pPr>
            <w:r>
              <w:rPr>
                <w:rFonts w:ascii="Arial" w:cs="Arial" w:eastAsia="Arial" w:hAnsi="Arial"/>
                <w:sz w:val="18"/>
                <w:szCs w:val="18"/>
                <w:color w:val="4C4C4C"/>
              </w:rPr>
              <w:t>Equity (Variable)</w:t>
            </w:r>
          </w:p>
        </w:tc>
        <w:tc>
          <w:tcPr>
            <w:tcW w:w="7040" w:type="dxa"/>
            <w:vAlign w:val="bottom"/>
          </w:tcPr>
          <w:p>
            <w:pPr>
              <w:ind w:left="100"/>
              <w:spacing w:after="0"/>
              <w:rPr>
                <w:sz w:val="20"/>
                <w:szCs w:val="20"/>
                <w:color w:val="auto"/>
              </w:rPr>
            </w:pPr>
            <w:r>
              <w:rPr>
                <w:rFonts w:ascii="Arial" w:cs="Arial" w:eastAsia="Arial" w:hAnsi="Arial"/>
                <w:sz w:val="18"/>
                <w:szCs w:val="18"/>
                <w:color w:val="4C4C4C"/>
              </w:rPr>
              <w:t>LTI awards are our stock-based awards that reward our NEOs for their contributions to</w:t>
            </w:r>
          </w:p>
        </w:tc>
      </w:tr>
      <w:tr>
        <w:trPr>
          <w:trHeight w:val="203"/>
        </w:trPr>
        <w:tc>
          <w:tcPr>
            <w:tcW w:w="172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Incentive (LTI)</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Brighthouse’s long-term success. 2020 LTI awards consisted of PSUs, which will be</w:t>
            </w:r>
          </w:p>
        </w:tc>
      </w:tr>
      <w:tr>
        <w:trPr>
          <w:trHeight w:val="224"/>
        </w:trPr>
        <w:tc>
          <w:tcPr>
            <w:tcW w:w="1720" w:type="dxa"/>
            <w:vAlign w:val="bottom"/>
            <w:gridSpan w:val="2"/>
          </w:tcPr>
          <w:p>
            <w:pPr>
              <w:spacing w:after="0"/>
              <w:rPr>
                <w:sz w:val="20"/>
                <w:szCs w:val="20"/>
                <w:color w:val="auto"/>
              </w:rPr>
            </w:pPr>
            <w:r>
              <w:rPr>
                <w:rFonts w:ascii="Arial" w:cs="Arial" w:eastAsia="Arial" w:hAnsi="Arial"/>
                <w:sz w:val="18"/>
                <w:szCs w:val="18"/>
                <w:b w:val="1"/>
                <w:bCs w:val="1"/>
                <w:color w:val="4C4C4C"/>
              </w:rPr>
              <w:t>Awards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4C4C4C"/>
              </w:rPr>
              <w:t>paid out at the end of a three-year performance period based on Brighthouse’s</w:t>
            </w:r>
          </w:p>
        </w:tc>
      </w:tr>
      <w:tr>
        <w:trPr>
          <w:trHeight w:val="203"/>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performance against quantitative goals, and RSUs, which vest annually in thirds. For</w:t>
            </w:r>
          </w:p>
        </w:tc>
      </w:tr>
      <w:tr>
        <w:trPr>
          <w:trHeight w:val="203"/>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Pr>
          <w:p>
            <w:pPr>
              <w:ind w:left="100"/>
              <w:spacing w:after="0" w:line="202" w:lineRule="exact"/>
              <w:rPr>
                <w:sz w:val="20"/>
                <w:szCs w:val="20"/>
                <w:color w:val="auto"/>
              </w:rPr>
            </w:pPr>
            <w:r>
              <w:rPr>
                <w:rFonts w:ascii="Arial" w:cs="Arial" w:eastAsia="Arial" w:hAnsi="Arial"/>
                <w:sz w:val="18"/>
                <w:szCs w:val="18"/>
                <w:color w:val="4C4C4C"/>
              </w:rPr>
              <w:t>the CEO, the LTI Award mix is 70% PSUs and 30% RSUs. For all other NEOs, the LTI</w:t>
            </w:r>
          </w:p>
        </w:tc>
      </w:tr>
      <w:tr>
        <w:trPr>
          <w:trHeight w:val="203"/>
        </w:trPr>
        <w:tc>
          <w:tcPr>
            <w:tcW w:w="1380" w:type="dxa"/>
            <w:vAlign w:val="bottom"/>
            <w:tcBorders>
              <w:bottom w:val="single" w:sz="8" w:color="4C4C4C"/>
            </w:tcBorders>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4C4C4C"/>
            </w:tcBorders>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Borders>
              <w:bottom w:val="single" w:sz="8" w:color="4C4C4C"/>
            </w:tcBorders>
          </w:tcPr>
          <w:p>
            <w:pPr>
              <w:ind w:left="100"/>
              <w:spacing w:after="0" w:line="203" w:lineRule="exact"/>
              <w:rPr>
                <w:sz w:val="20"/>
                <w:szCs w:val="20"/>
                <w:color w:val="auto"/>
              </w:rPr>
            </w:pPr>
            <w:r>
              <w:rPr>
                <w:rFonts w:ascii="Arial" w:cs="Arial" w:eastAsia="Arial" w:hAnsi="Arial"/>
                <w:sz w:val="18"/>
                <w:szCs w:val="18"/>
                <w:color w:val="4C4C4C"/>
              </w:rPr>
              <w:t>Award mix is 60% PSUs and 40% RSUs.</w:t>
            </w:r>
          </w:p>
        </w:tc>
      </w:tr>
    </w:tbl>
    <w:p>
      <w:pPr>
        <w:spacing w:after="0" w:line="18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2020 Target Total Direct Compensation</w:t>
      </w:r>
    </w:p>
    <w:p>
      <w:pPr>
        <w:spacing w:after="0" w:line="13" w:lineRule="exact"/>
        <w:rPr>
          <w:sz w:val="20"/>
          <w:szCs w:val="20"/>
          <w:color w:val="auto"/>
        </w:rPr>
      </w:pPr>
    </w:p>
    <w:p>
      <w:pPr>
        <w:ind w:left="280" w:right="420"/>
        <w:spacing w:after="0" w:line="238" w:lineRule="auto"/>
        <w:rPr>
          <w:sz w:val="20"/>
          <w:szCs w:val="20"/>
          <w:color w:val="auto"/>
        </w:rPr>
      </w:pPr>
      <w:r>
        <w:rPr>
          <w:rFonts w:ascii="Arial" w:cs="Arial" w:eastAsia="Arial" w:hAnsi="Arial"/>
          <w:sz w:val="18"/>
          <w:szCs w:val="18"/>
          <w:color w:val="4C4C4C"/>
        </w:rPr>
        <w:t>In January 2020, as part of the annual compensation planning process, the Independent Directors (in the case of the CEO) and the Compensation and Human Capital Committee (in the case of the other NEOs) approved the Target TDC for all NEOs, effective March 9, 2020. The Target TDC of three of our NEOs were increased to align them more closely with the market median in accordance with our pay positioning strategy. 2020 Target TDC for our NEOs is described in the following table (changes from 2019 Target TDC are indicated, where applicable).</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3940" w:type="dxa"/>
            <w:vAlign w:val="bottom"/>
            <w:shd w:val="clear" w:color="auto" w:fill="00ADBB"/>
          </w:tcPr>
          <w:p>
            <w:pPr>
              <w:spacing w:after="0"/>
              <w:rPr>
                <w:sz w:val="18"/>
                <w:szCs w:val="18"/>
                <w:color w:val="auto"/>
              </w:rPr>
            </w:pPr>
          </w:p>
        </w:tc>
        <w:tc>
          <w:tcPr>
            <w:tcW w:w="1320" w:type="dxa"/>
            <w:vAlign w:val="bottom"/>
            <w:shd w:val="clear" w:color="auto" w:fill="00ADBB"/>
          </w:tcPr>
          <w:p>
            <w:pPr>
              <w:spacing w:after="0"/>
              <w:rPr>
                <w:sz w:val="18"/>
                <w:szCs w:val="18"/>
                <w:color w:val="auto"/>
              </w:rPr>
            </w:pPr>
          </w:p>
        </w:tc>
        <w:tc>
          <w:tcPr>
            <w:tcW w:w="21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Target STI</w:t>
            </w:r>
          </w:p>
        </w:tc>
        <w:tc>
          <w:tcPr>
            <w:tcW w:w="21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6"/>
              </w:rPr>
              <w:t>Target LTI</w:t>
            </w:r>
          </w:p>
        </w:tc>
        <w:tc>
          <w:tcPr>
            <w:tcW w:w="1180" w:type="dxa"/>
            <w:vAlign w:val="bottom"/>
            <w:shd w:val="clear" w:color="auto" w:fill="00ADBB"/>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Name</w:t>
            </w:r>
          </w:p>
        </w:tc>
        <w:tc>
          <w:tcPr>
            <w:tcW w:w="1320" w:type="dxa"/>
            <w:vAlign w:val="bottom"/>
            <w:shd w:val="clear" w:color="auto" w:fill="00ADBB"/>
          </w:tcPr>
          <w:p>
            <w:pPr>
              <w:jc w:val="right"/>
              <w:ind w:right="50"/>
              <w:spacing w:after="0"/>
              <w:rPr>
                <w:sz w:val="20"/>
                <w:szCs w:val="20"/>
                <w:color w:val="auto"/>
              </w:rPr>
            </w:pPr>
            <w:r>
              <w:rPr>
                <w:rFonts w:ascii="Arial" w:cs="Arial" w:eastAsia="Arial" w:hAnsi="Arial"/>
                <w:sz w:val="18"/>
                <w:szCs w:val="18"/>
                <w:b w:val="1"/>
                <w:bCs w:val="1"/>
                <w:color w:val="FFFFFF"/>
              </w:rPr>
              <w:t>Base Salary</w:t>
            </w:r>
          </w:p>
        </w:tc>
        <w:tc>
          <w:tcPr>
            <w:tcW w:w="21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(as % of Base Salary)</w:t>
            </w:r>
          </w:p>
        </w:tc>
        <w:tc>
          <w:tcPr>
            <w:tcW w:w="21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(as % of Base Salary)</w:t>
            </w:r>
          </w:p>
        </w:tc>
        <w:tc>
          <w:tcPr>
            <w:tcW w:w="1180" w:type="dxa"/>
            <w:vAlign w:val="bottom"/>
            <w:shd w:val="clear" w:color="auto" w:fill="00ADBB"/>
          </w:tcPr>
          <w:p>
            <w:pPr>
              <w:ind w:left="140"/>
              <w:spacing w:after="0"/>
              <w:rPr>
                <w:sz w:val="20"/>
                <w:szCs w:val="20"/>
                <w:color w:val="auto"/>
              </w:rPr>
            </w:pPr>
            <w:r>
              <w:rPr>
                <w:rFonts w:ascii="Arial" w:cs="Arial" w:eastAsia="Arial" w:hAnsi="Arial"/>
                <w:sz w:val="18"/>
                <w:szCs w:val="18"/>
                <w:b w:val="1"/>
                <w:bCs w:val="1"/>
                <w:color w:val="FFFFFF"/>
              </w:rPr>
              <w:t>Target TDC</w:t>
            </w:r>
          </w:p>
        </w:tc>
        <w:tc>
          <w:tcPr>
            <w:tcW w:w="0" w:type="dxa"/>
            <w:vAlign w:val="bottom"/>
          </w:tcPr>
          <w:p>
            <w:pPr>
              <w:spacing w:after="0"/>
              <w:rPr>
                <w:sz w:val="1"/>
                <w:szCs w:val="1"/>
                <w:color w:val="auto"/>
              </w:rPr>
            </w:pPr>
          </w:p>
        </w:tc>
      </w:tr>
      <w:tr>
        <w:trPr>
          <w:trHeight w:val="269"/>
        </w:trPr>
        <w:tc>
          <w:tcPr>
            <w:tcW w:w="3940" w:type="dxa"/>
            <w:vAlign w:val="bottom"/>
            <w:vMerge w:val="restart"/>
          </w:tcPr>
          <w:p>
            <w:pPr>
              <w:ind w:left="100"/>
              <w:spacing w:after="0"/>
              <w:rPr>
                <w:sz w:val="20"/>
                <w:szCs w:val="20"/>
                <w:color w:val="auto"/>
              </w:rPr>
            </w:pPr>
            <w:r>
              <w:rPr>
                <w:rFonts w:ascii="Arial" w:cs="Arial" w:eastAsia="Arial" w:hAnsi="Arial"/>
                <w:sz w:val="18"/>
                <w:szCs w:val="18"/>
                <w:color w:val="4C4C4C"/>
              </w:rPr>
              <w:t xml:space="preserve">Eric Steigerwalt </w:t>
            </w:r>
            <w:r>
              <w:rPr>
                <w:rFonts w:ascii="Arial" w:cs="Arial" w:eastAsia="Arial" w:hAnsi="Arial"/>
                <w:sz w:val="15"/>
                <w:szCs w:val="15"/>
                <w:color w:val="4C4C4C"/>
              </w:rPr>
              <w:t>(1)</w:t>
            </w:r>
          </w:p>
        </w:tc>
        <w:tc>
          <w:tcPr>
            <w:tcW w:w="1320" w:type="dxa"/>
            <w:vAlign w:val="bottom"/>
          </w:tcPr>
          <w:p>
            <w:pPr>
              <w:jc w:val="right"/>
              <w:ind w:right="170"/>
              <w:spacing w:after="0"/>
              <w:rPr>
                <w:sz w:val="20"/>
                <w:szCs w:val="20"/>
                <w:color w:val="auto"/>
              </w:rPr>
            </w:pPr>
            <w:r>
              <w:rPr>
                <w:rFonts w:ascii="Arial" w:cs="Arial" w:eastAsia="Arial" w:hAnsi="Arial"/>
                <w:sz w:val="18"/>
                <w:szCs w:val="18"/>
                <w:color w:val="4C4C4C"/>
              </w:rPr>
              <w:t>$925,000</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4C4C4C"/>
                <w:w w:val="99"/>
              </w:rPr>
              <w:t>200%</w:t>
            </w:r>
          </w:p>
        </w:tc>
        <w:tc>
          <w:tcPr>
            <w:tcW w:w="2120" w:type="dxa"/>
            <w:vAlign w:val="bottom"/>
          </w:tcPr>
          <w:p>
            <w:pPr>
              <w:jc w:val="center"/>
              <w:spacing w:after="0"/>
              <w:rPr>
                <w:sz w:val="20"/>
                <w:szCs w:val="20"/>
                <w:color w:val="auto"/>
              </w:rPr>
            </w:pPr>
            <w:r>
              <w:rPr>
                <w:rFonts w:ascii="Arial" w:cs="Arial" w:eastAsia="Arial" w:hAnsi="Arial"/>
                <w:sz w:val="18"/>
                <w:szCs w:val="18"/>
                <w:color w:val="4C4C4C"/>
                <w:w w:val="99"/>
              </w:rPr>
              <w:t>530%</w:t>
            </w:r>
          </w:p>
        </w:tc>
        <w:tc>
          <w:tcPr>
            <w:tcW w:w="1180" w:type="dxa"/>
            <w:vAlign w:val="bottom"/>
          </w:tcPr>
          <w:p>
            <w:pPr>
              <w:jc w:val="center"/>
              <w:spacing w:after="0"/>
              <w:rPr>
                <w:sz w:val="20"/>
                <w:szCs w:val="20"/>
                <w:color w:val="auto"/>
              </w:rPr>
            </w:pPr>
            <w:r>
              <w:rPr>
                <w:rFonts w:ascii="Arial" w:cs="Arial" w:eastAsia="Arial" w:hAnsi="Arial"/>
                <w:sz w:val="18"/>
                <w:szCs w:val="18"/>
                <w:color w:val="4C4C4C"/>
                <w:w w:val="99"/>
              </w:rPr>
              <w:t>$7,677,500</w:t>
            </w:r>
          </w:p>
        </w:tc>
        <w:tc>
          <w:tcPr>
            <w:tcW w:w="0" w:type="dxa"/>
            <w:vAlign w:val="bottom"/>
          </w:tcPr>
          <w:p>
            <w:pPr>
              <w:spacing w:after="0"/>
              <w:rPr>
                <w:sz w:val="1"/>
                <w:szCs w:val="1"/>
                <w:color w:val="auto"/>
              </w:rPr>
            </w:pPr>
          </w:p>
        </w:tc>
      </w:tr>
      <w:tr>
        <w:trPr>
          <w:trHeight w:val="122"/>
        </w:trPr>
        <w:tc>
          <w:tcPr>
            <w:tcW w:w="3940" w:type="dxa"/>
            <w:vAlign w:val="bottom"/>
            <w:vMerge w:val="continue"/>
          </w:tcPr>
          <w:p>
            <w:pPr>
              <w:spacing w:after="0"/>
              <w:rPr>
                <w:sz w:val="10"/>
                <w:szCs w:val="10"/>
                <w:color w:val="auto"/>
              </w:rPr>
            </w:pP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color w:val="4C4C4C"/>
              </w:rPr>
              <w:t>(+$25,000)</w:t>
            </w:r>
          </w:p>
        </w:tc>
        <w:tc>
          <w:tcPr>
            <w:tcW w:w="2120" w:type="dxa"/>
            <w:vAlign w:val="bottom"/>
            <w:vMerge w:val="continue"/>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4C4C4C"/>
              </w:rPr>
              <w:t>(+30% of base salary)</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4C4C4C"/>
              </w:rPr>
              <w:t>(+$477,500)</w:t>
            </w:r>
          </w:p>
        </w:tc>
        <w:tc>
          <w:tcPr>
            <w:tcW w:w="0" w:type="dxa"/>
            <w:vAlign w:val="bottom"/>
          </w:tcPr>
          <w:p>
            <w:pPr>
              <w:spacing w:after="0"/>
              <w:rPr>
                <w:sz w:val="1"/>
                <w:szCs w:val="1"/>
                <w:color w:val="auto"/>
              </w:rPr>
            </w:pPr>
          </w:p>
        </w:tc>
      </w:tr>
      <w:tr>
        <w:trPr>
          <w:trHeight w:val="94"/>
        </w:trPr>
        <w:tc>
          <w:tcPr>
            <w:tcW w:w="3940" w:type="dxa"/>
            <w:vAlign w:val="bottom"/>
            <w:tcBorders>
              <w:bottom w:val="single" w:sz="8" w:color="4C4C4C"/>
            </w:tcBorders>
          </w:tcPr>
          <w:p>
            <w:pPr>
              <w:spacing w:after="0"/>
              <w:rPr>
                <w:sz w:val="8"/>
                <w:szCs w:val="8"/>
                <w:color w:val="auto"/>
              </w:rPr>
            </w:pPr>
          </w:p>
        </w:tc>
        <w:tc>
          <w:tcPr>
            <w:tcW w:w="1320" w:type="dxa"/>
            <w:vAlign w:val="bottom"/>
            <w:tcBorders>
              <w:bottom w:val="single" w:sz="8" w:color="4C4C4C"/>
            </w:tcBorders>
            <w:vMerge w:val="continue"/>
          </w:tcPr>
          <w:p>
            <w:pPr>
              <w:spacing w:after="0"/>
              <w:rPr>
                <w:sz w:val="8"/>
                <w:szCs w:val="8"/>
                <w:color w:val="auto"/>
              </w:rPr>
            </w:pPr>
          </w:p>
        </w:tc>
        <w:tc>
          <w:tcPr>
            <w:tcW w:w="2120" w:type="dxa"/>
            <w:vAlign w:val="bottom"/>
            <w:tcBorders>
              <w:bottom w:val="single" w:sz="8" w:color="4C4C4C"/>
            </w:tcBorders>
          </w:tcPr>
          <w:p>
            <w:pPr>
              <w:spacing w:after="0"/>
              <w:rPr>
                <w:sz w:val="8"/>
                <w:szCs w:val="8"/>
                <w:color w:val="auto"/>
              </w:rPr>
            </w:pPr>
          </w:p>
        </w:tc>
        <w:tc>
          <w:tcPr>
            <w:tcW w:w="2120" w:type="dxa"/>
            <w:vAlign w:val="bottom"/>
            <w:tcBorders>
              <w:bottom w:val="single" w:sz="8" w:color="4C4C4C"/>
            </w:tcBorders>
            <w:vMerge w:val="continue"/>
          </w:tcPr>
          <w:p>
            <w:pPr>
              <w:spacing w:after="0"/>
              <w:rPr>
                <w:sz w:val="8"/>
                <w:szCs w:val="8"/>
                <w:color w:val="auto"/>
              </w:rPr>
            </w:pPr>
          </w:p>
        </w:tc>
        <w:tc>
          <w:tcPr>
            <w:tcW w:w="1180" w:type="dxa"/>
            <w:vAlign w:val="bottom"/>
            <w:tcBorders>
              <w:bottom w:val="single" w:sz="8" w:color="4C4C4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3940" w:type="dxa"/>
            <w:vAlign w:val="bottom"/>
            <w:shd w:val="clear" w:color="auto" w:fill="E5F6F8"/>
          </w:tcPr>
          <w:p>
            <w:pPr>
              <w:ind w:left="100"/>
              <w:spacing w:after="0"/>
              <w:rPr>
                <w:sz w:val="20"/>
                <w:szCs w:val="20"/>
                <w:color w:val="auto"/>
              </w:rPr>
            </w:pPr>
            <w:r>
              <w:rPr>
                <w:rFonts w:ascii="Arial" w:cs="Arial" w:eastAsia="Arial" w:hAnsi="Arial"/>
                <w:sz w:val="18"/>
                <w:szCs w:val="18"/>
                <w:color w:val="4C4C4C"/>
              </w:rPr>
              <w:t>Ed Spehar</w:t>
            </w:r>
          </w:p>
        </w:tc>
        <w:tc>
          <w:tcPr>
            <w:tcW w:w="1320" w:type="dxa"/>
            <w:vAlign w:val="bottom"/>
            <w:shd w:val="clear" w:color="auto" w:fill="E5F6F8"/>
          </w:tcPr>
          <w:p>
            <w:pPr>
              <w:jc w:val="right"/>
              <w:ind w:right="170"/>
              <w:spacing w:after="0"/>
              <w:rPr>
                <w:sz w:val="20"/>
                <w:szCs w:val="20"/>
                <w:color w:val="auto"/>
              </w:rPr>
            </w:pPr>
            <w:r>
              <w:rPr>
                <w:rFonts w:ascii="Arial" w:cs="Arial" w:eastAsia="Arial" w:hAnsi="Arial"/>
                <w:sz w:val="18"/>
                <w:szCs w:val="18"/>
                <w:color w:val="4C4C4C"/>
              </w:rPr>
              <w:t>$600,000</w:t>
            </w:r>
          </w:p>
        </w:tc>
        <w:tc>
          <w:tcPr>
            <w:tcW w:w="212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140%</w:t>
            </w:r>
          </w:p>
        </w:tc>
        <w:tc>
          <w:tcPr>
            <w:tcW w:w="212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175%</w:t>
            </w:r>
          </w:p>
        </w:tc>
        <w:tc>
          <w:tcPr>
            <w:tcW w:w="118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$2,490,000</w:t>
            </w:r>
          </w:p>
        </w:tc>
        <w:tc>
          <w:tcPr>
            <w:tcW w:w="0" w:type="dxa"/>
            <w:vAlign w:val="bottom"/>
          </w:tcPr>
          <w:p>
            <w:pPr>
              <w:spacing w:after="0"/>
              <w:rPr>
                <w:sz w:val="1"/>
                <w:szCs w:val="1"/>
                <w:color w:val="auto"/>
              </w:rPr>
            </w:pPr>
          </w:p>
        </w:tc>
      </w:tr>
      <w:tr>
        <w:trPr>
          <w:trHeight w:val="121"/>
        </w:trPr>
        <w:tc>
          <w:tcPr>
            <w:tcW w:w="3940" w:type="dxa"/>
            <w:vAlign w:val="bottom"/>
            <w:tcBorders>
              <w:bottom w:val="single" w:sz="8" w:color="4C4C4C"/>
            </w:tcBorders>
            <w:shd w:val="clear" w:color="auto" w:fill="E5F6F8"/>
          </w:tcPr>
          <w:p>
            <w:pPr>
              <w:spacing w:after="0"/>
              <w:rPr>
                <w:sz w:val="10"/>
                <w:szCs w:val="10"/>
                <w:color w:val="auto"/>
              </w:rPr>
            </w:pPr>
          </w:p>
        </w:tc>
        <w:tc>
          <w:tcPr>
            <w:tcW w:w="1320" w:type="dxa"/>
            <w:vAlign w:val="bottom"/>
            <w:tcBorders>
              <w:bottom w:val="single" w:sz="8" w:color="4C4C4C"/>
            </w:tcBorders>
            <w:shd w:val="clear" w:color="auto" w:fill="E5F6F8"/>
          </w:tcPr>
          <w:p>
            <w:pPr>
              <w:spacing w:after="0"/>
              <w:rPr>
                <w:sz w:val="10"/>
                <w:szCs w:val="10"/>
                <w:color w:val="auto"/>
              </w:rPr>
            </w:pPr>
          </w:p>
        </w:tc>
        <w:tc>
          <w:tcPr>
            <w:tcW w:w="2120" w:type="dxa"/>
            <w:vAlign w:val="bottom"/>
            <w:tcBorders>
              <w:bottom w:val="single" w:sz="8" w:color="4C4C4C"/>
            </w:tcBorders>
            <w:shd w:val="clear" w:color="auto" w:fill="E5F6F8"/>
          </w:tcPr>
          <w:p>
            <w:pPr>
              <w:spacing w:after="0"/>
              <w:rPr>
                <w:sz w:val="10"/>
                <w:szCs w:val="10"/>
                <w:color w:val="auto"/>
              </w:rPr>
            </w:pPr>
          </w:p>
        </w:tc>
        <w:tc>
          <w:tcPr>
            <w:tcW w:w="2120" w:type="dxa"/>
            <w:vAlign w:val="bottom"/>
            <w:tcBorders>
              <w:bottom w:val="single" w:sz="8" w:color="4C4C4C"/>
            </w:tcBorders>
            <w:shd w:val="clear" w:color="auto" w:fill="E5F6F8"/>
          </w:tcPr>
          <w:p>
            <w:pPr>
              <w:spacing w:after="0"/>
              <w:rPr>
                <w:sz w:val="10"/>
                <w:szCs w:val="10"/>
                <w:color w:val="auto"/>
              </w:rPr>
            </w:pPr>
          </w:p>
        </w:tc>
        <w:tc>
          <w:tcPr>
            <w:tcW w:w="1180" w:type="dxa"/>
            <w:vAlign w:val="bottom"/>
            <w:tcBorders>
              <w:bottom w:val="single" w:sz="8" w:color="4C4C4C"/>
            </w:tcBorders>
            <w:shd w:val="clear" w:color="auto" w:fill="E5F6F8"/>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3940" w:type="dxa"/>
            <w:vAlign w:val="bottom"/>
          </w:tcPr>
          <w:p>
            <w:pPr>
              <w:ind w:left="100"/>
              <w:spacing w:after="0"/>
              <w:rPr>
                <w:sz w:val="20"/>
                <w:szCs w:val="20"/>
                <w:color w:val="auto"/>
              </w:rPr>
            </w:pPr>
            <w:r>
              <w:rPr>
                <w:rFonts w:ascii="Arial" w:cs="Arial" w:eastAsia="Arial" w:hAnsi="Arial"/>
                <w:sz w:val="18"/>
                <w:szCs w:val="18"/>
                <w:color w:val="4C4C4C"/>
              </w:rPr>
              <w:t>Conor Murphy</w:t>
            </w:r>
          </w:p>
        </w:tc>
        <w:tc>
          <w:tcPr>
            <w:tcW w:w="1320" w:type="dxa"/>
            <w:vAlign w:val="bottom"/>
          </w:tcPr>
          <w:p>
            <w:pPr>
              <w:jc w:val="right"/>
              <w:ind w:right="170"/>
              <w:spacing w:after="0"/>
              <w:rPr>
                <w:sz w:val="20"/>
                <w:szCs w:val="20"/>
                <w:color w:val="auto"/>
              </w:rPr>
            </w:pPr>
            <w:r>
              <w:rPr>
                <w:rFonts w:ascii="Arial" w:cs="Arial" w:eastAsia="Arial" w:hAnsi="Arial"/>
                <w:sz w:val="18"/>
                <w:szCs w:val="18"/>
                <w:color w:val="4C4C4C"/>
              </w:rPr>
              <w:t>$600,000</w:t>
            </w:r>
          </w:p>
        </w:tc>
        <w:tc>
          <w:tcPr>
            <w:tcW w:w="2120" w:type="dxa"/>
            <w:vAlign w:val="bottom"/>
          </w:tcPr>
          <w:p>
            <w:pPr>
              <w:jc w:val="center"/>
              <w:spacing w:after="0"/>
              <w:rPr>
                <w:sz w:val="20"/>
                <w:szCs w:val="20"/>
                <w:color w:val="auto"/>
              </w:rPr>
            </w:pPr>
            <w:r>
              <w:rPr>
                <w:rFonts w:ascii="Arial" w:cs="Arial" w:eastAsia="Arial" w:hAnsi="Arial"/>
                <w:sz w:val="18"/>
                <w:szCs w:val="18"/>
                <w:color w:val="4C4C4C"/>
                <w:w w:val="99"/>
              </w:rPr>
              <w:t>145%</w:t>
            </w:r>
          </w:p>
        </w:tc>
        <w:tc>
          <w:tcPr>
            <w:tcW w:w="2120" w:type="dxa"/>
            <w:vAlign w:val="bottom"/>
          </w:tcPr>
          <w:p>
            <w:pPr>
              <w:jc w:val="center"/>
              <w:spacing w:after="0"/>
              <w:rPr>
                <w:sz w:val="20"/>
                <w:szCs w:val="20"/>
                <w:color w:val="auto"/>
              </w:rPr>
            </w:pPr>
            <w:r>
              <w:rPr>
                <w:rFonts w:ascii="Arial" w:cs="Arial" w:eastAsia="Arial" w:hAnsi="Arial"/>
                <w:sz w:val="18"/>
                <w:szCs w:val="18"/>
                <w:color w:val="4C4C4C"/>
                <w:w w:val="99"/>
              </w:rPr>
              <w:t>190%</w:t>
            </w:r>
          </w:p>
        </w:tc>
        <w:tc>
          <w:tcPr>
            <w:tcW w:w="1180" w:type="dxa"/>
            <w:vAlign w:val="bottom"/>
          </w:tcPr>
          <w:p>
            <w:pPr>
              <w:jc w:val="center"/>
              <w:spacing w:after="0"/>
              <w:rPr>
                <w:sz w:val="20"/>
                <w:szCs w:val="20"/>
                <w:color w:val="auto"/>
              </w:rPr>
            </w:pPr>
            <w:r>
              <w:rPr>
                <w:rFonts w:ascii="Arial" w:cs="Arial" w:eastAsia="Arial" w:hAnsi="Arial"/>
                <w:sz w:val="18"/>
                <w:szCs w:val="18"/>
                <w:color w:val="4C4C4C"/>
                <w:w w:val="99"/>
              </w:rPr>
              <w:t>$2,610,000</w:t>
            </w:r>
          </w:p>
        </w:tc>
        <w:tc>
          <w:tcPr>
            <w:tcW w:w="0" w:type="dxa"/>
            <w:vAlign w:val="bottom"/>
          </w:tcPr>
          <w:p>
            <w:pPr>
              <w:spacing w:after="0"/>
              <w:rPr>
                <w:sz w:val="1"/>
                <w:szCs w:val="1"/>
                <w:color w:val="auto"/>
              </w:rPr>
            </w:pPr>
          </w:p>
        </w:tc>
      </w:tr>
      <w:tr>
        <w:trPr>
          <w:trHeight w:val="121"/>
        </w:trPr>
        <w:tc>
          <w:tcPr>
            <w:tcW w:w="3940" w:type="dxa"/>
            <w:vAlign w:val="bottom"/>
            <w:tcBorders>
              <w:bottom w:val="single" w:sz="8" w:color="4C4C4C"/>
            </w:tcBorders>
          </w:tcPr>
          <w:p>
            <w:pPr>
              <w:spacing w:after="0"/>
              <w:rPr>
                <w:sz w:val="10"/>
                <w:szCs w:val="10"/>
                <w:color w:val="auto"/>
              </w:rPr>
            </w:pPr>
          </w:p>
        </w:tc>
        <w:tc>
          <w:tcPr>
            <w:tcW w:w="1320" w:type="dxa"/>
            <w:vAlign w:val="bottom"/>
            <w:tcBorders>
              <w:bottom w:val="single" w:sz="8" w:color="4C4C4C"/>
            </w:tcBorders>
          </w:tcPr>
          <w:p>
            <w:pPr>
              <w:spacing w:after="0"/>
              <w:rPr>
                <w:sz w:val="10"/>
                <w:szCs w:val="10"/>
                <w:color w:val="auto"/>
              </w:rPr>
            </w:pPr>
          </w:p>
        </w:tc>
        <w:tc>
          <w:tcPr>
            <w:tcW w:w="2120" w:type="dxa"/>
            <w:vAlign w:val="bottom"/>
            <w:tcBorders>
              <w:bottom w:val="single" w:sz="8" w:color="4C4C4C"/>
            </w:tcBorders>
          </w:tcPr>
          <w:p>
            <w:pPr>
              <w:spacing w:after="0"/>
              <w:rPr>
                <w:sz w:val="10"/>
                <w:szCs w:val="10"/>
                <w:color w:val="auto"/>
              </w:rPr>
            </w:pPr>
          </w:p>
        </w:tc>
        <w:tc>
          <w:tcPr>
            <w:tcW w:w="2120" w:type="dxa"/>
            <w:vAlign w:val="bottom"/>
            <w:tcBorders>
              <w:bottom w:val="single" w:sz="8" w:color="4C4C4C"/>
            </w:tcBorders>
          </w:tcPr>
          <w:p>
            <w:pPr>
              <w:spacing w:after="0"/>
              <w:rPr>
                <w:sz w:val="10"/>
                <w:szCs w:val="10"/>
                <w:color w:val="auto"/>
              </w:rPr>
            </w:pPr>
          </w:p>
        </w:tc>
        <w:tc>
          <w:tcPr>
            <w:tcW w:w="1180" w:type="dxa"/>
            <w:vAlign w:val="bottom"/>
            <w:tcBorders>
              <w:bottom w:val="single" w:sz="8" w:color="4C4C4C"/>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3940" w:type="dxa"/>
            <w:vAlign w:val="bottom"/>
            <w:vMerge w:val="restart"/>
            <w:shd w:val="clear" w:color="auto" w:fill="E5F6F8"/>
          </w:tcPr>
          <w:p>
            <w:pPr>
              <w:ind w:left="100"/>
              <w:spacing w:after="0"/>
              <w:rPr>
                <w:sz w:val="20"/>
                <w:szCs w:val="20"/>
                <w:color w:val="auto"/>
              </w:rPr>
            </w:pPr>
            <w:r>
              <w:rPr>
                <w:rFonts w:ascii="Arial" w:cs="Arial" w:eastAsia="Arial" w:hAnsi="Arial"/>
                <w:sz w:val="18"/>
                <w:szCs w:val="18"/>
                <w:color w:val="4C4C4C"/>
              </w:rPr>
              <w:t>John Rosenthal</w:t>
            </w:r>
          </w:p>
        </w:tc>
        <w:tc>
          <w:tcPr>
            <w:tcW w:w="1320" w:type="dxa"/>
            <w:vAlign w:val="bottom"/>
            <w:vMerge w:val="restart"/>
            <w:shd w:val="clear" w:color="auto" w:fill="E5F6F8"/>
          </w:tcPr>
          <w:p>
            <w:pPr>
              <w:jc w:val="right"/>
              <w:ind w:right="170"/>
              <w:spacing w:after="0"/>
              <w:rPr>
                <w:sz w:val="20"/>
                <w:szCs w:val="20"/>
                <w:color w:val="auto"/>
              </w:rPr>
            </w:pPr>
            <w:r>
              <w:rPr>
                <w:rFonts w:ascii="Arial" w:cs="Arial" w:eastAsia="Arial" w:hAnsi="Arial"/>
                <w:sz w:val="18"/>
                <w:szCs w:val="18"/>
                <w:color w:val="4C4C4C"/>
              </w:rPr>
              <w:t>$550,000</w:t>
            </w:r>
          </w:p>
        </w:tc>
        <w:tc>
          <w:tcPr>
            <w:tcW w:w="2120" w:type="dxa"/>
            <w:vAlign w:val="bottom"/>
            <w:vMerge w:val="restart"/>
            <w:shd w:val="clear" w:color="auto" w:fill="E5F6F8"/>
          </w:tcPr>
          <w:p>
            <w:pPr>
              <w:jc w:val="center"/>
              <w:spacing w:after="0"/>
              <w:rPr>
                <w:sz w:val="20"/>
                <w:szCs w:val="20"/>
                <w:color w:val="auto"/>
              </w:rPr>
            </w:pPr>
            <w:r>
              <w:rPr>
                <w:rFonts w:ascii="Arial" w:cs="Arial" w:eastAsia="Arial" w:hAnsi="Arial"/>
                <w:sz w:val="18"/>
                <w:szCs w:val="18"/>
                <w:color w:val="4C4C4C"/>
                <w:w w:val="99"/>
              </w:rPr>
              <w:t>195%</w:t>
            </w:r>
          </w:p>
        </w:tc>
        <w:tc>
          <w:tcPr>
            <w:tcW w:w="212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250%</w:t>
            </w:r>
          </w:p>
        </w:tc>
        <w:tc>
          <w:tcPr>
            <w:tcW w:w="118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$2,997,500</w:t>
            </w: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E5F6F8"/>
          </w:tcPr>
          <w:p>
            <w:pPr>
              <w:spacing w:after="0"/>
              <w:rPr>
                <w:sz w:val="10"/>
                <w:szCs w:val="10"/>
                <w:color w:val="auto"/>
              </w:rPr>
            </w:pPr>
          </w:p>
        </w:tc>
        <w:tc>
          <w:tcPr>
            <w:tcW w:w="1320" w:type="dxa"/>
            <w:vAlign w:val="bottom"/>
            <w:vMerge w:val="continue"/>
            <w:shd w:val="clear" w:color="auto" w:fill="E5F6F8"/>
          </w:tcPr>
          <w:p>
            <w:pPr>
              <w:spacing w:after="0"/>
              <w:rPr>
                <w:sz w:val="10"/>
                <w:szCs w:val="10"/>
                <w:color w:val="auto"/>
              </w:rPr>
            </w:pPr>
          </w:p>
        </w:tc>
        <w:tc>
          <w:tcPr>
            <w:tcW w:w="2120" w:type="dxa"/>
            <w:vAlign w:val="bottom"/>
            <w:vMerge w:val="continue"/>
            <w:shd w:val="clear" w:color="auto" w:fill="E5F6F8"/>
          </w:tcPr>
          <w:p>
            <w:pPr>
              <w:spacing w:after="0"/>
              <w:rPr>
                <w:sz w:val="10"/>
                <w:szCs w:val="10"/>
                <w:color w:val="auto"/>
              </w:rPr>
            </w:pPr>
          </w:p>
        </w:tc>
        <w:tc>
          <w:tcPr>
            <w:tcW w:w="2120" w:type="dxa"/>
            <w:vAlign w:val="bottom"/>
            <w:vMerge w:val="restart"/>
            <w:shd w:val="clear" w:color="auto" w:fill="E5F6F8"/>
          </w:tcPr>
          <w:p>
            <w:pPr>
              <w:jc w:val="center"/>
              <w:spacing w:after="0"/>
              <w:rPr>
                <w:sz w:val="20"/>
                <w:szCs w:val="20"/>
                <w:color w:val="auto"/>
              </w:rPr>
            </w:pPr>
            <w:r>
              <w:rPr>
                <w:rFonts w:ascii="Arial" w:cs="Arial" w:eastAsia="Arial" w:hAnsi="Arial"/>
                <w:sz w:val="18"/>
                <w:szCs w:val="18"/>
                <w:color w:val="4C4C4C"/>
              </w:rPr>
              <w:t>(+50% of base salary)</w:t>
            </w:r>
          </w:p>
        </w:tc>
        <w:tc>
          <w:tcPr>
            <w:tcW w:w="1180" w:type="dxa"/>
            <w:vAlign w:val="bottom"/>
            <w:vMerge w:val="restart"/>
            <w:shd w:val="clear" w:color="auto" w:fill="E5F6F8"/>
          </w:tcPr>
          <w:p>
            <w:pPr>
              <w:jc w:val="center"/>
              <w:spacing w:after="0"/>
              <w:rPr>
                <w:sz w:val="20"/>
                <w:szCs w:val="20"/>
                <w:color w:val="auto"/>
              </w:rPr>
            </w:pPr>
            <w:r>
              <w:rPr>
                <w:rFonts w:ascii="Arial" w:cs="Arial" w:eastAsia="Arial" w:hAnsi="Arial"/>
                <w:sz w:val="18"/>
                <w:szCs w:val="18"/>
                <w:color w:val="4C4C4C"/>
              </w:rPr>
              <w:t>(+$275,000)</w:t>
            </w:r>
          </w:p>
        </w:tc>
        <w:tc>
          <w:tcPr>
            <w:tcW w:w="0" w:type="dxa"/>
            <w:vAlign w:val="bottom"/>
          </w:tcPr>
          <w:p>
            <w:pPr>
              <w:spacing w:after="0"/>
              <w:rPr>
                <w:sz w:val="1"/>
                <w:szCs w:val="1"/>
                <w:color w:val="auto"/>
              </w:rPr>
            </w:pPr>
          </w:p>
        </w:tc>
      </w:tr>
      <w:tr>
        <w:trPr>
          <w:trHeight w:val="95"/>
        </w:trPr>
        <w:tc>
          <w:tcPr>
            <w:tcW w:w="3940" w:type="dxa"/>
            <w:vAlign w:val="bottom"/>
            <w:tcBorders>
              <w:bottom w:val="single" w:sz="8" w:color="4C4C4C"/>
            </w:tcBorders>
            <w:shd w:val="clear" w:color="auto" w:fill="E5F6F8"/>
          </w:tcPr>
          <w:p>
            <w:pPr>
              <w:spacing w:after="0"/>
              <w:rPr>
                <w:sz w:val="8"/>
                <w:szCs w:val="8"/>
                <w:color w:val="auto"/>
              </w:rPr>
            </w:pPr>
          </w:p>
        </w:tc>
        <w:tc>
          <w:tcPr>
            <w:tcW w:w="1320" w:type="dxa"/>
            <w:vAlign w:val="bottom"/>
            <w:tcBorders>
              <w:bottom w:val="single" w:sz="8" w:color="4C4C4C"/>
            </w:tcBorders>
            <w:shd w:val="clear" w:color="auto" w:fill="E5F6F8"/>
          </w:tcPr>
          <w:p>
            <w:pPr>
              <w:spacing w:after="0"/>
              <w:rPr>
                <w:sz w:val="8"/>
                <w:szCs w:val="8"/>
                <w:color w:val="auto"/>
              </w:rPr>
            </w:pPr>
          </w:p>
        </w:tc>
        <w:tc>
          <w:tcPr>
            <w:tcW w:w="2120" w:type="dxa"/>
            <w:vAlign w:val="bottom"/>
            <w:tcBorders>
              <w:bottom w:val="single" w:sz="8" w:color="4C4C4C"/>
            </w:tcBorders>
            <w:shd w:val="clear" w:color="auto" w:fill="E5F6F8"/>
          </w:tcPr>
          <w:p>
            <w:pPr>
              <w:spacing w:after="0"/>
              <w:rPr>
                <w:sz w:val="8"/>
                <w:szCs w:val="8"/>
                <w:color w:val="auto"/>
              </w:rPr>
            </w:pPr>
          </w:p>
        </w:tc>
        <w:tc>
          <w:tcPr>
            <w:tcW w:w="2120" w:type="dxa"/>
            <w:vAlign w:val="bottom"/>
            <w:tcBorders>
              <w:bottom w:val="single" w:sz="8" w:color="4C4C4C"/>
            </w:tcBorders>
            <w:vMerge w:val="continue"/>
            <w:shd w:val="clear" w:color="auto" w:fill="E5F6F8"/>
          </w:tcPr>
          <w:p>
            <w:pPr>
              <w:spacing w:after="0"/>
              <w:rPr>
                <w:sz w:val="8"/>
                <w:szCs w:val="8"/>
                <w:color w:val="auto"/>
              </w:rPr>
            </w:pPr>
          </w:p>
        </w:tc>
        <w:tc>
          <w:tcPr>
            <w:tcW w:w="1180" w:type="dxa"/>
            <w:vAlign w:val="bottom"/>
            <w:tcBorders>
              <w:bottom w:val="single" w:sz="8" w:color="4C4C4C"/>
            </w:tcBorders>
            <w:vMerge w:val="continue"/>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940" w:type="dxa"/>
            <w:vAlign w:val="bottom"/>
            <w:vMerge w:val="restart"/>
          </w:tcPr>
          <w:p>
            <w:pPr>
              <w:ind w:left="100"/>
              <w:spacing w:after="0"/>
              <w:rPr>
                <w:sz w:val="20"/>
                <w:szCs w:val="20"/>
                <w:color w:val="auto"/>
              </w:rPr>
            </w:pPr>
            <w:r>
              <w:rPr>
                <w:rFonts w:ascii="Arial" w:cs="Arial" w:eastAsia="Arial" w:hAnsi="Arial"/>
                <w:sz w:val="18"/>
                <w:szCs w:val="18"/>
                <w:color w:val="4C4C4C"/>
              </w:rPr>
              <w:t>Christine DeBiase</w:t>
            </w: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color w:val="4C4C4C"/>
              </w:rPr>
              <w:t>$600,000</w:t>
            </w:r>
          </w:p>
        </w:tc>
        <w:tc>
          <w:tcPr>
            <w:tcW w:w="2120" w:type="dxa"/>
            <w:vAlign w:val="bottom"/>
          </w:tcPr>
          <w:p>
            <w:pPr>
              <w:jc w:val="center"/>
              <w:spacing w:after="0"/>
              <w:rPr>
                <w:sz w:val="20"/>
                <w:szCs w:val="20"/>
                <w:color w:val="auto"/>
              </w:rPr>
            </w:pPr>
            <w:r>
              <w:rPr>
                <w:rFonts w:ascii="Arial" w:cs="Arial" w:eastAsia="Arial" w:hAnsi="Arial"/>
                <w:sz w:val="18"/>
                <w:szCs w:val="18"/>
                <w:color w:val="4C4C4C"/>
                <w:w w:val="99"/>
              </w:rPr>
              <w:t>140%</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4C4C4C"/>
                <w:w w:val="99"/>
              </w:rPr>
              <w:t>175%</w:t>
            </w:r>
          </w:p>
        </w:tc>
        <w:tc>
          <w:tcPr>
            <w:tcW w:w="1180" w:type="dxa"/>
            <w:vAlign w:val="bottom"/>
          </w:tcPr>
          <w:p>
            <w:pPr>
              <w:jc w:val="center"/>
              <w:spacing w:after="0"/>
              <w:rPr>
                <w:sz w:val="20"/>
                <w:szCs w:val="20"/>
                <w:color w:val="auto"/>
              </w:rPr>
            </w:pPr>
            <w:r>
              <w:rPr>
                <w:rFonts w:ascii="Arial" w:cs="Arial" w:eastAsia="Arial" w:hAnsi="Arial"/>
                <w:sz w:val="18"/>
                <w:szCs w:val="18"/>
                <w:color w:val="4C4C4C"/>
                <w:w w:val="99"/>
              </w:rPr>
              <w:t>$2,490,000</w:t>
            </w:r>
          </w:p>
        </w:tc>
        <w:tc>
          <w:tcPr>
            <w:tcW w:w="0" w:type="dxa"/>
            <w:vAlign w:val="bottom"/>
          </w:tcPr>
          <w:p>
            <w:pPr>
              <w:spacing w:after="0"/>
              <w:rPr>
                <w:sz w:val="1"/>
                <w:szCs w:val="1"/>
                <w:color w:val="auto"/>
              </w:rPr>
            </w:pPr>
          </w:p>
        </w:tc>
      </w:tr>
      <w:tr>
        <w:trPr>
          <w:trHeight w:val="122"/>
        </w:trPr>
        <w:tc>
          <w:tcPr>
            <w:tcW w:w="39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4C4C4C"/>
              </w:rPr>
              <w:t>(+20% of base salary)</w:t>
            </w:r>
          </w:p>
        </w:tc>
        <w:tc>
          <w:tcPr>
            <w:tcW w:w="21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4C4C4C"/>
              </w:rPr>
              <w:t>(+$120,000)</w:t>
            </w:r>
          </w:p>
        </w:tc>
        <w:tc>
          <w:tcPr>
            <w:tcW w:w="0" w:type="dxa"/>
            <w:vAlign w:val="bottom"/>
          </w:tcPr>
          <w:p>
            <w:pPr>
              <w:spacing w:after="0"/>
              <w:rPr>
                <w:sz w:val="1"/>
                <w:szCs w:val="1"/>
                <w:color w:val="auto"/>
              </w:rPr>
            </w:pPr>
          </w:p>
        </w:tc>
      </w:tr>
      <w:tr>
        <w:trPr>
          <w:trHeight w:val="94"/>
        </w:trPr>
        <w:tc>
          <w:tcPr>
            <w:tcW w:w="3940" w:type="dxa"/>
            <w:vAlign w:val="bottom"/>
            <w:tcBorders>
              <w:bottom w:val="single" w:sz="8" w:color="4C4C4C"/>
            </w:tcBorders>
          </w:tcPr>
          <w:p>
            <w:pPr>
              <w:spacing w:after="0"/>
              <w:rPr>
                <w:sz w:val="8"/>
                <w:szCs w:val="8"/>
                <w:color w:val="auto"/>
              </w:rPr>
            </w:pPr>
          </w:p>
        </w:tc>
        <w:tc>
          <w:tcPr>
            <w:tcW w:w="1320" w:type="dxa"/>
            <w:vAlign w:val="bottom"/>
            <w:tcBorders>
              <w:bottom w:val="single" w:sz="8" w:color="4C4C4C"/>
            </w:tcBorders>
          </w:tcPr>
          <w:p>
            <w:pPr>
              <w:spacing w:after="0"/>
              <w:rPr>
                <w:sz w:val="8"/>
                <w:szCs w:val="8"/>
                <w:color w:val="auto"/>
              </w:rPr>
            </w:pPr>
          </w:p>
        </w:tc>
        <w:tc>
          <w:tcPr>
            <w:tcW w:w="2120" w:type="dxa"/>
            <w:vAlign w:val="bottom"/>
            <w:tcBorders>
              <w:bottom w:val="single" w:sz="8" w:color="4C4C4C"/>
            </w:tcBorders>
            <w:vMerge w:val="continue"/>
          </w:tcPr>
          <w:p>
            <w:pPr>
              <w:spacing w:after="0"/>
              <w:rPr>
                <w:sz w:val="8"/>
                <w:szCs w:val="8"/>
                <w:color w:val="auto"/>
              </w:rPr>
            </w:pPr>
          </w:p>
        </w:tc>
        <w:tc>
          <w:tcPr>
            <w:tcW w:w="2120" w:type="dxa"/>
            <w:vAlign w:val="bottom"/>
            <w:tcBorders>
              <w:bottom w:val="single" w:sz="8" w:color="4C4C4C"/>
            </w:tcBorders>
          </w:tcPr>
          <w:p>
            <w:pPr>
              <w:spacing w:after="0"/>
              <w:rPr>
                <w:sz w:val="8"/>
                <w:szCs w:val="8"/>
                <w:color w:val="auto"/>
              </w:rPr>
            </w:pPr>
          </w:p>
        </w:tc>
        <w:tc>
          <w:tcPr>
            <w:tcW w:w="1180" w:type="dxa"/>
            <w:vAlign w:val="bottom"/>
            <w:tcBorders>
              <w:bottom w:val="single" w:sz="8" w:color="4C4C4C"/>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-1868170</wp:posOffset>
            </wp:positionV>
            <wp:extent cx="8255" cy="265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-1868170</wp:posOffset>
            </wp:positionV>
            <wp:extent cx="8255" cy="265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-1868170</wp:posOffset>
            </wp:positionV>
            <wp:extent cx="8255" cy="265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-1868170</wp:posOffset>
            </wp:positionV>
            <wp:extent cx="8890" cy="265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101" w:lineRule="exact"/>
        <w:rPr>
          <w:sz w:val="20"/>
          <w:szCs w:val="20"/>
          <w:color w:val="auto"/>
        </w:rPr>
      </w:pPr>
    </w:p>
    <w:p>
      <w:pPr>
        <w:ind w:left="700" w:hanging="419"/>
        <w:spacing w:after="0"/>
        <w:tabs>
          <w:tab w:leader="none" w:pos="700" w:val="left"/>
        </w:tabs>
        <w:numPr>
          <w:ilvl w:val="0"/>
          <w:numId w:val="129"/>
        </w:numPr>
        <w:rPr>
          <w:rFonts w:ascii="Arial" w:cs="Arial" w:eastAsia="Arial" w:hAnsi="Arial"/>
          <w:sz w:val="18"/>
          <w:szCs w:val="18"/>
          <w:color w:val="4C4C4C"/>
        </w:rPr>
      </w:pPr>
      <w:r>
        <w:rPr>
          <w:rFonts w:ascii="Arial" w:cs="Arial" w:eastAsia="Arial" w:hAnsi="Arial"/>
          <w:sz w:val="18"/>
          <w:szCs w:val="18"/>
          <w:color w:val="4C4C4C"/>
        </w:rPr>
        <w:t>This was the first increase to Mr. Steigerwalt’s Target TDC since Brighthouse became an independent company in 2017.</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50 | 2021 Proxy Statement</w:t>
      </w:r>
    </w:p>
    <w:p>
      <w:pPr>
        <w:sectPr>
          <w:pgSz w:w="11900" w:h="16838" w:orient="portrait"/>
          <w:cols w:equalWidth="0" w:num="1">
            <w:col w:w="11140"/>
          </w:cols>
          <w:pgMar w:left="32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7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Compensation Discussion and Analysis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Section 2 – Our 2020 Executive Compensation Program</w:t>
      </w:r>
    </w:p>
    <w:p>
      <w:pPr>
        <w:spacing w:after="0" w:line="247"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4C4C4C"/>
        </w:rPr>
        <w:t>As shown in the following graphs, our CEO’s and other NEOs’ Target TDC, on average, is heavily weighted toward variable, at-risk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142875</wp:posOffset>
            </wp:positionV>
            <wp:extent cx="5897880" cy="18084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9788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right="100"/>
        <w:spacing w:after="0"/>
        <w:rPr>
          <w:sz w:val="20"/>
          <w:szCs w:val="20"/>
          <w:color w:val="auto"/>
        </w:rPr>
      </w:pPr>
      <w:r>
        <w:rPr>
          <w:rFonts w:ascii="Arial" w:cs="Arial" w:eastAsia="Arial" w:hAnsi="Arial"/>
          <w:sz w:val="18"/>
          <w:szCs w:val="18"/>
          <w:i w:val="1"/>
          <w:iCs w:val="1"/>
          <w:color w:val="4C4C4C"/>
        </w:rPr>
        <w:t xml:space="preserve">2020 STI Metrics. </w:t>
      </w:r>
      <w:r>
        <w:rPr>
          <w:rFonts w:ascii="Arial" w:cs="Arial" w:eastAsia="Arial" w:hAnsi="Arial"/>
          <w:sz w:val="18"/>
          <w:szCs w:val="18"/>
          <w:color w:val="4C4C4C"/>
        </w:rPr>
        <w:t>The Compensation and Human Capital Committee established metrics for the 2020 STI Awards that are linked to</w:t>
      </w:r>
      <w:r>
        <w:rPr>
          <w:rFonts w:ascii="Arial" w:cs="Arial" w:eastAsia="Arial" w:hAnsi="Arial"/>
          <w:sz w:val="18"/>
          <w:szCs w:val="18"/>
          <w:i w:val="1"/>
          <w:iCs w:val="1"/>
          <w:color w:val="4C4C4C"/>
        </w:rPr>
        <w:t xml:space="preserve"> </w:t>
      </w:r>
      <w:r>
        <w:rPr>
          <w:rFonts w:ascii="Arial" w:cs="Arial" w:eastAsia="Arial" w:hAnsi="Arial"/>
          <w:sz w:val="18"/>
          <w:szCs w:val="18"/>
          <w:color w:val="4C4C4C"/>
        </w:rPr>
        <w:t>Brighthouse’s strategic goals. This is consistent with our pay-for-performance philosophy and helps ensure that the NEOs are compensated for their contributions to the Company’s achievement of the business goals set forth in the strategic plan. In establishing the STI metrics, the Compensation and Human Capital Committee was guided by the following principles:</w:t>
      </w:r>
    </w:p>
    <w:p>
      <w:pPr>
        <w:ind w:left="980" w:right="160" w:hanging="432"/>
        <w:spacing w:after="0" w:line="234" w:lineRule="auto"/>
        <w:tabs>
          <w:tab w:leader="none" w:pos="980" w:val="left"/>
        </w:tabs>
        <w:numPr>
          <w:ilvl w:val="0"/>
          <w:numId w:val="130"/>
        </w:numPr>
        <w:rPr>
          <w:rFonts w:ascii="Arial" w:cs="Arial" w:eastAsia="Arial" w:hAnsi="Arial"/>
          <w:sz w:val="18"/>
          <w:szCs w:val="18"/>
          <w:color w:val="4C4C4C"/>
        </w:rPr>
      </w:pPr>
      <w:r>
        <w:rPr>
          <w:rFonts w:ascii="Arial" w:cs="Arial" w:eastAsia="Arial" w:hAnsi="Arial"/>
          <w:sz w:val="18"/>
          <w:szCs w:val="18"/>
          <w:color w:val="4C4C4C"/>
        </w:rPr>
        <w:t>metrics should consist of operational or financial drivers of financial performance that are aligned with Brighthouse’s long-term strategy;</w:t>
      </w:r>
    </w:p>
    <w:p>
      <w:pPr>
        <w:spacing w:after="0" w:line="1" w:lineRule="exact"/>
        <w:rPr>
          <w:rFonts w:ascii="Arial" w:cs="Arial" w:eastAsia="Arial" w:hAnsi="Arial"/>
          <w:sz w:val="18"/>
          <w:szCs w:val="18"/>
          <w:color w:val="4C4C4C"/>
        </w:rPr>
      </w:pPr>
    </w:p>
    <w:p>
      <w:pPr>
        <w:ind w:left="980" w:hanging="432"/>
        <w:spacing w:after="0" w:line="234" w:lineRule="auto"/>
        <w:tabs>
          <w:tab w:leader="none" w:pos="980" w:val="left"/>
        </w:tabs>
        <w:numPr>
          <w:ilvl w:val="0"/>
          <w:numId w:val="130"/>
        </w:numPr>
        <w:rPr>
          <w:rFonts w:ascii="Arial" w:cs="Arial" w:eastAsia="Arial" w:hAnsi="Arial"/>
          <w:sz w:val="18"/>
          <w:szCs w:val="18"/>
          <w:color w:val="4C4C4C"/>
        </w:rPr>
      </w:pPr>
      <w:r>
        <w:rPr>
          <w:rFonts w:ascii="Arial" w:cs="Arial" w:eastAsia="Arial" w:hAnsi="Arial"/>
          <w:sz w:val="18"/>
          <w:szCs w:val="18"/>
          <w:color w:val="4C4C4C"/>
        </w:rPr>
        <w:t>metrics should be objective and measurable;</w:t>
      </w:r>
    </w:p>
    <w:p>
      <w:pPr>
        <w:ind w:left="980" w:hanging="432"/>
        <w:spacing w:after="0" w:line="234" w:lineRule="auto"/>
        <w:tabs>
          <w:tab w:leader="none" w:pos="980" w:val="left"/>
        </w:tabs>
        <w:numPr>
          <w:ilvl w:val="0"/>
          <w:numId w:val="130"/>
        </w:numPr>
        <w:rPr>
          <w:rFonts w:ascii="Arial" w:cs="Arial" w:eastAsia="Arial" w:hAnsi="Arial"/>
          <w:sz w:val="18"/>
          <w:szCs w:val="18"/>
          <w:color w:val="4C4C4C"/>
        </w:rPr>
      </w:pPr>
      <w:r>
        <w:rPr>
          <w:rFonts w:ascii="Arial" w:cs="Arial" w:eastAsia="Arial" w:hAnsi="Arial"/>
          <w:sz w:val="18"/>
          <w:szCs w:val="18"/>
          <w:color w:val="4C4C4C"/>
        </w:rPr>
        <w:t>executive officers should have the ability to directly impact Brighthouse’s performance; and</w:t>
      </w:r>
    </w:p>
    <w:p>
      <w:pPr>
        <w:ind w:left="980" w:hanging="432"/>
        <w:spacing w:after="0"/>
        <w:tabs>
          <w:tab w:leader="none" w:pos="980" w:val="left"/>
        </w:tabs>
        <w:numPr>
          <w:ilvl w:val="0"/>
          <w:numId w:val="130"/>
        </w:numPr>
        <w:rPr>
          <w:rFonts w:ascii="Arial" w:cs="Arial" w:eastAsia="Arial" w:hAnsi="Arial"/>
          <w:sz w:val="18"/>
          <w:szCs w:val="18"/>
          <w:color w:val="4C4C4C"/>
        </w:rPr>
      </w:pPr>
      <w:r>
        <w:rPr>
          <w:rFonts w:ascii="Arial" w:cs="Arial" w:eastAsia="Arial" w:hAnsi="Arial"/>
          <w:sz w:val="18"/>
          <w:szCs w:val="18"/>
          <w:color w:val="4C4C4C"/>
        </w:rPr>
        <w:t>metrics should not incent management to engage in inappropriately risky behavior.</w:t>
      </w:r>
    </w:p>
    <w:p>
      <w:pPr>
        <w:spacing w:after="0" w:line="10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4C4C4C"/>
        </w:rPr>
        <w:t>For each STI Metric, the Compensation and Human Capital Committee approved a threshold (payout of 50% of target value), target (100% of target value), and maximum (150% of target value) level of performance based on its evaluation of the likelihood of management achieving those performance levels. STI Awards were based upon the Company’s achievement of these metrics, as well as qualitative factors the Compensation and Human Capital Committee deemed appropriate, including each NEO’s performance and accomplishments during 2020. The Compensation and Human Capital Committee believes the underlying goals for each STI metric were appropriately rigorous and represented a significant challenge for management to achieve. A summary of our 2020 STI Metrics and the rationale for their selection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340" w:type="dxa"/>
            <w:vAlign w:val="bottom"/>
            <w:gridSpan w:val="2"/>
          </w:tcPr>
          <w:p>
            <w:pPr>
              <w:spacing w:after="0"/>
              <w:rPr>
                <w:sz w:val="20"/>
                <w:szCs w:val="20"/>
                <w:color w:val="auto"/>
              </w:rPr>
            </w:pPr>
            <w:r>
              <w:rPr>
                <w:rFonts w:ascii="Arial" w:cs="Arial" w:eastAsia="Arial" w:hAnsi="Arial"/>
                <w:sz w:val="18"/>
                <w:szCs w:val="18"/>
                <w:b w:val="1"/>
                <w:bCs w:val="1"/>
                <w:color w:val="00ADBB"/>
              </w:rPr>
              <w:t>STI Metric</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00ADBB"/>
                <w:w w:val="98"/>
              </w:rPr>
              <w:t>Weighting</w:t>
            </w:r>
          </w:p>
        </w:tc>
        <w:tc>
          <w:tcPr>
            <w:tcW w:w="3860" w:type="dxa"/>
            <w:vAlign w:val="bottom"/>
          </w:tcPr>
          <w:p>
            <w:pPr>
              <w:ind w:left="120"/>
              <w:spacing w:after="0"/>
              <w:rPr>
                <w:sz w:val="20"/>
                <w:szCs w:val="20"/>
                <w:color w:val="auto"/>
              </w:rPr>
            </w:pPr>
            <w:r>
              <w:rPr>
                <w:rFonts w:ascii="Arial" w:cs="Arial" w:eastAsia="Arial" w:hAnsi="Arial"/>
                <w:sz w:val="18"/>
                <w:szCs w:val="18"/>
                <w:b w:val="1"/>
                <w:bCs w:val="1"/>
                <w:color w:val="00ADBB"/>
              </w:rPr>
              <w:t>Definition</w:t>
            </w:r>
          </w:p>
        </w:tc>
      </w:tr>
      <w:tr>
        <w:trPr>
          <w:trHeight w:val="40"/>
        </w:trPr>
        <w:tc>
          <w:tcPr>
            <w:tcW w:w="1000" w:type="dxa"/>
            <w:vAlign w:val="bottom"/>
            <w:tcBorders>
              <w:bottom w:val="single" w:sz="8" w:color="4C4C4C"/>
            </w:tcBorders>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Borders>
              <w:bottom w:val="single" w:sz="8" w:color="4C4C4C"/>
            </w:tcBorders>
          </w:tcPr>
          <w:p>
            <w:pPr>
              <w:spacing w:after="0"/>
              <w:rPr>
                <w:sz w:val="3"/>
                <w:szCs w:val="3"/>
                <w:color w:val="auto"/>
              </w:rPr>
            </w:pPr>
          </w:p>
        </w:tc>
        <w:tc>
          <w:tcPr>
            <w:tcW w:w="320" w:type="dxa"/>
            <w:vAlign w:val="bottom"/>
          </w:tcPr>
          <w:p>
            <w:pPr>
              <w:spacing w:after="0"/>
              <w:rPr>
                <w:sz w:val="3"/>
                <w:szCs w:val="3"/>
                <w:color w:val="auto"/>
              </w:rPr>
            </w:pPr>
          </w:p>
        </w:tc>
        <w:tc>
          <w:tcPr>
            <w:tcW w:w="3860" w:type="dxa"/>
            <w:vAlign w:val="bottom"/>
            <w:tcBorders>
              <w:bottom w:val="single" w:sz="8" w:color="4C4C4C"/>
            </w:tcBorders>
          </w:tcPr>
          <w:p>
            <w:pPr>
              <w:spacing w:after="0"/>
              <w:rPr>
                <w:sz w:val="3"/>
                <w:szCs w:val="3"/>
                <w:color w:val="auto"/>
              </w:rPr>
            </w:pPr>
          </w:p>
        </w:tc>
      </w:tr>
      <w:tr>
        <w:trPr>
          <w:trHeight w:val="227"/>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Expense</w:t>
            </w:r>
          </w:p>
        </w:tc>
        <w:tc>
          <w:tcPr>
            <w:tcW w:w="1220" w:type="dxa"/>
            <w:vAlign w:val="bottom"/>
          </w:tcPr>
          <w:p>
            <w:pPr>
              <w:jc w:val="right"/>
              <w:ind w:right="270"/>
              <w:spacing w:after="0"/>
              <w:rPr>
                <w:sz w:val="20"/>
                <w:szCs w:val="20"/>
                <w:color w:val="auto"/>
              </w:rPr>
            </w:pPr>
            <w:r>
              <w:rPr>
                <w:rFonts w:ascii="Arial" w:cs="Arial" w:eastAsia="Arial" w:hAnsi="Arial"/>
                <w:sz w:val="18"/>
                <w:szCs w:val="18"/>
                <w:color w:val="4C4C4C"/>
              </w:rPr>
              <w:t>40%</w:t>
            </w:r>
          </w:p>
        </w:tc>
        <w:tc>
          <w:tcPr>
            <w:tcW w:w="3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4C4C4C"/>
              </w:rPr>
              <w:t>Includes both (1) annual, run-rate expenses</w:t>
            </w:r>
          </w:p>
        </w:tc>
      </w:tr>
      <w:tr>
        <w:trPr>
          <w:trHeight w:val="207"/>
        </w:trPr>
        <w:tc>
          <w:tcPr>
            <w:tcW w:w="1340" w:type="dxa"/>
            <w:vAlign w:val="bottom"/>
            <w:gridSpan w:val="2"/>
          </w:tcPr>
          <w:p>
            <w:pPr>
              <w:spacing w:after="0"/>
              <w:rPr>
                <w:sz w:val="20"/>
                <w:szCs w:val="20"/>
                <w:color w:val="auto"/>
              </w:rPr>
            </w:pPr>
            <w:r>
              <w:rPr>
                <w:rFonts w:ascii="Arial" w:cs="Arial" w:eastAsia="Arial" w:hAnsi="Arial"/>
                <w:sz w:val="18"/>
                <w:szCs w:val="18"/>
                <w:b w:val="1"/>
                <w:bCs w:val="1"/>
                <w:color w:val="4C4C4C"/>
              </w:rPr>
              <w:t>Target</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4C4C4C"/>
              </w:rPr>
              <w:t>for managing the Company, including, but not</w:t>
            </w:r>
          </w:p>
        </w:tc>
      </w:tr>
      <w:tr>
        <w:trPr>
          <w:trHeight w:val="203"/>
        </w:trPr>
        <w:tc>
          <w:tcPr>
            <w:tcW w:w="1340" w:type="dxa"/>
            <w:vAlign w:val="bottom"/>
            <w:gridSpan w:val="2"/>
          </w:tcPr>
          <w:p>
            <w:pPr>
              <w:spacing w:after="0" w:line="202" w:lineRule="exact"/>
              <w:rPr>
                <w:sz w:val="20"/>
                <w:szCs w:val="20"/>
                <w:color w:val="auto"/>
              </w:rPr>
            </w:pPr>
            <w:r>
              <w:rPr>
                <w:rFonts w:ascii="Arial" w:cs="Arial" w:eastAsia="Arial" w:hAnsi="Arial"/>
                <w:sz w:val="18"/>
                <w:szCs w:val="18"/>
                <w:i w:val="1"/>
                <w:iCs w:val="1"/>
                <w:color w:val="4C4C4C"/>
              </w:rPr>
              <w:t>(new</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limited to, employee-related costs, advertising</w:t>
            </w:r>
          </w:p>
        </w:tc>
      </w:tr>
      <w:tr>
        <w:trPr>
          <w:trHeight w:val="202"/>
        </w:trPr>
        <w:tc>
          <w:tcPr>
            <w:tcW w:w="1340" w:type="dxa"/>
            <w:vAlign w:val="bottom"/>
            <w:gridSpan w:val="2"/>
          </w:tcPr>
          <w:p>
            <w:pPr>
              <w:spacing w:after="0" w:line="202" w:lineRule="exact"/>
              <w:rPr>
                <w:sz w:val="20"/>
                <w:szCs w:val="20"/>
                <w:color w:val="auto"/>
              </w:rPr>
            </w:pPr>
            <w:r>
              <w:rPr>
                <w:rFonts w:ascii="Arial" w:cs="Arial" w:eastAsia="Arial" w:hAnsi="Arial"/>
                <w:sz w:val="18"/>
                <w:szCs w:val="18"/>
                <w:i w:val="1"/>
                <w:iCs w:val="1"/>
                <w:color w:val="4C4C4C"/>
              </w:rPr>
              <w:t>definition for</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and marketing, market and industry research,</w:t>
            </w:r>
          </w:p>
        </w:tc>
      </w:tr>
      <w:tr>
        <w:trPr>
          <w:trHeight w:val="220"/>
        </w:trPr>
        <w:tc>
          <w:tcPr>
            <w:tcW w:w="1000" w:type="dxa"/>
            <w:vAlign w:val="bottom"/>
          </w:tcPr>
          <w:p>
            <w:pPr>
              <w:spacing w:after="0"/>
              <w:rPr>
                <w:sz w:val="20"/>
                <w:szCs w:val="20"/>
                <w:color w:val="auto"/>
              </w:rPr>
            </w:pPr>
            <w:r>
              <w:rPr>
                <w:rFonts w:ascii="Arial" w:cs="Arial" w:eastAsia="Arial" w:hAnsi="Arial"/>
                <w:sz w:val="18"/>
                <w:szCs w:val="18"/>
                <w:i w:val="1"/>
                <w:iCs w:val="1"/>
                <w:color w:val="4C4C4C"/>
              </w:rPr>
              <w:t>2020)</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4C4C4C"/>
              </w:rPr>
              <w:t>consultants and other contractual labor, other</w:t>
            </w:r>
          </w:p>
        </w:tc>
      </w:tr>
      <w:tr>
        <w:trPr>
          <w:trHeight w:val="203"/>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contracted services, and printing and postage;</w:t>
            </w:r>
          </w:p>
        </w:tc>
      </w:tr>
      <w:tr>
        <w:trPr>
          <w:trHeight w:val="203"/>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and (2) “establishment costs,” which are</w:t>
            </w:r>
          </w:p>
        </w:tc>
      </w:tr>
      <w:tr>
        <w:trPr>
          <w:trHeight w:val="203"/>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non-recurring expenses to establish the</w:t>
            </w:r>
          </w:p>
        </w:tc>
      </w:tr>
      <w:tr>
        <w:trPr>
          <w:trHeight w:val="203"/>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Company and separate itself from transitions</w:t>
            </w:r>
          </w:p>
        </w:tc>
      </w:tr>
      <w:tr>
        <w:trPr>
          <w:trHeight w:val="203"/>
        </w:trPr>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Pr>
          <w:p>
            <w:pPr>
              <w:ind w:left="120"/>
              <w:spacing w:after="0" w:line="202" w:lineRule="exact"/>
              <w:rPr>
                <w:sz w:val="20"/>
                <w:szCs w:val="20"/>
                <w:color w:val="auto"/>
              </w:rPr>
            </w:pPr>
            <w:r>
              <w:rPr>
                <w:rFonts w:ascii="Arial" w:cs="Arial" w:eastAsia="Arial" w:hAnsi="Arial"/>
                <w:sz w:val="18"/>
                <w:szCs w:val="18"/>
                <w:color w:val="4C4C4C"/>
              </w:rPr>
              <w:t>services performed by MetLife, the Company’s</w:t>
            </w:r>
          </w:p>
        </w:tc>
      </w:tr>
      <w:tr>
        <w:trPr>
          <w:trHeight w:val="203"/>
        </w:trPr>
        <w:tc>
          <w:tcPr>
            <w:tcW w:w="1000" w:type="dxa"/>
            <w:vAlign w:val="bottom"/>
            <w:tcBorders>
              <w:bottom w:val="single" w:sz="8" w:color="4C4C4C"/>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bottom w:val="single" w:sz="8" w:color="4C4C4C"/>
            </w:tcBorders>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Borders>
              <w:bottom w:val="single" w:sz="8" w:color="4C4C4C"/>
            </w:tcBorders>
          </w:tcPr>
          <w:p>
            <w:pPr>
              <w:ind w:left="120"/>
              <w:spacing w:after="0" w:line="203" w:lineRule="exact"/>
              <w:rPr>
                <w:sz w:val="20"/>
                <w:szCs w:val="20"/>
                <w:color w:val="auto"/>
              </w:rPr>
            </w:pPr>
            <w:r>
              <w:rPr>
                <w:rFonts w:ascii="Arial" w:cs="Arial" w:eastAsia="Arial" w:hAnsi="Arial"/>
                <w:sz w:val="18"/>
                <w:szCs w:val="18"/>
                <w:color w:val="4C4C4C"/>
              </w:rPr>
              <w:t>former parent.</w:t>
            </w: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45720</wp:posOffset>
            </wp:positionV>
            <wp:extent cx="25114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4C4C4C"/>
        </w:rPr>
        <w:t>Effectively managing our expenses is a core element of our strategy. In prior years, the expense metric excluded establishment costs as management’s focus was primarily on run-rate expenses. In 2020, the Compensation and Human Capital Committee determined to include “establishment costs” in this metric to holistically measure our total expenses and to address stockholder feedback. The targets established by the Compensation and Human Capital Committee for this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-6350</wp:posOffset>
            </wp:positionV>
            <wp:extent cx="25114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51</w:t>
      </w:r>
    </w:p>
    <w:p>
      <w:pPr>
        <w:sectPr>
          <w:pgSz w:w="11900" w:h="16838" w:orient="portrait"/>
          <w:cols w:equalWidth="0" w:num="2">
            <w:col w:w="6860" w:space="420"/>
            <w:col w:w="3860"/>
          </w:cols>
          <w:pgMar w:left="320" w:top="459" w:right="4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2 – Our 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208915</wp:posOffset>
            </wp:positionV>
            <wp:extent cx="422592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25925" cy="17145"/>
                    </a:xfrm>
                    <a:prstGeom prst="rect">
                      <a:avLst/>
                    </a:prstGeom>
                    <a:noFill/>
                  </pic:spPr>
                </pic:pic>
              </a:graphicData>
            </a:graphic>
          </wp:anchor>
        </w:drawing>
      </w:r>
    </w:p>
    <w:p>
      <w:pPr>
        <w:spacing w:after="0" w:line="381" w:lineRule="exact"/>
        <w:rPr>
          <w:sz w:val="20"/>
          <w:szCs w:val="20"/>
          <w:color w:val="auto"/>
        </w:rPr>
      </w:pPr>
    </w:p>
    <w:p>
      <w:pPr>
        <w:ind w:left="280"/>
        <w:spacing w:after="0"/>
        <w:tabs>
          <w:tab w:leader="none" w:pos="1880" w:val="left"/>
          <w:tab w:leader="none" w:pos="3280" w:val="left"/>
        </w:tabs>
        <w:rPr>
          <w:sz w:val="20"/>
          <w:szCs w:val="20"/>
          <w:color w:val="auto"/>
        </w:rPr>
      </w:pPr>
      <w:r>
        <w:rPr>
          <w:rFonts w:ascii="Arial" w:cs="Arial" w:eastAsia="Arial" w:hAnsi="Arial"/>
          <w:sz w:val="18"/>
          <w:szCs w:val="18"/>
          <w:b w:val="1"/>
          <w:bCs w:val="1"/>
          <w:color w:val="00ADBB"/>
        </w:rPr>
        <w:t>STI Metric</w:t>
      </w:r>
      <w:r>
        <w:rPr>
          <w:sz w:val="20"/>
          <w:szCs w:val="20"/>
          <w:color w:val="auto"/>
        </w:rPr>
        <w:tab/>
      </w:r>
      <w:r>
        <w:rPr>
          <w:rFonts w:ascii="Arial" w:cs="Arial" w:eastAsia="Arial" w:hAnsi="Arial"/>
          <w:sz w:val="18"/>
          <w:szCs w:val="18"/>
          <w:b w:val="1"/>
          <w:bCs w:val="1"/>
          <w:color w:val="00ADBB"/>
        </w:rPr>
        <w:t>Weighting</w:t>
      </w:r>
      <w:r>
        <w:rPr>
          <w:sz w:val="20"/>
          <w:szCs w:val="20"/>
          <w:color w:val="auto"/>
        </w:rPr>
        <w:tab/>
      </w:r>
      <w:r>
        <w:rPr>
          <w:rFonts w:ascii="Arial" w:cs="Arial" w:eastAsia="Arial" w:hAnsi="Arial"/>
          <w:sz w:val="18"/>
          <w:szCs w:val="18"/>
          <w:b w:val="1"/>
          <w:bCs w:val="1"/>
          <w:color w:val="00ADBB"/>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1340485</wp:posOffset>
            </wp:positionV>
            <wp:extent cx="42259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45720</wp:posOffset>
            </wp:positionV>
            <wp:extent cx="42259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1180" w:type="dxa"/>
            <w:vAlign w:val="bottom"/>
          </w:tcPr>
          <w:p>
            <w:pPr>
              <w:spacing w:after="0"/>
              <w:rPr>
                <w:sz w:val="20"/>
                <w:szCs w:val="20"/>
                <w:color w:val="auto"/>
              </w:rPr>
            </w:pPr>
            <w:r>
              <w:rPr>
                <w:rFonts w:ascii="Arial" w:cs="Arial" w:eastAsia="Arial" w:hAnsi="Arial"/>
                <w:sz w:val="18"/>
                <w:szCs w:val="18"/>
                <w:b w:val="1"/>
                <w:bCs w:val="1"/>
                <w:color w:val="4C4C4C"/>
              </w:rPr>
              <w:t>Sales</w:t>
            </w:r>
          </w:p>
        </w:tc>
        <w:tc>
          <w:tcPr>
            <w:tcW w:w="1460" w:type="dxa"/>
            <w:vAlign w:val="bottom"/>
          </w:tcPr>
          <w:p>
            <w:pPr>
              <w:jc w:val="right"/>
              <w:ind w:right="310"/>
              <w:spacing w:after="0"/>
              <w:rPr>
                <w:sz w:val="20"/>
                <w:szCs w:val="20"/>
                <w:color w:val="auto"/>
              </w:rPr>
            </w:pPr>
            <w:r>
              <w:rPr>
                <w:rFonts w:ascii="Arial" w:cs="Arial" w:eastAsia="Arial" w:hAnsi="Arial"/>
                <w:sz w:val="18"/>
                <w:szCs w:val="18"/>
                <w:color w:val="4C4C4C"/>
              </w:rPr>
              <w:t>40%</w:t>
            </w:r>
          </w:p>
        </w:tc>
        <w:tc>
          <w:tcPr>
            <w:tcW w:w="3720" w:type="dxa"/>
            <w:vAlign w:val="bottom"/>
          </w:tcPr>
          <w:p>
            <w:pPr>
              <w:ind w:left="380"/>
              <w:spacing w:after="0"/>
              <w:rPr>
                <w:sz w:val="20"/>
                <w:szCs w:val="20"/>
                <w:color w:val="auto"/>
              </w:rPr>
            </w:pPr>
            <w:r>
              <w:rPr>
                <w:rFonts w:ascii="Arial" w:cs="Arial" w:eastAsia="Arial" w:hAnsi="Arial"/>
                <w:sz w:val="18"/>
                <w:szCs w:val="18"/>
                <w:b w:val="1"/>
                <w:bCs w:val="1"/>
                <w:color w:val="3F3F3F"/>
                <w:w w:val="99"/>
              </w:rPr>
              <w:t xml:space="preserve">Annuity sales </w:t>
            </w:r>
            <w:r>
              <w:rPr>
                <w:rFonts w:ascii="Arial" w:cs="Arial" w:eastAsia="Arial" w:hAnsi="Arial"/>
                <w:sz w:val="18"/>
                <w:szCs w:val="18"/>
                <w:color w:val="4C4C4C"/>
                <w:w w:val="99"/>
              </w:rPr>
              <w:t>(75%) – measured as total</w:t>
            </w:r>
          </w:p>
        </w:tc>
      </w:tr>
      <w:tr>
        <w:trPr>
          <w:trHeight w:val="217"/>
        </w:trPr>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4C4C4C"/>
              </w:rPr>
              <w:t>deposits for annuity products.</w:t>
            </w:r>
          </w:p>
        </w:tc>
      </w:tr>
    </w:tbl>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3F3F3F"/>
        </w:rPr>
        <w:t xml:space="preserve">Life sales </w:t>
      </w:r>
      <w:r>
        <w:rPr>
          <w:rFonts w:ascii="Arial" w:cs="Arial" w:eastAsia="Arial" w:hAnsi="Arial"/>
          <w:sz w:val="18"/>
          <w:szCs w:val="18"/>
          <w:color w:val="4C4C4C"/>
        </w:rPr>
        <w:t>(25%) – measured according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-125095</wp:posOffset>
            </wp:positionV>
            <wp:extent cx="23742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8"/>
          <w:szCs w:val="18"/>
          <w:color w:val="4C4C4C"/>
        </w:rPr>
        <w:t>the applicable Life Insurance Marketing and</w:t>
      </w:r>
    </w:p>
    <w:p>
      <w:pPr>
        <w:ind w:left="3300"/>
        <w:spacing w:after="0"/>
        <w:rPr>
          <w:sz w:val="20"/>
          <w:szCs w:val="20"/>
          <w:color w:val="auto"/>
        </w:rPr>
      </w:pPr>
      <w:r>
        <w:rPr>
          <w:rFonts w:ascii="Arial" w:cs="Arial" w:eastAsia="Arial" w:hAnsi="Arial"/>
          <w:sz w:val="18"/>
          <w:szCs w:val="18"/>
          <w:color w:val="4C4C4C"/>
        </w:rPr>
        <w:t>Research Association (“</w:t>
      </w:r>
      <w:r>
        <w:rPr>
          <w:rFonts w:ascii="Arial" w:cs="Arial" w:eastAsia="Arial" w:hAnsi="Arial"/>
          <w:sz w:val="18"/>
          <w:szCs w:val="18"/>
          <w:b w:val="1"/>
          <w:bCs w:val="1"/>
          <w:color w:val="00ADBB"/>
        </w:rPr>
        <w:t>LIMRA</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932180</wp:posOffset>
            </wp:positionV>
            <wp:extent cx="42259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b w:val="1"/>
                <w:bCs w:val="1"/>
                <w:color w:val="4C4C4C"/>
              </w:rPr>
              <w:t>Normalized</w:t>
            </w:r>
          </w:p>
        </w:tc>
        <w:tc>
          <w:tcPr>
            <w:tcW w:w="1220" w:type="dxa"/>
            <w:vAlign w:val="bottom"/>
          </w:tcPr>
          <w:p>
            <w:pPr>
              <w:jc w:val="right"/>
              <w:ind w:right="310"/>
              <w:spacing w:after="0"/>
              <w:rPr>
                <w:sz w:val="20"/>
                <w:szCs w:val="20"/>
                <w:color w:val="auto"/>
              </w:rPr>
            </w:pPr>
            <w:r>
              <w:rPr>
                <w:rFonts w:ascii="Arial" w:cs="Arial" w:eastAsia="Arial" w:hAnsi="Arial"/>
                <w:sz w:val="18"/>
                <w:szCs w:val="18"/>
                <w:color w:val="4C4C4C"/>
              </w:rPr>
              <w:t>20%</w:t>
            </w:r>
          </w:p>
        </w:tc>
        <w:tc>
          <w:tcPr>
            <w:tcW w:w="4000" w:type="dxa"/>
            <w:vAlign w:val="bottom"/>
          </w:tcPr>
          <w:p>
            <w:pPr>
              <w:ind w:left="380"/>
              <w:spacing w:after="0"/>
              <w:rPr>
                <w:sz w:val="20"/>
                <w:szCs w:val="20"/>
                <w:color w:val="auto"/>
              </w:rPr>
            </w:pPr>
            <w:r>
              <w:rPr>
                <w:rFonts w:ascii="Arial" w:cs="Arial" w:eastAsia="Arial" w:hAnsi="Arial"/>
                <w:sz w:val="18"/>
                <w:szCs w:val="18"/>
                <w:color w:val="4C4C4C"/>
              </w:rPr>
              <w:t>As described in our quarterly financial</w:t>
            </w:r>
          </w:p>
        </w:tc>
      </w:tr>
      <w:tr>
        <w:trPr>
          <w:trHeight w:val="202"/>
        </w:trPr>
        <w:tc>
          <w:tcPr>
            <w:tcW w:w="1420" w:type="dxa"/>
            <w:vAlign w:val="bottom"/>
          </w:tcPr>
          <w:p>
            <w:pPr>
              <w:spacing w:after="0" w:line="202" w:lineRule="exact"/>
              <w:rPr>
                <w:sz w:val="20"/>
                <w:szCs w:val="20"/>
                <w:color w:val="auto"/>
              </w:rPr>
            </w:pPr>
            <w:r>
              <w:rPr>
                <w:rFonts w:ascii="Arial" w:cs="Arial" w:eastAsia="Arial" w:hAnsi="Arial"/>
                <w:sz w:val="18"/>
                <w:szCs w:val="18"/>
                <w:b w:val="1"/>
                <w:bCs w:val="1"/>
                <w:color w:val="4C4C4C"/>
              </w:rPr>
              <w:t>Statutory</w:t>
            </w: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supplement, this metric is calculated as</w:t>
            </w:r>
          </w:p>
        </w:tc>
      </w:tr>
      <w:tr>
        <w:trPr>
          <w:trHeight w:val="225"/>
        </w:trPr>
        <w:tc>
          <w:tcPr>
            <w:tcW w:w="1420" w:type="dxa"/>
            <w:vAlign w:val="bottom"/>
          </w:tcPr>
          <w:p>
            <w:pPr>
              <w:spacing w:after="0"/>
              <w:rPr>
                <w:sz w:val="20"/>
                <w:szCs w:val="20"/>
                <w:color w:val="auto"/>
              </w:rPr>
            </w:pPr>
            <w:r>
              <w:rPr>
                <w:rFonts w:ascii="Arial" w:cs="Arial" w:eastAsia="Arial" w:hAnsi="Arial"/>
                <w:sz w:val="18"/>
                <w:szCs w:val="18"/>
                <w:b w:val="1"/>
                <w:bCs w:val="1"/>
                <w:color w:val="4C4C4C"/>
              </w:rPr>
              <w:t>Earnings</w:t>
            </w:r>
          </w:p>
        </w:tc>
        <w:tc>
          <w:tcPr>
            <w:tcW w:w="1220" w:type="dxa"/>
            <w:vAlign w:val="bottom"/>
          </w:tcPr>
          <w:p>
            <w:pPr>
              <w:spacing w:after="0"/>
              <w:rPr>
                <w:sz w:val="19"/>
                <w:szCs w:val="19"/>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4C4C4C"/>
              </w:rPr>
              <w:t>follows: statutory pre-tax net gain from</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operations adjusted for the favorable or</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unfavorable impacts of (i) net realized capital</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gains (losses), (ii) the change in total asset</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requirement at CTE95, net of the change in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our variable annuity reserves, and</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(iii) unrealized gains (losses) associated with</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our variable annuities risk management</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w w:val="99"/>
              </w:rPr>
              <w:t>strategy. Normalized statutory earnings (loss)</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may be further adjusted for certain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unanticipated items that impacted our results</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in order to help management and investors</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ind w:left="380"/>
              <w:spacing w:after="0" w:line="202" w:lineRule="exact"/>
              <w:rPr>
                <w:sz w:val="20"/>
                <w:szCs w:val="20"/>
                <w:color w:val="auto"/>
              </w:rPr>
            </w:pPr>
            <w:r>
              <w:rPr>
                <w:rFonts w:ascii="Arial" w:cs="Arial" w:eastAsia="Arial" w:hAnsi="Arial"/>
                <w:sz w:val="18"/>
                <w:szCs w:val="18"/>
                <w:color w:val="4C4C4C"/>
              </w:rPr>
              <w:t>better understand, evaluate, and forecast</w:t>
            </w:r>
          </w:p>
        </w:tc>
      </w:tr>
      <w:tr>
        <w:trPr>
          <w:trHeight w:val="217"/>
        </w:trPr>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4C4C4C"/>
              </w:rPr>
              <w:t>those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634365</wp:posOffset>
            </wp:positionV>
            <wp:extent cx="42259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52 | 2021 Proxy Statement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304800</wp:posOffset>
            </wp:positionV>
            <wp:extent cx="235775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57755"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45720</wp:posOffset>
            </wp:positionV>
            <wp:extent cx="23577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6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4C4C4C"/>
        </w:rPr>
        <w:t>align with the Company’s long-term goal of reducing the Company’s annualized run-rate corporate expenses by $150 million by 2020 and an additional $25 million in 2021, with $160 million of establishment costs in 2020. Key challenges to meeting our expense target included prudently exiting a number of our transition services agreements with MetLife and transitioning to new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-5080</wp:posOffset>
            </wp:positionV>
            <wp:extent cx="23577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4C4C4C"/>
        </w:rPr>
        <w:t>Annuities represent the greatest portion of our business. Since our establishment, annuity sales have been a key driver of our revenues and value. We view growth of life insurance sales as important to Brighthouse’s growth prospects and franchise stability. Meeting our sales goals involved achievement by organizations across the Company. Key challenges to achieving our sales goals included the impact of the COVID-19 pandemic on our wholesalers’ ability to expand our distribution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wp:posOffset>
            </wp:positionV>
            <wp:extent cx="23577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4C4C4C"/>
        </w:rPr>
        <w:t>Normalized Statutory Earnings is a key metric used by management to measure our insurance companies’ generation of statutory distributable cash flows (sometimes referred to as distributable earnings) and which is reflective of whether our hedging program functions as intended. It also reflects factors that a broad population of STI participants are able to directly impact and influence. This metric is the product of performance across key aspects of management’s strategy: sales; capital; and expenses. In the long term, normalized statutory earnings contribute to our capacity to generate free cash flow from our operating companies to the parent holding company. Key challenges to achieving our normalized statutory earnings goals included managing the volatility of market performance and interest rates, prudently managing our hedging strategy, and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wp:posOffset>
            </wp:positionV>
            <wp:extent cx="23577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ectPr>
          <w:pgSz w:w="11900" w:h="16838" w:orient="portrait"/>
          <w:cols w:equalWidth="0" w:num="2">
            <w:col w:w="6920" w:space="420"/>
            <w:col w:w="380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7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Compensation Discussion and Analysis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Section 2 – Our 2020 Executive Compensation Program</w:t>
      </w:r>
    </w:p>
    <w:p>
      <w:pPr>
        <w:spacing w:after="0" w:line="24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4C4C4C"/>
        </w:rPr>
        <w:t>The Compensation and Human Capital Committee reviewed Brighthouse’s actual performance to confirm that Brighthouse’s actions to achieve these results were carried out safely and prudently and did not create unwarranted risk for the Company. In addition, our Internal Audit department reviewed and certified the Company’s actual performance results for each metric and the 2020 Company Performance Factor. The following table reflects the Company’s performance against each STI metric (payout percentages were rounded to the nearest whole number) and the 2020 Company Performance Factor approved by the 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146050</wp:posOffset>
            </wp:positionV>
            <wp:extent cx="8255"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146050</wp:posOffset>
            </wp:positionV>
            <wp:extent cx="8255"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146050</wp:posOffset>
            </wp:positionV>
            <wp:extent cx="889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442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STI Metrics</w:t>
            </w:r>
          </w:p>
        </w:tc>
        <w:tc>
          <w:tcPr>
            <w:tcW w:w="2440" w:type="dxa"/>
            <w:vAlign w:val="bottom"/>
            <w:gridSpan w:val="2"/>
            <w:shd w:val="clear" w:color="auto" w:fill="00ADBB"/>
          </w:tcPr>
          <w:p>
            <w:pPr>
              <w:ind w:left="380"/>
              <w:spacing w:after="0"/>
              <w:rPr>
                <w:sz w:val="20"/>
                <w:szCs w:val="20"/>
                <w:color w:val="auto"/>
              </w:rPr>
            </w:pPr>
            <w:r>
              <w:rPr>
                <w:rFonts w:ascii="Arial" w:cs="Arial" w:eastAsia="Arial" w:hAnsi="Arial"/>
                <w:sz w:val="18"/>
                <w:szCs w:val="18"/>
                <w:b w:val="1"/>
                <w:bCs w:val="1"/>
                <w:color w:val="FFFFFF"/>
              </w:rPr>
              <w:t>Target Payout Level</w:t>
            </w:r>
          </w:p>
        </w:tc>
        <w:tc>
          <w:tcPr>
            <w:tcW w:w="1980" w:type="dxa"/>
            <w:vAlign w:val="bottom"/>
            <w:gridSpan w:val="2"/>
            <w:shd w:val="clear" w:color="auto" w:fill="00ADBB"/>
          </w:tcPr>
          <w:p>
            <w:pPr>
              <w:jc w:val="right"/>
              <w:ind w:right="270"/>
              <w:spacing w:after="0"/>
              <w:rPr>
                <w:sz w:val="20"/>
                <w:szCs w:val="20"/>
                <w:color w:val="auto"/>
              </w:rPr>
            </w:pPr>
            <w:r>
              <w:rPr>
                <w:rFonts w:ascii="Arial" w:cs="Arial" w:eastAsia="Arial" w:hAnsi="Arial"/>
                <w:sz w:val="18"/>
                <w:szCs w:val="18"/>
                <w:b w:val="1"/>
                <w:bCs w:val="1"/>
                <w:color w:val="FFFFFF"/>
              </w:rPr>
              <w:t>Actual Results</w:t>
            </w:r>
          </w:p>
        </w:tc>
        <w:tc>
          <w:tcPr>
            <w:tcW w:w="2180" w:type="dxa"/>
            <w:vAlign w:val="bottom"/>
            <w:shd w:val="clear" w:color="auto" w:fill="00ADBB"/>
          </w:tcPr>
          <w:p>
            <w:pPr>
              <w:jc w:val="right"/>
              <w:spacing w:after="0"/>
              <w:rPr>
                <w:sz w:val="20"/>
                <w:szCs w:val="20"/>
                <w:color w:val="auto"/>
              </w:rPr>
            </w:pPr>
            <w:r>
              <w:rPr>
                <w:rFonts w:ascii="Arial" w:cs="Arial" w:eastAsia="Arial" w:hAnsi="Arial"/>
                <w:sz w:val="18"/>
                <w:szCs w:val="18"/>
                <w:b w:val="1"/>
                <w:bCs w:val="1"/>
                <w:color w:val="FFFFFF"/>
              </w:rPr>
              <w:t xml:space="preserve">Payout Percentage </w:t>
            </w:r>
            <w:r>
              <w:rPr>
                <w:rFonts w:ascii="Arial" w:cs="Arial" w:eastAsia="Arial" w:hAnsi="Arial"/>
                <w:sz w:val="15"/>
                <w:szCs w:val="15"/>
                <w:b w:val="1"/>
                <w:bCs w:val="1"/>
                <w:color w:val="FFFFFF"/>
              </w:rPr>
              <w:t>(2)</w:t>
            </w:r>
          </w:p>
        </w:tc>
      </w:tr>
      <w:tr>
        <w:trPr>
          <w:trHeight w:val="180"/>
        </w:trPr>
        <w:tc>
          <w:tcPr>
            <w:tcW w:w="4420" w:type="dxa"/>
            <w:vAlign w:val="bottom"/>
          </w:tcPr>
          <w:p>
            <w:pPr>
              <w:ind w:left="100"/>
              <w:spacing w:after="0" w:line="180" w:lineRule="exact"/>
              <w:rPr>
                <w:sz w:val="20"/>
                <w:szCs w:val="20"/>
                <w:color w:val="auto"/>
              </w:rPr>
            </w:pPr>
            <w:r>
              <w:rPr>
                <w:rFonts w:ascii="Arial" w:cs="Arial" w:eastAsia="Arial" w:hAnsi="Arial"/>
                <w:sz w:val="18"/>
                <w:szCs w:val="18"/>
                <w:b w:val="1"/>
                <w:bCs w:val="1"/>
                <w:color w:val="4C4C4C"/>
              </w:rPr>
              <w:t xml:space="preserve">Expense Target (40%) </w:t>
            </w:r>
            <w:r>
              <w:rPr>
                <w:rFonts w:ascii="Arial" w:cs="Arial" w:eastAsia="Arial" w:hAnsi="Arial"/>
                <w:sz w:val="15"/>
                <w:szCs w:val="15"/>
                <w:b w:val="1"/>
                <w:bCs w:val="1"/>
                <w:color w:val="4C4C4C"/>
              </w:rPr>
              <w:t>(1)</w:t>
            </w:r>
          </w:p>
        </w:tc>
        <w:tc>
          <w:tcPr>
            <w:tcW w:w="980" w:type="dxa"/>
            <w:vAlign w:val="bottom"/>
          </w:tcPr>
          <w:p>
            <w:pPr>
              <w:ind w:left="380"/>
              <w:spacing w:after="0" w:line="180" w:lineRule="exact"/>
              <w:rPr>
                <w:sz w:val="20"/>
                <w:szCs w:val="20"/>
                <w:color w:val="auto"/>
              </w:rPr>
            </w:pPr>
            <w:r>
              <w:rPr>
                <w:rFonts w:ascii="Arial" w:cs="Arial" w:eastAsia="Arial" w:hAnsi="Arial"/>
                <w:sz w:val="18"/>
                <w:szCs w:val="18"/>
                <w:color w:val="4C4C4C"/>
              </w:rPr>
              <w:t>$</w:t>
            </w:r>
          </w:p>
        </w:tc>
        <w:tc>
          <w:tcPr>
            <w:tcW w:w="1460" w:type="dxa"/>
            <w:vAlign w:val="bottom"/>
          </w:tcPr>
          <w:p>
            <w:pPr>
              <w:jc w:val="right"/>
              <w:ind w:right="270"/>
              <w:spacing w:after="0" w:line="180" w:lineRule="exact"/>
              <w:rPr>
                <w:sz w:val="20"/>
                <w:szCs w:val="20"/>
                <w:color w:val="auto"/>
              </w:rPr>
            </w:pPr>
            <w:r>
              <w:rPr>
                <w:rFonts w:ascii="Arial" w:cs="Arial" w:eastAsia="Arial" w:hAnsi="Arial"/>
                <w:sz w:val="18"/>
                <w:szCs w:val="18"/>
                <w:color w:val="4C4C4C"/>
              </w:rPr>
              <w:t>1,065M</w:t>
            </w:r>
          </w:p>
        </w:tc>
        <w:tc>
          <w:tcPr>
            <w:tcW w:w="780" w:type="dxa"/>
            <w:vAlign w:val="bottom"/>
          </w:tcPr>
          <w:p>
            <w:pPr>
              <w:jc w:val="right"/>
              <w:ind w:right="170"/>
              <w:spacing w:after="0" w:line="180" w:lineRule="exact"/>
              <w:rPr>
                <w:sz w:val="20"/>
                <w:szCs w:val="20"/>
                <w:color w:val="auto"/>
              </w:rPr>
            </w:pPr>
            <w:r>
              <w:rPr>
                <w:rFonts w:ascii="Arial" w:cs="Arial" w:eastAsia="Arial" w:hAnsi="Arial"/>
                <w:sz w:val="18"/>
                <w:szCs w:val="18"/>
                <w:color w:val="4C4C4C"/>
              </w:rPr>
              <w:t>$</w:t>
            </w:r>
          </w:p>
        </w:tc>
        <w:tc>
          <w:tcPr>
            <w:tcW w:w="1200" w:type="dxa"/>
            <w:vAlign w:val="bottom"/>
          </w:tcPr>
          <w:p>
            <w:pPr>
              <w:jc w:val="right"/>
              <w:ind w:right="270"/>
              <w:spacing w:after="0" w:line="180" w:lineRule="exact"/>
              <w:rPr>
                <w:sz w:val="20"/>
                <w:szCs w:val="20"/>
                <w:color w:val="auto"/>
              </w:rPr>
            </w:pPr>
            <w:r>
              <w:rPr>
                <w:rFonts w:ascii="Arial" w:cs="Arial" w:eastAsia="Arial" w:hAnsi="Arial"/>
                <w:sz w:val="18"/>
                <w:szCs w:val="18"/>
                <w:color w:val="4C4C4C"/>
              </w:rPr>
              <w:t>1,024M</w:t>
            </w:r>
          </w:p>
        </w:tc>
        <w:tc>
          <w:tcPr>
            <w:tcW w:w="2180" w:type="dxa"/>
            <w:vAlign w:val="bottom"/>
          </w:tcPr>
          <w:p>
            <w:pPr>
              <w:jc w:val="right"/>
              <w:ind w:right="610"/>
              <w:spacing w:after="0" w:line="180" w:lineRule="exact"/>
              <w:rPr>
                <w:sz w:val="20"/>
                <w:szCs w:val="20"/>
                <w:color w:val="auto"/>
              </w:rPr>
            </w:pPr>
            <w:r>
              <w:rPr>
                <w:rFonts w:ascii="Arial" w:cs="Arial" w:eastAsia="Arial" w:hAnsi="Arial"/>
                <w:sz w:val="18"/>
                <w:szCs w:val="18"/>
                <w:color w:val="4C4C4C"/>
              </w:rPr>
              <w:t>130%</w:t>
            </w:r>
          </w:p>
        </w:tc>
      </w:tr>
      <w:tr>
        <w:trPr>
          <w:trHeight w:val="203"/>
        </w:trPr>
        <w:tc>
          <w:tcPr>
            <w:tcW w:w="4420" w:type="dxa"/>
            <w:vAlign w:val="bottom"/>
          </w:tcPr>
          <w:p>
            <w:pPr>
              <w:ind w:left="100"/>
              <w:spacing w:after="0" w:line="202" w:lineRule="exact"/>
              <w:rPr>
                <w:sz w:val="20"/>
                <w:szCs w:val="20"/>
                <w:color w:val="auto"/>
              </w:rPr>
            </w:pPr>
            <w:r>
              <w:rPr>
                <w:rFonts w:ascii="Arial" w:cs="Arial" w:eastAsia="Arial" w:hAnsi="Arial"/>
                <w:sz w:val="18"/>
                <w:szCs w:val="18"/>
                <w:b w:val="1"/>
                <w:bCs w:val="1"/>
                <w:color w:val="4C4C4C"/>
              </w:rPr>
              <w:t>Sales (40%)</w:t>
            </w: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80" w:type="dxa"/>
            <w:vAlign w:val="bottom"/>
          </w:tcPr>
          <w:p>
            <w:pPr>
              <w:jc w:val="right"/>
              <w:ind w:right="610"/>
              <w:spacing w:after="0" w:line="202" w:lineRule="exact"/>
              <w:rPr>
                <w:sz w:val="20"/>
                <w:szCs w:val="20"/>
                <w:color w:val="auto"/>
              </w:rPr>
            </w:pPr>
            <w:r>
              <w:rPr>
                <w:rFonts w:ascii="Arial" w:cs="Arial" w:eastAsia="Arial" w:hAnsi="Arial"/>
                <w:sz w:val="18"/>
                <w:szCs w:val="18"/>
                <w:color w:val="4C4C4C"/>
              </w:rPr>
              <w:t>102%</w:t>
            </w:r>
          </w:p>
        </w:tc>
      </w:tr>
      <w:tr>
        <w:trPr>
          <w:trHeight w:val="203"/>
        </w:trPr>
        <w:tc>
          <w:tcPr>
            <w:tcW w:w="4420" w:type="dxa"/>
            <w:vAlign w:val="bottom"/>
          </w:tcPr>
          <w:p>
            <w:pPr>
              <w:ind w:left="280"/>
              <w:spacing w:after="0" w:line="202" w:lineRule="exact"/>
              <w:rPr>
                <w:sz w:val="20"/>
                <w:szCs w:val="20"/>
                <w:color w:val="auto"/>
              </w:rPr>
            </w:pPr>
            <w:r>
              <w:rPr>
                <w:rFonts w:ascii="Arial" w:cs="Arial" w:eastAsia="Arial" w:hAnsi="Arial"/>
                <w:sz w:val="18"/>
                <w:szCs w:val="18"/>
                <w:b w:val="1"/>
                <w:bCs w:val="1"/>
                <w:color w:val="4C4C4C"/>
              </w:rPr>
              <w:t>Annuity (75%)</w:t>
            </w:r>
          </w:p>
        </w:tc>
        <w:tc>
          <w:tcPr>
            <w:tcW w:w="980" w:type="dxa"/>
            <w:vAlign w:val="bottom"/>
          </w:tcPr>
          <w:p>
            <w:pPr>
              <w:ind w:left="380"/>
              <w:spacing w:after="0" w:line="202" w:lineRule="exact"/>
              <w:rPr>
                <w:sz w:val="20"/>
                <w:szCs w:val="20"/>
                <w:color w:val="auto"/>
              </w:rPr>
            </w:pPr>
            <w:r>
              <w:rPr>
                <w:rFonts w:ascii="Arial" w:cs="Arial" w:eastAsia="Arial" w:hAnsi="Arial"/>
                <w:sz w:val="18"/>
                <w:szCs w:val="18"/>
                <w:color w:val="4C4C4C"/>
              </w:rPr>
              <w:t>$</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4C4C4C"/>
              </w:rPr>
              <w:t>8.15B</w:t>
            </w:r>
          </w:p>
        </w:tc>
        <w:tc>
          <w:tcPr>
            <w:tcW w:w="780" w:type="dxa"/>
            <w:vAlign w:val="bottom"/>
          </w:tcPr>
          <w:p>
            <w:pPr>
              <w:jc w:val="right"/>
              <w:ind w:right="170"/>
              <w:spacing w:after="0" w:line="202" w:lineRule="exact"/>
              <w:rPr>
                <w:sz w:val="20"/>
                <w:szCs w:val="20"/>
                <w:color w:val="auto"/>
              </w:rPr>
            </w:pPr>
            <w:r>
              <w:rPr>
                <w:rFonts w:ascii="Arial" w:cs="Arial" w:eastAsia="Arial" w:hAnsi="Arial"/>
                <w:sz w:val="18"/>
                <w:szCs w:val="18"/>
                <w:color w:val="4C4C4C"/>
              </w:rPr>
              <w:t>$</w:t>
            </w:r>
          </w:p>
        </w:tc>
        <w:tc>
          <w:tcPr>
            <w:tcW w:w="1200" w:type="dxa"/>
            <w:vAlign w:val="bottom"/>
          </w:tcPr>
          <w:p>
            <w:pPr>
              <w:jc w:val="right"/>
              <w:ind w:right="270"/>
              <w:spacing w:after="0" w:line="202" w:lineRule="exact"/>
              <w:rPr>
                <w:sz w:val="20"/>
                <w:szCs w:val="20"/>
                <w:color w:val="auto"/>
              </w:rPr>
            </w:pPr>
            <w:r>
              <w:rPr>
                <w:rFonts w:ascii="Arial" w:cs="Arial" w:eastAsia="Arial" w:hAnsi="Arial"/>
                <w:sz w:val="18"/>
                <w:szCs w:val="18"/>
                <w:color w:val="4C4C4C"/>
              </w:rPr>
              <w:t>9.1B</w:t>
            </w:r>
          </w:p>
        </w:tc>
        <w:tc>
          <w:tcPr>
            <w:tcW w:w="2180" w:type="dxa"/>
            <w:vAlign w:val="bottom"/>
          </w:tcPr>
          <w:p>
            <w:pPr>
              <w:jc w:val="right"/>
              <w:ind w:right="1330"/>
              <w:spacing w:after="0" w:line="202" w:lineRule="exact"/>
              <w:rPr>
                <w:sz w:val="20"/>
                <w:szCs w:val="20"/>
                <w:color w:val="auto"/>
              </w:rPr>
            </w:pPr>
            <w:r>
              <w:rPr>
                <w:rFonts w:ascii="Arial" w:cs="Arial" w:eastAsia="Arial" w:hAnsi="Arial"/>
                <w:sz w:val="18"/>
                <w:szCs w:val="18"/>
                <w:color w:val="4C4C4C"/>
              </w:rPr>
              <w:t>113%</w:t>
            </w:r>
          </w:p>
        </w:tc>
      </w:tr>
      <w:tr>
        <w:trPr>
          <w:trHeight w:val="203"/>
        </w:trPr>
        <w:tc>
          <w:tcPr>
            <w:tcW w:w="4420" w:type="dxa"/>
            <w:vAlign w:val="bottom"/>
          </w:tcPr>
          <w:p>
            <w:pPr>
              <w:ind w:left="280"/>
              <w:spacing w:after="0" w:line="202" w:lineRule="exact"/>
              <w:rPr>
                <w:sz w:val="20"/>
                <w:szCs w:val="20"/>
                <w:color w:val="auto"/>
              </w:rPr>
            </w:pPr>
            <w:r>
              <w:rPr>
                <w:rFonts w:ascii="Arial" w:cs="Arial" w:eastAsia="Arial" w:hAnsi="Arial"/>
                <w:sz w:val="18"/>
                <w:szCs w:val="18"/>
                <w:b w:val="1"/>
                <w:bCs w:val="1"/>
                <w:color w:val="4C4C4C"/>
              </w:rPr>
              <w:t>Life (25%)</w:t>
            </w:r>
          </w:p>
        </w:tc>
        <w:tc>
          <w:tcPr>
            <w:tcW w:w="980" w:type="dxa"/>
            <w:vAlign w:val="bottom"/>
          </w:tcPr>
          <w:p>
            <w:pPr>
              <w:ind w:left="380"/>
              <w:spacing w:after="0" w:line="202" w:lineRule="exact"/>
              <w:rPr>
                <w:sz w:val="20"/>
                <w:szCs w:val="20"/>
                <w:color w:val="auto"/>
              </w:rPr>
            </w:pPr>
            <w:r>
              <w:rPr>
                <w:rFonts w:ascii="Arial" w:cs="Arial" w:eastAsia="Arial" w:hAnsi="Arial"/>
                <w:sz w:val="18"/>
                <w:szCs w:val="18"/>
                <w:color w:val="4C4C4C"/>
              </w:rPr>
              <w:t>$</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4C4C4C"/>
              </w:rPr>
              <w:t>90M</w:t>
            </w:r>
          </w:p>
        </w:tc>
        <w:tc>
          <w:tcPr>
            <w:tcW w:w="780" w:type="dxa"/>
            <w:vAlign w:val="bottom"/>
          </w:tcPr>
          <w:p>
            <w:pPr>
              <w:jc w:val="right"/>
              <w:ind w:right="170"/>
              <w:spacing w:after="0" w:line="202" w:lineRule="exact"/>
              <w:rPr>
                <w:sz w:val="20"/>
                <w:szCs w:val="20"/>
                <w:color w:val="auto"/>
              </w:rPr>
            </w:pPr>
            <w:r>
              <w:rPr>
                <w:rFonts w:ascii="Arial" w:cs="Arial" w:eastAsia="Arial" w:hAnsi="Arial"/>
                <w:sz w:val="18"/>
                <w:szCs w:val="18"/>
                <w:color w:val="4C4C4C"/>
              </w:rPr>
              <w:t>$</w:t>
            </w:r>
          </w:p>
        </w:tc>
        <w:tc>
          <w:tcPr>
            <w:tcW w:w="1200" w:type="dxa"/>
            <w:vAlign w:val="bottom"/>
          </w:tcPr>
          <w:p>
            <w:pPr>
              <w:jc w:val="right"/>
              <w:ind w:right="270"/>
              <w:spacing w:after="0" w:line="202" w:lineRule="exact"/>
              <w:rPr>
                <w:sz w:val="20"/>
                <w:szCs w:val="20"/>
                <w:color w:val="auto"/>
              </w:rPr>
            </w:pPr>
            <w:r>
              <w:rPr>
                <w:rFonts w:ascii="Arial" w:cs="Arial" w:eastAsia="Arial" w:hAnsi="Arial"/>
                <w:sz w:val="18"/>
                <w:szCs w:val="18"/>
                <w:color w:val="4C4C4C"/>
              </w:rPr>
              <w:t>56M</w:t>
            </w:r>
          </w:p>
        </w:tc>
        <w:tc>
          <w:tcPr>
            <w:tcW w:w="2180" w:type="dxa"/>
            <w:vAlign w:val="bottom"/>
          </w:tcPr>
          <w:p>
            <w:pPr>
              <w:jc w:val="right"/>
              <w:ind w:right="1330"/>
              <w:spacing w:after="0" w:line="202" w:lineRule="exact"/>
              <w:rPr>
                <w:sz w:val="20"/>
                <w:szCs w:val="20"/>
                <w:color w:val="auto"/>
              </w:rPr>
            </w:pPr>
            <w:r>
              <w:rPr>
                <w:rFonts w:ascii="Arial" w:cs="Arial" w:eastAsia="Arial" w:hAnsi="Arial"/>
                <w:sz w:val="18"/>
                <w:szCs w:val="18"/>
                <w:color w:val="4C4C4C"/>
              </w:rPr>
              <w:t>69%</w:t>
            </w:r>
          </w:p>
        </w:tc>
      </w:tr>
      <w:tr>
        <w:trPr>
          <w:trHeight w:val="225"/>
        </w:trPr>
        <w:tc>
          <w:tcPr>
            <w:tcW w:w="4420" w:type="dxa"/>
            <w:vAlign w:val="bottom"/>
          </w:tcPr>
          <w:p>
            <w:pPr>
              <w:ind w:left="100"/>
              <w:spacing w:after="0"/>
              <w:rPr>
                <w:sz w:val="20"/>
                <w:szCs w:val="20"/>
                <w:color w:val="auto"/>
              </w:rPr>
            </w:pPr>
            <w:r>
              <w:rPr>
                <w:rFonts w:ascii="Arial" w:cs="Arial" w:eastAsia="Arial" w:hAnsi="Arial"/>
                <w:sz w:val="18"/>
                <w:szCs w:val="18"/>
                <w:b w:val="1"/>
                <w:bCs w:val="1"/>
                <w:color w:val="4C4C4C"/>
              </w:rPr>
              <w:t>Normalized Statutory Earnings (20%)</w:t>
            </w:r>
          </w:p>
        </w:tc>
        <w:tc>
          <w:tcPr>
            <w:tcW w:w="980" w:type="dxa"/>
            <w:vAlign w:val="bottom"/>
          </w:tcPr>
          <w:p>
            <w:pPr>
              <w:ind w:left="380"/>
              <w:spacing w:after="0"/>
              <w:rPr>
                <w:sz w:val="20"/>
                <w:szCs w:val="20"/>
                <w:color w:val="auto"/>
              </w:rPr>
            </w:pPr>
            <w:r>
              <w:rPr>
                <w:rFonts w:ascii="Arial" w:cs="Arial" w:eastAsia="Arial" w:hAnsi="Arial"/>
                <w:sz w:val="18"/>
                <w:szCs w:val="18"/>
                <w:color w:val="4C4C4C"/>
              </w:rPr>
              <w:t>$</w:t>
            </w:r>
          </w:p>
        </w:tc>
        <w:tc>
          <w:tcPr>
            <w:tcW w:w="1460" w:type="dxa"/>
            <w:vAlign w:val="bottom"/>
          </w:tcPr>
          <w:p>
            <w:pPr>
              <w:jc w:val="right"/>
              <w:ind w:right="270"/>
              <w:spacing w:after="0"/>
              <w:rPr>
                <w:sz w:val="20"/>
                <w:szCs w:val="20"/>
                <w:color w:val="auto"/>
              </w:rPr>
            </w:pPr>
            <w:r>
              <w:rPr>
                <w:rFonts w:ascii="Arial" w:cs="Arial" w:eastAsia="Arial" w:hAnsi="Arial"/>
                <w:sz w:val="18"/>
                <w:szCs w:val="18"/>
                <w:color w:val="4C4C4C"/>
              </w:rPr>
              <w:t>400M</w:t>
            </w:r>
          </w:p>
        </w:tc>
        <w:tc>
          <w:tcPr>
            <w:tcW w:w="780" w:type="dxa"/>
            <w:vAlign w:val="bottom"/>
          </w:tcPr>
          <w:p>
            <w:pPr>
              <w:jc w:val="right"/>
              <w:ind w:right="150"/>
              <w:spacing w:after="0"/>
              <w:rPr>
                <w:sz w:val="20"/>
                <w:szCs w:val="20"/>
                <w:color w:val="auto"/>
              </w:rPr>
            </w:pPr>
            <w:r>
              <w:rPr>
                <w:rFonts w:ascii="Arial" w:cs="Arial" w:eastAsia="Arial" w:hAnsi="Arial"/>
                <w:sz w:val="18"/>
                <w:szCs w:val="18"/>
                <w:color w:val="4C4C4C"/>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4C4C4C"/>
              </w:rPr>
              <w:t>389M)</w:t>
            </w:r>
          </w:p>
        </w:tc>
        <w:tc>
          <w:tcPr>
            <w:tcW w:w="2180" w:type="dxa"/>
            <w:vAlign w:val="bottom"/>
          </w:tcPr>
          <w:p>
            <w:pPr>
              <w:jc w:val="right"/>
              <w:ind w:right="610"/>
              <w:spacing w:after="0"/>
              <w:rPr>
                <w:sz w:val="20"/>
                <w:szCs w:val="20"/>
                <w:color w:val="auto"/>
              </w:rPr>
            </w:pPr>
            <w:r>
              <w:rPr>
                <w:rFonts w:ascii="Arial" w:cs="Arial" w:eastAsia="Arial" w:hAnsi="Arial"/>
                <w:sz w:val="18"/>
                <w:szCs w:val="18"/>
                <w:color w:val="4C4C4C"/>
              </w:rPr>
              <w:t>83%</w:t>
            </w:r>
          </w:p>
        </w:tc>
      </w:tr>
      <w:tr>
        <w:trPr>
          <w:trHeight w:val="203"/>
        </w:trPr>
        <w:tc>
          <w:tcPr>
            <w:tcW w:w="4420" w:type="dxa"/>
            <w:vAlign w:val="bottom"/>
            <w:shd w:val="clear" w:color="auto" w:fill="E5F6F8"/>
          </w:tcPr>
          <w:p>
            <w:pPr>
              <w:ind w:left="100"/>
              <w:spacing w:after="0" w:line="202" w:lineRule="exact"/>
              <w:rPr>
                <w:sz w:val="20"/>
                <w:szCs w:val="20"/>
                <w:color w:val="auto"/>
              </w:rPr>
            </w:pPr>
            <w:r>
              <w:rPr>
                <w:rFonts w:ascii="Arial" w:cs="Arial" w:eastAsia="Arial" w:hAnsi="Arial"/>
                <w:sz w:val="18"/>
                <w:szCs w:val="18"/>
                <w:b w:val="1"/>
                <w:bCs w:val="1"/>
                <w:color w:val="00ADBB"/>
              </w:rPr>
              <w:t>2020 Company Performance Factor</w:t>
            </w:r>
          </w:p>
        </w:tc>
        <w:tc>
          <w:tcPr>
            <w:tcW w:w="980" w:type="dxa"/>
            <w:vAlign w:val="bottom"/>
            <w:shd w:val="clear" w:color="auto" w:fill="E5F6F8"/>
          </w:tcPr>
          <w:p>
            <w:pPr>
              <w:spacing w:after="0"/>
              <w:rPr>
                <w:sz w:val="17"/>
                <w:szCs w:val="17"/>
                <w:color w:val="auto"/>
              </w:rPr>
            </w:pPr>
          </w:p>
        </w:tc>
        <w:tc>
          <w:tcPr>
            <w:tcW w:w="1460" w:type="dxa"/>
            <w:vAlign w:val="bottom"/>
            <w:shd w:val="clear" w:color="auto" w:fill="E5F6F8"/>
          </w:tcPr>
          <w:p>
            <w:pPr>
              <w:spacing w:after="0"/>
              <w:rPr>
                <w:sz w:val="17"/>
                <w:szCs w:val="17"/>
                <w:color w:val="auto"/>
              </w:rPr>
            </w:pPr>
          </w:p>
        </w:tc>
        <w:tc>
          <w:tcPr>
            <w:tcW w:w="780" w:type="dxa"/>
            <w:vAlign w:val="bottom"/>
            <w:shd w:val="clear" w:color="auto" w:fill="E5F6F8"/>
          </w:tcPr>
          <w:p>
            <w:pPr>
              <w:spacing w:after="0"/>
              <w:rPr>
                <w:sz w:val="17"/>
                <w:szCs w:val="17"/>
                <w:color w:val="auto"/>
              </w:rPr>
            </w:pPr>
          </w:p>
        </w:tc>
        <w:tc>
          <w:tcPr>
            <w:tcW w:w="1200" w:type="dxa"/>
            <w:vAlign w:val="bottom"/>
            <w:shd w:val="clear" w:color="auto" w:fill="E5F6F8"/>
          </w:tcPr>
          <w:p>
            <w:pPr>
              <w:spacing w:after="0"/>
              <w:rPr>
                <w:sz w:val="17"/>
                <w:szCs w:val="17"/>
                <w:color w:val="auto"/>
              </w:rPr>
            </w:pPr>
          </w:p>
        </w:tc>
        <w:tc>
          <w:tcPr>
            <w:tcW w:w="2180" w:type="dxa"/>
            <w:vAlign w:val="bottom"/>
            <w:shd w:val="clear" w:color="auto" w:fill="E5F6F8"/>
          </w:tcPr>
          <w:p>
            <w:pPr>
              <w:jc w:val="right"/>
              <w:ind w:right="610"/>
              <w:spacing w:after="0" w:line="202" w:lineRule="exact"/>
              <w:rPr>
                <w:sz w:val="20"/>
                <w:szCs w:val="20"/>
                <w:color w:val="auto"/>
              </w:rPr>
            </w:pPr>
            <w:r>
              <w:rPr>
                <w:rFonts w:ascii="Arial" w:cs="Arial" w:eastAsia="Arial" w:hAnsi="Arial"/>
                <w:sz w:val="18"/>
                <w:szCs w:val="18"/>
                <w:b w:val="1"/>
                <w:bCs w:val="1"/>
                <w:color w:val="00ADBB"/>
              </w:rPr>
              <w:t>110%</w:t>
            </w:r>
          </w:p>
        </w:tc>
      </w:tr>
    </w:tbl>
    <w:p>
      <w:pPr>
        <w:spacing w:after="0" w:line="103" w:lineRule="exact"/>
        <w:rPr>
          <w:sz w:val="20"/>
          <w:szCs w:val="20"/>
          <w:color w:val="auto"/>
        </w:rPr>
      </w:pPr>
    </w:p>
    <w:p>
      <w:pPr>
        <w:ind w:left="540" w:right="80" w:hanging="424"/>
        <w:spacing w:after="0" w:line="237" w:lineRule="auto"/>
        <w:tabs>
          <w:tab w:leader="none" w:pos="540" w:val="left"/>
        </w:tabs>
        <w:numPr>
          <w:ilvl w:val="0"/>
          <w:numId w:val="131"/>
        </w:numPr>
        <w:rPr>
          <w:rFonts w:ascii="Arial" w:cs="Arial" w:eastAsia="Arial" w:hAnsi="Arial"/>
          <w:sz w:val="18"/>
          <w:szCs w:val="18"/>
          <w:color w:val="4C4C4C"/>
        </w:rPr>
      </w:pPr>
      <w:r>
        <w:rPr>
          <w:rFonts w:ascii="Arial" w:cs="Arial" w:eastAsia="Arial" w:hAnsi="Arial"/>
          <w:sz w:val="18"/>
          <w:szCs w:val="18"/>
          <w:i w:val="1"/>
          <w:iCs w:val="1"/>
          <w:color w:val="4C4C4C"/>
        </w:rPr>
        <w:t xml:space="preserve">Downward Adjustment to Expense Target Payout Percentage. </w:t>
      </w:r>
      <w:r>
        <w:rPr>
          <w:rFonts w:ascii="Arial" w:cs="Arial" w:eastAsia="Arial" w:hAnsi="Arial"/>
          <w:sz w:val="18"/>
          <w:szCs w:val="18"/>
          <w:color w:val="4C4C4C"/>
        </w:rPr>
        <w:t>The Compensation and Human Capital Committee exercised its</w:t>
      </w:r>
      <w:r>
        <w:rPr>
          <w:rFonts w:ascii="Arial" w:cs="Arial" w:eastAsia="Arial" w:hAnsi="Arial"/>
          <w:sz w:val="18"/>
          <w:szCs w:val="18"/>
          <w:i w:val="1"/>
          <w:iCs w:val="1"/>
          <w:color w:val="4C4C4C"/>
        </w:rPr>
        <w:t xml:space="preserve"> </w:t>
      </w:r>
      <w:r>
        <w:rPr>
          <w:rFonts w:ascii="Arial" w:cs="Arial" w:eastAsia="Arial" w:hAnsi="Arial"/>
          <w:sz w:val="18"/>
          <w:szCs w:val="18"/>
          <w:color w:val="4C4C4C"/>
        </w:rPr>
        <w:t>discretion to reduce 2020 STI payouts, based on business events impacting the 2020 Expense Target metric. In 2020, management determined it was appropriate to delay the outlay of certain planned establishment costs, including those related to planned exits from transition services agreements with our former parent company, MetLife. This contributed to our having establishment costs of $112 million for 2020, compared to our plan of $160 million, which had been factored into our Expense Target metric. Management recommended to the Compensation and Human Capital Committee that adjustment of the Expense Target was appropriate to reflect that these establishment costs were not actually incurred in 2020 as previously planned. The Compensation and Human Capital Committee agreed with management’s recommendation and used its authority to exercise downward discretion and adjust performance with respect to the establishment costs component of the Expense Target metric to plan level, which resulted in an overall Expense Target metric payout percentage of 130% (instead of the maximum of 150%), as well as a lower Company Performance Factor. The Compensation and Human Capital Committee did not use its discretionary authority to adjust either of the other STI Metrics.</w:t>
      </w:r>
    </w:p>
    <w:p>
      <w:pPr>
        <w:spacing w:after="0" w:line="76" w:lineRule="exact"/>
        <w:rPr>
          <w:rFonts w:ascii="Arial" w:cs="Arial" w:eastAsia="Arial" w:hAnsi="Arial"/>
          <w:sz w:val="18"/>
          <w:szCs w:val="18"/>
          <w:color w:val="4C4C4C"/>
        </w:rPr>
      </w:pPr>
    </w:p>
    <w:p>
      <w:pPr>
        <w:ind w:left="540" w:hanging="424"/>
        <w:spacing w:after="0"/>
        <w:tabs>
          <w:tab w:leader="none" w:pos="540" w:val="left"/>
        </w:tabs>
        <w:numPr>
          <w:ilvl w:val="0"/>
          <w:numId w:val="131"/>
        </w:numPr>
        <w:rPr>
          <w:rFonts w:ascii="Arial" w:cs="Arial" w:eastAsia="Arial" w:hAnsi="Arial"/>
          <w:sz w:val="18"/>
          <w:szCs w:val="18"/>
          <w:color w:val="4C4C4C"/>
        </w:rPr>
      </w:pPr>
      <w:r>
        <w:rPr>
          <w:rFonts w:ascii="Arial" w:cs="Arial" w:eastAsia="Arial" w:hAnsi="Arial"/>
          <w:sz w:val="18"/>
          <w:szCs w:val="18"/>
          <w:color w:val="4C4C4C"/>
        </w:rPr>
        <w:t>Rounded to the nearest whole number.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2020 Short-Term Incentive Awards</w:t>
      </w:r>
    </w:p>
    <w:p>
      <w:pPr>
        <w:spacing w:after="0" w:line="1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i w:val="1"/>
          <w:iCs w:val="1"/>
          <w:color w:val="4C4C4C"/>
        </w:rPr>
        <w:t xml:space="preserve">CEO Compensation. </w:t>
      </w:r>
      <w:r>
        <w:rPr>
          <w:rFonts w:ascii="Arial" w:cs="Arial" w:eastAsia="Arial" w:hAnsi="Arial"/>
          <w:sz w:val="18"/>
          <w:szCs w:val="18"/>
          <w:color w:val="4C4C4C"/>
        </w:rPr>
        <w:t>In early 2020, Mr. Steigerwalt, with input from our HR and Finance organizations, developed corporate performance</w:t>
      </w:r>
      <w:r>
        <w:rPr>
          <w:rFonts w:ascii="Arial" w:cs="Arial" w:eastAsia="Arial" w:hAnsi="Arial"/>
          <w:sz w:val="18"/>
          <w:szCs w:val="18"/>
          <w:i w:val="1"/>
          <w:iCs w:val="1"/>
          <w:color w:val="4C4C4C"/>
        </w:rPr>
        <w:t xml:space="preserve"> </w:t>
      </w:r>
      <w:r>
        <w:rPr>
          <w:rFonts w:ascii="Arial" w:cs="Arial" w:eastAsia="Arial" w:hAnsi="Arial"/>
          <w:sz w:val="18"/>
          <w:szCs w:val="18"/>
          <w:color w:val="4C4C4C"/>
        </w:rPr>
        <w:t>goals (“</w:t>
      </w:r>
      <w:r>
        <w:rPr>
          <w:rFonts w:ascii="Arial" w:cs="Arial" w:eastAsia="Arial" w:hAnsi="Arial"/>
          <w:sz w:val="18"/>
          <w:szCs w:val="18"/>
          <w:b w:val="1"/>
          <w:bCs w:val="1"/>
          <w:color w:val="00ADBB"/>
        </w:rPr>
        <w:t>CEO Goals</w:t>
      </w:r>
      <w:r>
        <w:rPr>
          <w:rFonts w:ascii="Arial" w:cs="Arial" w:eastAsia="Arial" w:hAnsi="Arial"/>
          <w:sz w:val="18"/>
          <w:szCs w:val="18"/>
          <w:color w:val="4C4C4C"/>
        </w:rPr>
        <w:t>”) that would be used to assess Mr. Steigerwalt’s performance during 2020. In February 2020, the Compensation and Human Capital Committee reviewed the quantitative and qualitative metrics to measure the CEO’s performance and approved the CEO Goals. The CEO Goals, described in the table below, were a mix of strategic and operational objectives, and were intended to provide a framework for assessing Mr. Steigerwalt’s performance in 2020.</w:t>
      </w:r>
    </w:p>
    <w:p>
      <w:pPr>
        <w:spacing w:after="0" w:line="94" w:lineRule="exact"/>
        <w:rPr>
          <w:sz w:val="20"/>
          <w:szCs w:val="20"/>
          <w:color w:val="auto"/>
        </w:rPr>
      </w:pPr>
    </w:p>
    <w:p>
      <w:pPr>
        <w:ind w:left="120" w:right="40"/>
        <w:spacing w:after="0"/>
        <w:rPr>
          <w:sz w:val="20"/>
          <w:szCs w:val="20"/>
          <w:color w:val="auto"/>
        </w:rPr>
      </w:pPr>
      <w:r>
        <w:rPr>
          <w:rFonts w:ascii="Arial" w:cs="Arial" w:eastAsia="Arial" w:hAnsi="Arial"/>
          <w:sz w:val="18"/>
          <w:szCs w:val="18"/>
          <w:color w:val="4C4C4C"/>
        </w:rPr>
        <w:t>In January 2021, the Compensation and Human Capital Committee and the Independent Directors considered the Company’s performance overall, Mr. Steigerwalt’s performance against the CEO Goals, his other accomplishments in 2020, and Mr. Steigerwalt’s self-assessment of his performance. The following table describes the 2020 CEO Goals and Mr. Steigerwalt’s 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CEO Goal</w:t>
      </w:r>
    </w:p>
    <w:p>
      <w:pPr>
        <w:spacing w:after="0" w:line="63" w:lineRule="exact"/>
        <w:rPr>
          <w:sz w:val="20"/>
          <w:szCs w:val="20"/>
          <w:color w:val="auto"/>
        </w:rPr>
      </w:pPr>
    </w:p>
    <w:p>
      <w:pPr>
        <w:ind w:left="120" w:right="510"/>
        <w:spacing w:after="0" w:line="301" w:lineRule="auto"/>
        <w:rPr>
          <w:sz w:val="20"/>
          <w:szCs w:val="20"/>
          <w:color w:val="auto"/>
        </w:rPr>
      </w:pPr>
      <w:r>
        <w:rPr>
          <w:rFonts w:ascii="Arial" w:cs="Arial" w:eastAsia="Arial" w:hAnsi="Arial"/>
          <w:sz w:val="17"/>
          <w:szCs w:val="17"/>
          <w:b w:val="1"/>
          <w:bCs w:val="1"/>
          <w:color w:val="4C4C4C"/>
        </w:rPr>
        <w:t>Reduce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354965</wp:posOffset>
            </wp:positionV>
            <wp:extent cx="1474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-304800</wp:posOffset>
            </wp:positionV>
            <wp:extent cx="1474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ADBB"/>
        </w:rPr>
        <w:t>2020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45720</wp:posOffset>
            </wp:positionV>
            <wp:extent cx="53149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65" w:lineRule="exact"/>
        <w:rPr>
          <w:sz w:val="20"/>
          <w:szCs w:val="20"/>
          <w:color w:val="auto"/>
        </w:rPr>
      </w:pPr>
    </w:p>
    <w:p>
      <w:pPr>
        <w:ind w:left="190" w:right="480" w:hanging="190"/>
        <w:spacing w:after="0" w:line="234" w:lineRule="auto"/>
        <w:tabs>
          <w:tab w:leader="none" w:pos="174" w:val="left"/>
        </w:tabs>
        <w:numPr>
          <w:ilvl w:val="0"/>
          <w:numId w:val="132"/>
        </w:numPr>
        <w:rPr>
          <w:rFonts w:ascii="Arial" w:cs="Arial" w:eastAsia="Arial" w:hAnsi="Arial"/>
          <w:sz w:val="18"/>
          <w:szCs w:val="18"/>
          <w:color w:val="4C4C4C"/>
        </w:rPr>
      </w:pPr>
      <w:r>
        <w:rPr>
          <w:rFonts w:ascii="Arial" w:cs="Arial" w:eastAsia="Arial" w:hAnsi="Arial"/>
          <w:sz w:val="18"/>
          <w:szCs w:val="18"/>
          <w:color w:val="4C4C4C"/>
        </w:rPr>
        <w:t>Successfully reduced run-rate corporate expenses to $864 million in 2020, which was below our target.</w:t>
      </w:r>
    </w:p>
    <w:p>
      <w:pPr>
        <w:spacing w:after="0" w:line="1" w:lineRule="exact"/>
        <w:rPr>
          <w:rFonts w:ascii="Arial" w:cs="Arial" w:eastAsia="Arial" w:hAnsi="Arial"/>
          <w:sz w:val="18"/>
          <w:szCs w:val="18"/>
          <w:color w:val="4C4C4C"/>
        </w:rPr>
      </w:pPr>
    </w:p>
    <w:p>
      <w:pPr>
        <w:ind w:left="190" w:right="100" w:hanging="190"/>
        <w:spacing w:after="0"/>
        <w:tabs>
          <w:tab w:leader="none" w:pos="174" w:val="left"/>
        </w:tabs>
        <w:numPr>
          <w:ilvl w:val="0"/>
          <w:numId w:val="132"/>
        </w:numPr>
        <w:rPr>
          <w:rFonts w:ascii="Arial" w:cs="Arial" w:eastAsia="Arial" w:hAnsi="Arial"/>
          <w:sz w:val="18"/>
          <w:szCs w:val="18"/>
          <w:color w:val="4C4C4C"/>
        </w:rPr>
      </w:pPr>
      <w:r>
        <w:rPr>
          <w:rFonts w:ascii="Arial" w:cs="Arial" w:eastAsia="Arial" w:hAnsi="Arial"/>
          <w:sz w:val="18"/>
          <w:szCs w:val="18"/>
          <w:color w:val="4C4C4C"/>
        </w:rPr>
        <w:t>While establishment costs were also below plan, this was primarily due to our decision to delay the outlay of certain planned establishment costs, including those related to planned exits from transition services agreements with our former parent company, MetLife.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wp:posOffset>
            </wp:positionV>
            <wp:extent cx="53149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53</w:t>
      </w:r>
    </w:p>
    <w:p>
      <w:pPr>
        <w:sectPr>
          <w:pgSz w:w="11900" w:h="16838" w:orient="portrait"/>
          <w:cols w:equalWidth="0" w:num="2">
            <w:col w:w="2150" w:space="720"/>
            <w:col w:w="827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Compensation Discussion and Analysis</w:t>
      </w:r>
      <w:r>
        <w:rPr>
          <w:sz w:val="20"/>
          <w:szCs w:val="20"/>
          <w:color w:val="auto"/>
        </w:rPr>
        <w:tab/>
      </w:r>
      <w:r>
        <w:rPr>
          <w:rFonts w:ascii="Arial" w:cs="Arial" w:eastAsia="Arial" w:hAnsi="Arial"/>
          <w:sz w:val="12"/>
          <w:szCs w:val="12"/>
          <w:b w:val="1"/>
          <w:bCs w:val="1"/>
          <w:color w:val="00ADBB"/>
        </w:rPr>
        <w:t>Brighthouse Financial, Inc.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2 – Our 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208915</wp:posOffset>
            </wp:positionV>
            <wp:extent cx="678053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CEO Goal</w:t>
      </w:r>
    </w:p>
    <w:p>
      <w:pPr>
        <w:spacing w:after="0" w:line="63"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b w:val="1"/>
          <w:bCs w:val="1"/>
          <w:color w:val="4C4C4C"/>
        </w:rPr>
        <w:t>Increase annuity and life insurance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-290195</wp:posOffset>
            </wp:positionV>
            <wp:extent cx="14312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80" w:right="160"/>
        <w:spacing w:after="0" w:line="253" w:lineRule="auto"/>
        <w:rPr>
          <w:sz w:val="20"/>
          <w:szCs w:val="20"/>
          <w:color w:val="auto"/>
        </w:rPr>
      </w:pPr>
      <w:r>
        <w:rPr>
          <w:rFonts w:ascii="Arial" w:cs="Arial" w:eastAsia="Arial" w:hAnsi="Arial"/>
          <w:sz w:val="18"/>
          <w:szCs w:val="18"/>
          <w:b w:val="1"/>
          <w:bCs w:val="1"/>
          <w:color w:val="4C4C4C"/>
        </w:rPr>
        <w:t>Deliver normalized statutory earnings and EPS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-408940</wp:posOffset>
            </wp:positionV>
            <wp:extent cx="14312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right="120"/>
        <w:spacing w:after="0" w:line="248" w:lineRule="auto"/>
        <w:rPr>
          <w:sz w:val="20"/>
          <w:szCs w:val="20"/>
          <w:color w:val="auto"/>
        </w:rPr>
      </w:pPr>
      <w:r>
        <w:rPr>
          <w:rFonts w:ascii="Arial" w:cs="Arial" w:eastAsia="Arial" w:hAnsi="Arial"/>
          <w:sz w:val="18"/>
          <w:szCs w:val="18"/>
          <w:b w:val="1"/>
          <w:bCs w:val="1"/>
          <w:color w:val="4C4C4C"/>
        </w:rPr>
        <w:t>Achieve significant progress toward future state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-6350</wp:posOffset>
            </wp:positionV>
            <wp:extent cx="14312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-400685</wp:posOffset>
            </wp:positionV>
            <wp:extent cx="1431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280" w:right="80"/>
        <w:spacing w:after="0" w:line="246" w:lineRule="auto"/>
        <w:rPr>
          <w:sz w:val="20"/>
          <w:szCs w:val="20"/>
          <w:color w:val="auto"/>
        </w:rPr>
      </w:pPr>
      <w:r>
        <w:rPr>
          <w:rFonts w:ascii="Arial" w:cs="Arial" w:eastAsia="Arial" w:hAnsi="Arial"/>
          <w:sz w:val="18"/>
          <w:szCs w:val="18"/>
          <w:b w:val="1"/>
          <w:bCs w:val="1"/>
          <w:color w:val="4C4C4C"/>
        </w:rPr>
        <w:t>Maintain strong culture and talent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right="340"/>
        <w:spacing w:after="0" w:line="271" w:lineRule="auto"/>
        <w:rPr>
          <w:sz w:val="20"/>
          <w:szCs w:val="20"/>
          <w:color w:val="auto"/>
        </w:rPr>
      </w:pPr>
      <w:r>
        <w:rPr>
          <w:rFonts w:ascii="Arial" w:cs="Arial" w:eastAsia="Arial" w:hAnsi="Arial"/>
          <w:sz w:val="18"/>
          <w:szCs w:val="18"/>
          <w:b w:val="1"/>
          <w:bCs w:val="1"/>
          <w:color w:val="4C4C4C"/>
        </w:rPr>
        <w:t>Continue to shift the business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-290195</wp:posOffset>
            </wp:positionV>
            <wp:extent cx="14312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5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Other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534670</wp:posOffset>
            </wp:positionV>
            <wp:extent cx="1431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-125095</wp:posOffset>
            </wp:positionV>
            <wp:extent cx="14312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00ADBB"/>
        </w:rPr>
        <w:t>2020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45720</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65" w:lineRule="exact"/>
        <w:rPr>
          <w:sz w:val="20"/>
          <w:szCs w:val="20"/>
          <w:color w:val="auto"/>
        </w:rPr>
      </w:pPr>
    </w:p>
    <w:p>
      <w:pPr>
        <w:ind w:left="182" w:right="108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Generated approximately $9.1 billion in annuity sales, exceeding our target, despite the challenges of operating through the COVID-19 pandemic.</w:t>
      </w:r>
    </w:p>
    <w:p>
      <w:pPr>
        <w:spacing w:after="0" w:line="1" w:lineRule="exact"/>
        <w:rPr>
          <w:rFonts w:ascii="Arial" w:cs="Arial" w:eastAsia="Arial" w:hAnsi="Arial"/>
          <w:sz w:val="18"/>
          <w:szCs w:val="18"/>
          <w:color w:val="4C4C4C"/>
        </w:rPr>
      </w:pPr>
    </w:p>
    <w:p>
      <w:pPr>
        <w:jc w:val="both"/>
        <w:ind w:left="182" w:right="480" w:hanging="182"/>
        <w:spacing w:after="0"/>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Generated approximately $56 million in life insurance sales, which fell short of plan. As we had only recently launched our new life insurance product, the COVID-19 pandemic challenged our ability to prospect for and onboard distributors.</w:t>
      </w:r>
    </w:p>
    <w:p>
      <w:pPr>
        <w:spacing w:after="0" w:line="13" w:lineRule="exact"/>
        <w:rPr>
          <w:rFonts w:ascii="Arial" w:cs="Arial" w:eastAsia="Arial" w:hAnsi="Arial"/>
          <w:sz w:val="18"/>
          <w:szCs w:val="18"/>
          <w:color w:val="4C4C4C"/>
        </w:rPr>
      </w:pPr>
    </w:p>
    <w:p>
      <w:pPr>
        <w:ind w:left="182" w:right="18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Normalized statutory loss of $389 million, which was below target, primarily driven by the impact of changes to VA statutory capital requirements and low interest rates.</w:t>
      </w:r>
    </w:p>
    <w:p>
      <w:pPr>
        <w:spacing w:after="0" w:line="1" w:lineRule="exact"/>
        <w:rPr>
          <w:rFonts w:ascii="Arial" w:cs="Arial" w:eastAsia="Arial" w:hAnsi="Arial"/>
          <w:sz w:val="18"/>
          <w:szCs w:val="18"/>
          <w:color w:val="4C4C4C"/>
        </w:rPr>
      </w:pPr>
    </w:p>
    <w:p>
      <w:pPr>
        <w:ind w:left="182" w:right="96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Our VA hedging program performed as intended during the pandemic and related market dislocation.</w:t>
      </w:r>
    </w:p>
    <w:p>
      <w:pPr>
        <w:spacing w:after="0" w:line="1" w:lineRule="exact"/>
        <w:rPr>
          <w:rFonts w:ascii="Arial" w:cs="Arial" w:eastAsia="Arial" w:hAnsi="Arial"/>
          <w:sz w:val="18"/>
          <w:szCs w:val="18"/>
          <w:color w:val="4C4C4C"/>
        </w:rPr>
      </w:pPr>
    </w:p>
    <w:p>
      <w:pPr>
        <w:ind w:left="182" w:right="300" w:hanging="182"/>
        <w:spacing w:after="0"/>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$10.19 adjusted earnings, less notable items per common share, representing 6% growth from 2019 (for information regarding this non-GAAP financial measure and a reconciliation to the most directly comparable GAAP measure, see “</w:t>
      </w:r>
      <w:r>
        <w:rPr>
          <w:rFonts w:ascii="Arial" w:cs="Arial" w:eastAsia="Arial" w:hAnsi="Arial"/>
          <w:sz w:val="18"/>
          <w:szCs w:val="18"/>
          <w:color w:val="00ADBB"/>
        </w:rPr>
        <w:t>Non-GAAP and Other Financial Disclosures</w:t>
      </w:r>
      <w:r>
        <w:rPr>
          <w:rFonts w:ascii="Arial" w:cs="Arial" w:eastAsia="Arial" w:hAnsi="Arial"/>
          <w:sz w:val="18"/>
          <w:szCs w:val="18"/>
          <w:color w:val="4C4C4C"/>
        </w:rPr>
        <w:t>”).</w:t>
      </w:r>
    </w:p>
    <w:p>
      <w:pPr>
        <w:spacing w:after="0" w:line="13" w:lineRule="exact"/>
        <w:rPr>
          <w:rFonts w:ascii="Arial" w:cs="Arial" w:eastAsia="Arial" w:hAnsi="Arial"/>
          <w:sz w:val="18"/>
          <w:szCs w:val="18"/>
          <w:color w:val="4C4C4C"/>
        </w:rPr>
      </w:pPr>
    </w:p>
    <w:p>
      <w:pPr>
        <w:ind w:left="182" w:right="320" w:hanging="182"/>
        <w:spacing w:after="0" w:line="274" w:lineRule="auto"/>
        <w:tabs>
          <w:tab w:leader="none" w:pos="167" w:val="left"/>
        </w:tabs>
        <w:numPr>
          <w:ilvl w:val="0"/>
          <w:numId w:val="133"/>
        </w:numPr>
        <w:rPr>
          <w:rFonts w:ascii="Arial" w:cs="Arial" w:eastAsia="Arial" w:hAnsi="Arial"/>
          <w:sz w:val="17"/>
          <w:szCs w:val="17"/>
          <w:color w:val="4C4C4C"/>
        </w:rPr>
      </w:pPr>
      <w:r>
        <w:rPr>
          <w:rFonts w:ascii="Arial" w:cs="Arial" w:eastAsia="Arial" w:hAnsi="Arial"/>
          <w:sz w:val="17"/>
          <w:szCs w:val="17"/>
          <w:color w:val="4C4C4C"/>
        </w:rPr>
        <w:t>Oversaw multiple critical projects to move Brighthouse toward its future state platform, including multiple outsourcing projects and technological transitions, while maintaining business continuity.</w:t>
      </w:r>
    </w:p>
    <w:p>
      <w:pPr>
        <w:spacing w:after="0" w:line="170" w:lineRule="exact"/>
        <w:rPr>
          <w:rFonts w:ascii="Arial" w:cs="Arial" w:eastAsia="Arial" w:hAnsi="Arial"/>
          <w:sz w:val="17"/>
          <w:szCs w:val="17"/>
          <w:color w:val="4C4C4C"/>
        </w:rPr>
      </w:pPr>
    </w:p>
    <w:p>
      <w:pPr>
        <w:ind w:left="162" w:hanging="162"/>
        <w:spacing w:after="0"/>
        <w:tabs>
          <w:tab w:leader="none" w:pos="162"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Completed succession plans for all SLMG members and critical employees.</w:t>
      </w:r>
    </w:p>
    <w:p>
      <w:pPr>
        <w:ind w:left="182" w:right="88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Conducted executive coaching and leadership training for senior leaders and foundational manager training for all new managers.</w:t>
      </w:r>
    </w:p>
    <w:p>
      <w:pPr>
        <w:spacing w:after="0" w:line="1" w:lineRule="exact"/>
        <w:rPr>
          <w:rFonts w:ascii="Arial" w:cs="Arial" w:eastAsia="Arial" w:hAnsi="Arial"/>
          <w:sz w:val="18"/>
          <w:szCs w:val="18"/>
          <w:color w:val="4C4C4C"/>
        </w:rPr>
      </w:pPr>
    </w:p>
    <w:p>
      <w:pPr>
        <w:ind w:left="182" w:right="34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Drove DE&amp;I initiatives, including companywide listening and discussion groups on inclusivity and racial justice.</w:t>
      </w:r>
    </w:p>
    <w:p>
      <w:pPr>
        <w:spacing w:after="0" w:line="1" w:lineRule="exact"/>
        <w:rPr>
          <w:rFonts w:ascii="Arial" w:cs="Arial" w:eastAsia="Arial" w:hAnsi="Arial"/>
          <w:sz w:val="18"/>
          <w:szCs w:val="18"/>
          <w:color w:val="4C4C4C"/>
        </w:rPr>
      </w:pPr>
    </w:p>
    <w:p>
      <w:pPr>
        <w:ind w:left="182" w:right="122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Drove positive employee engagement as demonstrated in results of annual employee engagement survey.</w:t>
      </w:r>
    </w:p>
    <w:p>
      <w:pPr>
        <w:spacing w:after="0" w:line="1" w:lineRule="exact"/>
        <w:rPr>
          <w:rFonts w:ascii="Arial" w:cs="Arial" w:eastAsia="Arial" w:hAnsi="Arial"/>
          <w:sz w:val="18"/>
          <w:szCs w:val="18"/>
          <w:color w:val="4C4C4C"/>
        </w:rPr>
      </w:pPr>
    </w:p>
    <w:p>
      <w:pPr>
        <w:ind w:left="182" w:right="520" w:hanging="182"/>
        <w:spacing w:after="0"/>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Supported employees during the COVID-19 pandemic through increased communications and employee engagement activities, access to wellness resources and support services and enhanced training for managing employees remotely.</w:t>
      </w:r>
    </w:p>
    <w:p>
      <w:pPr>
        <w:spacing w:after="0" w:line="9" w:lineRule="exact"/>
        <w:rPr>
          <w:rFonts w:ascii="Arial" w:cs="Arial" w:eastAsia="Arial" w:hAnsi="Arial"/>
          <w:sz w:val="18"/>
          <w:szCs w:val="18"/>
          <w:color w:val="4C4C4C"/>
        </w:rPr>
      </w:pPr>
    </w:p>
    <w:p>
      <w:pPr>
        <w:ind w:left="162" w:hanging="162"/>
        <w:spacing w:after="0"/>
        <w:tabs>
          <w:tab w:leader="none" w:pos="162"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Continually assessed potential strategic transactions to drive value creation.</w:t>
      </w:r>
    </w:p>
    <w:p>
      <w:pPr>
        <w:ind w:left="182" w:right="240" w:hanging="182"/>
        <w:spacing w:after="0"/>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Launched new Brighthouse SecureAdvantage</w:t>
      </w:r>
      <w:r>
        <w:rPr>
          <w:rFonts w:ascii="Arial" w:cs="Arial" w:eastAsia="Arial" w:hAnsi="Arial"/>
          <w:sz w:val="15"/>
          <w:szCs w:val="15"/>
          <w:color w:val="4C4C4C"/>
        </w:rPr>
        <w:t>®</w:t>
      </w:r>
      <w:r>
        <w:rPr>
          <w:rFonts w:ascii="Arial" w:cs="Arial" w:eastAsia="Arial" w:hAnsi="Arial"/>
          <w:sz w:val="18"/>
          <w:szCs w:val="18"/>
          <w:color w:val="4C4C4C"/>
        </w:rPr>
        <w:t xml:space="preserve"> 6-Year Fixed Index Annuity distributed through independent marketing organization (IMO) channel and Brighthouse SimplySelect</w:t>
      </w:r>
      <w:r>
        <w:rPr>
          <w:rFonts w:ascii="Arial" w:cs="Arial" w:eastAsia="Arial" w:hAnsi="Arial"/>
          <w:sz w:val="15"/>
          <w:szCs w:val="15"/>
          <w:color w:val="4C4C4C"/>
        </w:rPr>
        <w:t>®</w:t>
      </w:r>
      <w:r>
        <w:rPr>
          <w:rFonts w:ascii="Arial" w:cs="Arial" w:eastAsia="Arial" w:hAnsi="Arial"/>
          <w:sz w:val="18"/>
          <w:szCs w:val="18"/>
          <w:color w:val="4C4C4C"/>
        </w:rPr>
        <w:t>, our new term life insurance distributed through Policygenius.</w:t>
      </w:r>
    </w:p>
    <w:p>
      <w:pPr>
        <w:spacing w:after="0" w:line="13" w:lineRule="exact"/>
        <w:rPr>
          <w:rFonts w:ascii="Arial" w:cs="Arial" w:eastAsia="Arial" w:hAnsi="Arial"/>
          <w:sz w:val="18"/>
          <w:szCs w:val="18"/>
          <w:color w:val="4C4C4C"/>
        </w:rPr>
      </w:pPr>
    </w:p>
    <w:p>
      <w:pPr>
        <w:ind w:left="182" w:right="460" w:hanging="182"/>
        <w:spacing w:after="0" w:line="234"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Successfully managed the Company through the COVID-19 pandemic, including seamless transition of all employees to a remote-work environment and enhanced use of virtual business tools.</w:t>
      </w:r>
    </w:p>
    <w:p>
      <w:pPr>
        <w:spacing w:after="0" w:line="2" w:lineRule="exact"/>
        <w:rPr>
          <w:rFonts w:ascii="Arial" w:cs="Arial" w:eastAsia="Arial" w:hAnsi="Arial"/>
          <w:sz w:val="18"/>
          <w:szCs w:val="18"/>
          <w:color w:val="4C4C4C"/>
        </w:rPr>
      </w:pPr>
    </w:p>
    <w:p>
      <w:pPr>
        <w:ind w:left="182" w:right="560" w:hanging="182"/>
        <w:spacing w:after="0" w:line="246" w:lineRule="auto"/>
        <w:tabs>
          <w:tab w:leader="none" w:pos="167" w:val="left"/>
        </w:tabs>
        <w:numPr>
          <w:ilvl w:val="0"/>
          <w:numId w:val="133"/>
        </w:numPr>
        <w:rPr>
          <w:rFonts w:ascii="Arial" w:cs="Arial" w:eastAsia="Arial" w:hAnsi="Arial"/>
          <w:sz w:val="18"/>
          <w:szCs w:val="18"/>
          <w:color w:val="4C4C4C"/>
        </w:rPr>
      </w:pPr>
      <w:r>
        <w:rPr>
          <w:rFonts w:ascii="Arial" w:cs="Arial" w:eastAsia="Arial" w:hAnsi="Arial"/>
          <w:sz w:val="18"/>
          <w:szCs w:val="18"/>
          <w:color w:val="4C4C4C"/>
        </w:rPr>
        <w:t>Implemented robust new processes for new product launches and other business initiatives to enhance efficiency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-2540</wp:posOffset>
            </wp:positionV>
            <wp:extent cx="51435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-662305</wp:posOffset>
            </wp:positionV>
            <wp:extent cx="5143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-1193800</wp:posOffset>
            </wp:positionV>
            <wp:extent cx="5143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-2496820</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-2891155</wp:posOffset>
            </wp:positionV>
            <wp:extent cx="5143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-3808730</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578"/>
            <w:col w:w="8182"/>
          </w:cols>
          <w:pgMar w:left="320" w:top="459" w:right="439" w:bottom="1440" w:gutter="0" w:footer="0" w:header="0"/>
          <w:type w:val="continuous"/>
        </w:sectPr>
      </w:pPr>
    </w:p>
    <w:p>
      <w:pPr>
        <w:spacing w:after="0" w:line="24" w:lineRule="exact"/>
        <w:rPr>
          <w:sz w:val="20"/>
          <w:szCs w:val="20"/>
          <w:color w:val="auto"/>
        </w:rPr>
      </w:pPr>
    </w:p>
    <w:p>
      <w:pPr>
        <w:ind w:left="280" w:right="280"/>
        <w:spacing w:after="0"/>
        <w:rPr>
          <w:sz w:val="20"/>
          <w:szCs w:val="20"/>
          <w:color w:val="auto"/>
        </w:rPr>
      </w:pPr>
      <w:r>
        <w:rPr>
          <w:rFonts w:ascii="Arial" w:cs="Arial" w:eastAsia="Arial" w:hAnsi="Arial"/>
          <w:sz w:val="18"/>
          <w:szCs w:val="18"/>
          <w:color w:val="4C4C4C"/>
        </w:rPr>
        <w:t>Mr. Steigerwalt delivered meaningful achievements against all 2020 CEO Goals despite significant, unforeseen challenges. Based on the Company’s performance and Mr. Steigerwalt’s accomplishments, the Compensation and Human Capital Committee recommended, and the Independent Directors approved, the following STI Award to Mr. Steigerwalt.</w:t>
      </w: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380" w:type="dxa"/>
            <w:vAlign w:val="bottom"/>
            <w:shd w:val="clear" w:color="auto" w:fill="00ADBB"/>
          </w:tcPr>
          <w:p>
            <w:pPr>
              <w:spacing w:after="0"/>
              <w:rPr>
                <w:sz w:val="18"/>
                <w:szCs w:val="18"/>
                <w:color w:val="auto"/>
              </w:rPr>
            </w:pPr>
          </w:p>
        </w:tc>
        <w:tc>
          <w:tcPr>
            <w:tcW w:w="3020" w:type="dxa"/>
            <w:vAlign w:val="bottom"/>
            <w:shd w:val="clear" w:color="auto" w:fill="00ADBB"/>
          </w:tcPr>
          <w:p>
            <w:pPr>
              <w:spacing w:after="0"/>
              <w:rPr>
                <w:sz w:val="18"/>
                <w:szCs w:val="18"/>
                <w:color w:val="auto"/>
              </w:rPr>
            </w:pPr>
          </w:p>
        </w:tc>
        <w:tc>
          <w:tcPr>
            <w:tcW w:w="270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2020 STI Payout</w:t>
            </w:r>
          </w:p>
        </w:tc>
        <w:tc>
          <w:tcPr>
            <w:tcW w:w="2580" w:type="dxa"/>
            <w:vAlign w:val="bottom"/>
            <w:shd w:val="clear" w:color="auto" w:fill="00ADBB"/>
          </w:tcPr>
          <w:p>
            <w:pPr>
              <w:spacing w:after="0"/>
              <w:rPr>
                <w:sz w:val="18"/>
                <w:szCs w:val="18"/>
                <w:color w:val="auto"/>
              </w:rPr>
            </w:pPr>
          </w:p>
        </w:tc>
      </w:tr>
      <w:tr>
        <w:trPr>
          <w:trHeight w:val="225"/>
        </w:trPr>
        <w:tc>
          <w:tcPr>
            <w:tcW w:w="2380" w:type="dxa"/>
            <w:vAlign w:val="bottom"/>
            <w:shd w:val="clear" w:color="auto" w:fill="00ADBB"/>
          </w:tcPr>
          <w:p>
            <w:pPr>
              <w:ind w:left="100"/>
              <w:spacing w:after="0"/>
              <w:rPr>
                <w:sz w:val="20"/>
                <w:szCs w:val="20"/>
                <w:color w:val="auto"/>
              </w:rPr>
            </w:pPr>
            <w:r>
              <w:rPr>
                <w:rFonts w:ascii="Arial" w:cs="Arial" w:eastAsia="Arial" w:hAnsi="Arial"/>
                <w:sz w:val="18"/>
                <w:szCs w:val="18"/>
                <w:b w:val="1"/>
                <w:bCs w:val="1"/>
                <w:color w:val="FFFFFF"/>
              </w:rPr>
              <w:t>Name</w:t>
            </w:r>
          </w:p>
        </w:tc>
        <w:tc>
          <w:tcPr>
            <w:tcW w:w="3020" w:type="dxa"/>
            <w:vAlign w:val="bottom"/>
            <w:shd w:val="clear" w:color="auto" w:fill="00ADBB"/>
          </w:tcPr>
          <w:p>
            <w:pPr>
              <w:jc w:val="center"/>
              <w:ind w:left="290"/>
              <w:spacing w:after="0"/>
              <w:rPr>
                <w:sz w:val="20"/>
                <w:szCs w:val="20"/>
                <w:color w:val="auto"/>
              </w:rPr>
            </w:pPr>
            <w:r>
              <w:rPr>
                <w:rFonts w:ascii="Arial" w:cs="Arial" w:eastAsia="Arial" w:hAnsi="Arial"/>
                <w:sz w:val="18"/>
                <w:szCs w:val="18"/>
                <w:b w:val="1"/>
                <w:bCs w:val="1"/>
                <w:color w:val="FFFFFF"/>
                <w:w w:val="99"/>
              </w:rPr>
              <w:t>2020 STI Target</w:t>
            </w:r>
          </w:p>
        </w:tc>
        <w:tc>
          <w:tcPr>
            <w:tcW w:w="270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8"/>
              </w:rPr>
              <w:t>Percentage</w:t>
            </w:r>
          </w:p>
        </w:tc>
        <w:tc>
          <w:tcPr>
            <w:tcW w:w="258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rPr>
              <w:t>2020 STI Award</w:t>
            </w:r>
          </w:p>
        </w:tc>
      </w:tr>
      <w:tr>
        <w:trPr>
          <w:trHeight w:val="203"/>
        </w:trPr>
        <w:tc>
          <w:tcPr>
            <w:tcW w:w="2380" w:type="dxa"/>
            <w:vAlign w:val="bottom"/>
            <w:tcBorders>
              <w:bottom w:val="single" w:sz="8" w:color="4C4C4C"/>
            </w:tcBorders>
          </w:tcPr>
          <w:p>
            <w:pPr>
              <w:ind w:left="100"/>
              <w:spacing w:after="0" w:line="202" w:lineRule="exact"/>
              <w:rPr>
                <w:sz w:val="20"/>
                <w:szCs w:val="20"/>
                <w:color w:val="auto"/>
              </w:rPr>
            </w:pPr>
            <w:r>
              <w:rPr>
                <w:rFonts w:ascii="Arial" w:cs="Arial" w:eastAsia="Arial" w:hAnsi="Arial"/>
                <w:sz w:val="18"/>
                <w:szCs w:val="18"/>
                <w:color w:val="4C4C4C"/>
              </w:rPr>
              <w:t>Eric Steigerwalt</w:t>
            </w:r>
          </w:p>
        </w:tc>
        <w:tc>
          <w:tcPr>
            <w:tcW w:w="3020" w:type="dxa"/>
            <w:vAlign w:val="bottom"/>
            <w:tcBorders>
              <w:bottom w:val="single" w:sz="8" w:color="4C4C4C"/>
            </w:tcBorders>
          </w:tcPr>
          <w:p>
            <w:pPr>
              <w:jc w:val="right"/>
              <w:ind w:right="790"/>
              <w:spacing w:after="0" w:line="202" w:lineRule="exact"/>
              <w:rPr>
                <w:sz w:val="20"/>
                <w:szCs w:val="20"/>
                <w:color w:val="auto"/>
              </w:rPr>
            </w:pPr>
            <w:r>
              <w:rPr>
                <w:rFonts w:ascii="Arial" w:cs="Arial" w:eastAsia="Arial" w:hAnsi="Arial"/>
                <w:sz w:val="18"/>
                <w:szCs w:val="18"/>
                <w:color w:val="4C4C4C"/>
              </w:rPr>
              <w:t>$1,850,000</w:t>
            </w:r>
          </w:p>
        </w:tc>
        <w:tc>
          <w:tcPr>
            <w:tcW w:w="2700" w:type="dxa"/>
            <w:vAlign w:val="bottom"/>
            <w:tcBorders>
              <w:bottom w:val="single" w:sz="8" w:color="4C4C4C"/>
            </w:tcBorders>
          </w:tcPr>
          <w:p>
            <w:pPr>
              <w:jc w:val="center"/>
              <w:spacing w:after="0" w:line="202" w:lineRule="exact"/>
              <w:rPr>
                <w:sz w:val="20"/>
                <w:szCs w:val="20"/>
                <w:color w:val="auto"/>
              </w:rPr>
            </w:pPr>
            <w:r>
              <w:rPr>
                <w:rFonts w:ascii="Arial" w:cs="Arial" w:eastAsia="Arial" w:hAnsi="Arial"/>
                <w:sz w:val="18"/>
                <w:szCs w:val="18"/>
                <w:color w:val="4C4C4C"/>
                <w:w w:val="99"/>
              </w:rPr>
              <w:t>110%</w:t>
            </w:r>
          </w:p>
        </w:tc>
        <w:tc>
          <w:tcPr>
            <w:tcW w:w="2580" w:type="dxa"/>
            <w:vAlign w:val="bottom"/>
            <w:tcBorders>
              <w:bottom w:val="single" w:sz="8" w:color="4C4C4C"/>
            </w:tcBorders>
          </w:tcPr>
          <w:p>
            <w:pPr>
              <w:jc w:val="right"/>
              <w:ind w:right="730"/>
              <w:spacing w:after="0" w:line="202" w:lineRule="exact"/>
              <w:rPr>
                <w:sz w:val="20"/>
                <w:szCs w:val="20"/>
                <w:color w:val="auto"/>
              </w:rPr>
            </w:pPr>
            <w:r>
              <w:rPr>
                <w:rFonts w:ascii="Arial" w:cs="Arial" w:eastAsia="Arial" w:hAnsi="Arial"/>
                <w:sz w:val="18"/>
                <w:szCs w:val="18"/>
                <w:color w:val="4C4C4C"/>
              </w:rPr>
              <w:t>$2,035,000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-393700</wp:posOffset>
            </wp:positionV>
            <wp:extent cx="8255" cy="2571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-393700</wp:posOffset>
            </wp:positionV>
            <wp:extent cx="8255" cy="2571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-393700</wp:posOffset>
            </wp:positionV>
            <wp:extent cx="8890" cy="2571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257175"/>
                    </a:xfrm>
                    <a:prstGeom prst="rect">
                      <a:avLst/>
                    </a:prstGeom>
                    <a:noFill/>
                  </pic:spPr>
                </pic:pic>
              </a:graphicData>
            </a:graphic>
          </wp:anchor>
        </w:drawing>
      </w:r>
    </w:p>
    <w:p>
      <w:pPr>
        <w:spacing w:after="0" w:line="177" w:lineRule="exact"/>
        <w:rPr>
          <w:sz w:val="20"/>
          <w:szCs w:val="20"/>
          <w:color w:val="auto"/>
        </w:rPr>
      </w:pPr>
    </w:p>
    <w:p>
      <w:pPr>
        <w:ind w:left="280" w:right="200"/>
        <w:spacing w:after="0" w:line="250" w:lineRule="auto"/>
        <w:rPr>
          <w:sz w:val="20"/>
          <w:szCs w:val="20"/>
          <w:color w:val="auto"/>
        </w:rPr>
      </w:pPr>
      <w:r>
        <w:rPr>
          <w:rFonts w:ascii="Arial" w:cs="Arial" w:eastAsia="Arial" w:hAnsi="Arial"/>
          <w:sz w:val="18"/>
          <w:szCs w:val="18"/>
          <w:i w:val="1"/>
          <w:iCs w:val="1"/>
          <w:color w:val="4C4C4C"/>
        </w:rPr>
        <w:t xml:space="preserve">Compensation of the Other NEOs. </w:t>
      </w:r>
      <w:r>
        <w:rPr>
          <w:rFonts w:ascii="Arial" w:cs="Arial" w:eastAsia="Arial" w:hAnsi="Arial"/>
          <w:sz w:val="18"/>
          <w:szCs w:val="18"/>
          <w:color w:val="4C4C4C"/>
        </w:rPr>
        <w:t>In February 2021, the Compensation and Human Capital Committee considered each NEO’s</w:t>
      </w:r>
      <w:r>
        <w:rPr>
          <w:rFonts w:ascii="Arial" w:cs="Arial" w:eastAsia="Arial" w:hAnsi="Arial"/>
          <w:sz w:val="18"/>
          <w:szCs w:val="18"/>
          <w:i w:val="1"/>
          <w:iCs w:val="1"/>
          <w:color w:val="4C4C4C"/>
        </w:rPr>
        <w:t xml:space="preserve"> </w:t>
      </w:r>
      <w:r>
        <w:rPr>
          <w:rFonts w:ascii="Arial" w:cs="Arial" w:eastAsia="Arial" w:hAnsi="Arial"/>
          <w:sz w:val="18"/>
          <w:szCs w:val="18"/>
          <w:color w:val="4C4C4C"/>
        </w:rPr>
        <w:t>overall performance and achievements in 2020 in relation to Brighthouse’s goals. Mr. Steigerwalt also provided the Compensation and Human Capital Committee with his assessment of the NEOs’ 2020 performance.</w:t>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54 | 2021 Proxy Statement</w:t>
      </w:r>
    </w:p>
    <w:p>
      <w:pPr>
        <w:sectPr>
          <w:pgSz w:w="11900" w:h="16838" w:orient="portrait"/>
          <w:cols w:equalWidth="0" w:num="1">
            <w:col w:w="11140"/>
          </w:cols>
          <w:pgMar w:left="320" w:top="459" w:right="4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Section 2 – Our 2020 Executive Compensation Program</w:t>
      </w:r>
    </w:p>
    <w:p>
      <w:pPr>
        <w:spacing w:after="0" w:line="200" w:lineRule="exact"/>
        <w:rPr>
          <w:sz w:val="20"/>
          <w:szCs w:val="20"/>
          <w:color w:val="auto"/>
        </w:rPr>
      </w:pPr>
    </w:p>
    <w:p>
      <w:pPr>
        <w:sectPr>
          <w:pgSz w:w="11900" w:h="16838" w:orient="portrait"/>
          <w:cols w:equalWidth="0" w:num="2">
            <w:col w:w="7080" w:space="720"/>
            <w:col w:w="3340"/>
          </w:cols>
          <w:pgMar w:left="320" w:top="459" w:right="439" w:bottom="1440" w:gutter="0" w:footer="0" w:header="0"/>
          <w:type w:val="continuous"/>
        </w:sectPr>
      </w:pPr>
    </w:p>
    <w:p>
      <w:pPr>
        <w:spacing w:after="0" w:line="59" w:lineRule="exact"/>
        <w:rPr>
          <w:sz w:val="20"/>
          <w:szCs w:val="20"/>
          <w:color w:val="auto"/>
        </w:rPr>
      </w:pPr>
    </w:p>
    <w:p>
      <w:pPr>
        <w:jc w:val="both"/>
        <w:ind w:left="120" w:right="440"/>
        <w:spacing w:after="0"/>
        <w:rPr>
          <w:sz w:val="20"/>
          <w:szCs w:val="20"/>
          <w:color w:val="auto"/>
        </w:rPr>
      </w:pPr>
      <w:r>
        <w:rPr>
          <w:rFonts w:ascii="Arial" w:cs="Arial" w:eastAsia="Arial" w:hAnsi="Arial"/>
          <w:sz w:val="18"/>
          <w:szCs w:val="18"/>
          <w:color w:val="4C4C4C"/>
        </w:rPr>
        <w:t>While each NEO’s performance was assessed on an individual basis against goals established early in 2020, the Compensation and Human Capital Committee generally aims to recognize that Brighthouse’s performance is the result of the SLMG’s collective efforts to drive performance. Our NEOs’ 2020 performance highlights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326390</wp:posOffset>
            </wp:positionV>
            <wp:extent cx="699516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Ed Spehar, Executive Vice President and Chief Financial Officer</w:t>
      </w:r>
    </w:p>
    <w:p>
      <w:pPr>
        <w:spacing w:after="0" w:line="99" w:lineRule="exact"/>
        <w:rPr>
          <w:sz w:val="20"/>
          <w:szCs w:val="20"/>
          <w:color w:val="auto"/>
        </w:rPr>
      </w:pPr>
    </w:p>
    <w:p>
      <w:pPr>
        <w:ind w:left="340" w:right="540" w:hanging="224"/>
        <w:spacing w:after="0" w:line="234" w:lineRule="auto"/>
        <w:tabs>
          <w:tab w:leader="none" w:pos="340" w:val="left"/>
        </w:tabs>
        <w:numPr>
          <w:ilvl w:val="0"/>
          <w:numId w:val="134"/>
        </w:numPr>
        <w:rPr>
          <w:rFonts w:ascii="Arial" w:cs="Arial" w:eastAsia="Arial" w:hAnsi="Arial"/>
          <w:sz w:val="18"/>
          <w:szCs w:val="18"/>
          <w:color w:val="4C4C4C"/>
        </w:rPr>
      </w:pPr>
      <w:r>
        <w:rPr>
          <w:rFonts w:ascii="Arial" w:cs="Arial" w:eastAsia="Arial" w:hAnsi="Arial"/>
          <w:sz w:val="18"/>
          <w:szCs w:val="18"/>
          <w:color w:val="4C4C4C"/>
        </w:rPr>
        <w:t>Drove financial strategy of prudence and flexibility, focusing on maintaining strong holding company cash and operating company capital positions, which supported stock repurchases of $473 million in 2020.</w:t>
      </w:r>
    </w:p>
    <w:p>
      <w:pPr>
        <w:spacing w:after="0" w:line="1" w:lineRule="exact"/>
        <w:rPr>
          <w:rFonts w:ascii="Arial" w:cs="Arial" w:eastAsia="Arial" w:hAnsi="Arial"/>
          <w:sz w:val="18"/>
          <w:szCs w:val="18"/>
          <w:color w:val="4C4C4C"/>
        </w:rPr>
      </w:pPr>
    </w:p>
    <w:p>
      <w:pPr>
        <w:ind w:left="340" w:right="760" w:hanging="224"/>
        <w:spacing w:after="0" w:line="234" w:lineRule="auto"/>
        <w:tabs>
          <w:tab w:leader="none" w:pos="340" w:val="left"/>
        </w:tabs>
        <w:numPr>
          <w:ilvl w:val="0"/>
          <w:numId w:val="134"/>
        </w:numPr>
        <w:rPr>
          <w:rFonts w:ascii="Arial" w:cs="Arial" w:eastAsia="Arial" w:hAnsi="Arial"/>
          <w:sz w:val="18"/>
          <w:szCs w:val="18"/>
          <w:color w:val="4C4C4C"/>
        </w:rPr>
      </w:pPr>
      <w:r>
        <w:rPr>
          <w:rFonts w:ascii="Arial" w:cs="Arial" w:eastAsia="Arial" w:hAnsi="Arial"/>
          <w:sz w:val="18"/>
          <w:szCs w:val="18"/>
          <w:color w:val="4C4C4C"/>
        </w:rPr>
        <w:t>Achieved targeted dividends to the holding company of $1.3 billion, including the first dividend from Brighthouse Life Insurance Company since the Separation.</w:t>
      </w:r>
    </w:p>
    <w:p>
      <w:pPr>
        <w:spacing w:after="0" w:line="1" w:lineRule="exact"/>
        <w:rPr>
          <w:rFonts w:ascii="Arial" w:cs="Arial" w:eastAsia="Arial" w:hAnsi="Arial"/>
          <w:sz w:val="18"/>
          <w:szCs w:val="18"/>
          <w:color w:val="4C4C4C"/>
        </w:rPr>
      </w:pPr>
    </w:p>
    <w:p>
      <w:pPr>
        <w:ind w:left="340" w:right="40" w:hanging="224"/>
        <w:spacing w:after="0" w:line="234" w:lineRule="auto"/>
        <w:tabs>
          <w:tab w:leader="none" w:pos="340" w:val="left"/>
        </w:tabs>
        <w:numPr>
          <w:ilvl w:val="0"/>
          <w:numId w:val="134"/>
        </w:numPr>
        <w:rPr>
          <w:rFonts w:ascii="Arial" w:cs="Arial" w:eastAsia="Arial" w:hAnsi="Arial"/>
          <w:sz w:val="18"/>
          <w:szCs w:val="18"/>
          <w:color w:val="4C4C4C"/>
        </w:rPr>
      </w:pPr>
      <w:r>
        <w:rPr>
          <w:rFonts w:ascii="Arial" w:cs="Arial" w:eastAsia="Arial" w:hAnsi="Arial"/>
          <w:sz w:val="18"/>
          <w:szCs w:val="18"/>
          <w:color w:val="4C4C4C"/>
        </w:rPr>
        <w:t>Led issuances of senior debt and preferred stock to prepay an outstanding $1 billion term loan, resulting in a strong capital position with no debt maturities until 2027.</w:t>
      </w:r>
    </w:p>
    <w:p>
      <w:pPr>
        <w:spacing w:after="0" w:line="1" w:lineRule="exact"/>
        <w:rPr>
          <w:rFonts w:ascii="Arial" w:cs="Arial" w:eastAsia="Arial" w:hAnsi="Arial"/>
          <w:sz w:val="18"/>
          <w:szCs w:val="18"/>
          <w:color w:val="4C4C4C"/>
        </w:rPr>
      </w:pPr>
    </w:p>
    <w:p>
      <w:pPr>
        <w:ind w:left="340" w:right="920" w:hanging="224"/>
        <w:spacing w:after="0" w:line="234" w:lineRule="auto"/>
        <w:tabs>
          <w:tab w:leader="none" w:pos="340" w:val="left"/>
        </w:tabs>
        <w:numPr>
          <w:ilvl w:val="0"/>
          <w:numId w:val="134"/>
        </w:numPr>
        <w:rPr>
          <w:rFonts w:ascii="Arial" w:cs="Arial" w:eastAsia="Arial" w:hAnsi="Arial"/>
          <w:sz w:val="18"/>
          <w:szCs w:val="18"/>
          <w:color w:val="4C4C4C"/>
        </w:rPr>
      </w:pPr>
      <w:r>
        <w:rPr>
          <w:rFonts w:ascii="Arial" w:cs="Arial" w:eastAsia="Arial" w:hAnsi="Arial"/>
          <w:sz w:val="18"/>
          <w:szCs w:val="18"/>
          <w:color w:val="4C4C4C"/>
        </w:rPr>
        <w:t>Led issuance of $575 million of preferred stock in November, with proceeds used to reduce debt by tendering for a portion of outstanding senior notes.</w:t>
      </w:r>
    </w:p>
    <w:p>
      <w:pPr>
        <w:spacing w:after="0" w:line="1" w:lineRule="exact"/>
        <w:rPr>
          <w:rFonts w:ascii="Arial" w:cs="Arial" w:eastAsia="Arial" w:hAnsi="Arial"/>
          <w:sz w:val="18"/>
          <w:szCs w:val="18"/>
          <w:color w:val="4C4C4C"/>
        </w:rPr>
      </w:pPr>
    </w:p>
    <w:p>
      <w:pPr>
        <w:ind w:left="340" w:right="680" w:hanging="224"/>
        <w:spacing w:after="0" w:line="246" w:lineRule="auto"/>
        <w:tabs>
          <w:tab w:leader="none" w:pos="340" w:val="left"/>
        </w:tabs>
        <w:numPr>
          <w:ilvl w:val="0"/>
          <w:numId w:val="134"/>
        </w:numPr>
        <w:rPr>
          <w:rFonts w:ascii="Arial" w:cs="Arial" w:eastAsia="Arial" w:hAnsi="Arial"/>
          <w:sz w:val="18"/>
          <w:szCs w:val="18"/>
          <w:color w:val="4C4C4C"/>
        </w:rPr>
      </w:pPr>
      <w:r>
        <w:rPr>
          <w:rFonts w:ascii="Arial" w:cs="Arial" w:eastAsia="Arial" w:hAnsi="Arial"/>
          <w:sz w:val="18"/>
          <w:szCs w:val="18"/>
          <w:color w:val="4C4C4C"/>
        </w:rPr>
        <w:t>Optimized the CFO organization’s structure, including investment in and enhancement of strategically important functions, while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Christine DeBiase, Executive Vice President, Chief Administrative Officer and General Counsel</w:t>
      </w:r>
    </w:p>
    <w:p>
      <w:pPr>
        <w:spacing w:after="0" w:line="99" w:lineRule="exact"/>
        <w:rPr>
          <w:sz w:val="20"/>
          <w:szCs w:val="20"/>
          <w:color w:val="auto"/>
        </w:rPr>
      </w:pPr>
    </w:p>
    <w:p>
      <w:pPr>
        <w:ind w:left="340" w:right="780" w:hanging="224"/>
        <w:spacing w:after="0" w:line="234" w:lineRule="auto"/>
        <w:tabs>
          <w:tab w:leader="none" w:pos="340" w:val="left"/>
        </w:tabs>
        <w:numPr>
          <w:ilvl w:val="0"/>
          <w:numId w:val="135"/>
        </w:numPr>
        <w:rPr>
          <w:rFonts w:ascii="Arial" w:cs="Arial" w:eastAsia="Arial" w:hAnsi="Arial"/>
          <w:sz w:val="18"/>
          <w:szCs w:val="18"/>
          <w:color w:val="4C4C4C"/>
        </w:rPr>
      </w:pPr>
      <w:r>
        <w:rPr>
          <w:rFonts w:ascii="Arial" w:cs="Arial" w:eastAsia="Arial" w:hAnsi="Arial"/>
          <w:sz w:val="18"/>
          <w:szCs w:val="18"/>
          <w:color w:val="4C4C4C"/>
        </w:rPr>
        <w:t>Implemented CAO target operating model to enhance efficiencies, improve risk governance, and allow the Company to realize significant cost savings.</w:t>
      </w:r>
    </w:p>
    <w:p>
      <w:pPr>
        <w:spacing w:after="0" w:line="1" w:lineRule="exact"/>
        <w:rPr>
          <w:rFonts w:ascii="Arial" w:cs="Arial" w:eastAsia="Arial" w:hAnsi="Arial"/>
          <w:sz w:val="18"/>
          <w:szCs w:val="18"/>
          <w:color w:val="4C4C4C"/>
        </w:rPr>
      </w:pPr>
    </w:p>
    <w:p>
      <w:pPr>
        <w:ind w:left="340" w:hanging="224"/>
        <w:spacing w:after="0" w:line="234" w:lineRule="auto"/>
        <w:tabs>
          <w:tab w:leader="none" w:pos="340" w:val="left"/>
        </w:tabs>
        <w:numPr>
          <w:ilvl w:val="0"/>
          <w:numId w:val="135"/>
        </w:numPr>
        <w:rPr>
          <w:rFonts w:ascii="Arial" w:cs="Arial" w:eastAsia="Arial" w:hAnsi="Arial"/>
          <w:sz w:val="18"/>
          <w:szCs w:val="18"/>
          <w:color w:val="4C4C4C"/>
        </w:rPr>
      </w:pPr>
      <w:r>
        <w:rPr>
          <w:rFonts w:ascii="Arial" w:cs="Arial" w:eastAsia="Arial" w:hAnsi="Arial"/>
          <w:sz w:val="18"/>
          <w:szCs w:val="18"/>
          <w:color w:val="4C4C4C"/>
        </w:rPr>
        <w:t>Delivered high-quality counsel and advocacy to advance the Company’s product and distribution strategy and key initiatives.</w:t>
      </w:r>
    </w:p>
    <w:p>
      <w:pPr>
        <w:ind w:left="340" w:right="440" w:hanging="224"/>
        <w:spacing w:after="0" w:line="234" w:lineRule="auto"/>
        <w:tabs>
          <w:tab w:leader="none" w:pos="340" w:val="left"/>
        </w:tabs>
        <w:numPr>
          <w:ilvl w:val="0"/>
          <w:numId w:val="135"/>
        </w:numPr>
        <w:rPr>
          <w:rFonts w:ascii="Arial" w:cs="Arial" w:eastAsia="Arial" w:hAnsi="Arial"/>
          <w:sz w:val="18"/>
          <w:szCs w:val="18"/>
          <w:color w:val="4C4C4C"/>
        </w:rPr>
      </w:pPr>
      <w:r>
        <w:rPr>
          <w:rFonts w:ascii="Arial" w:cs="Arial" w:eastAsia="Arial" w:hAnsi="Arial"/>
          <w:sz w:val="18"/>
          <w:szCs w:val="18"/>
          <w:color w:val="4C4C4C"/>
        </w:rPr>
        <w:t>Supported the execution of critical transactions to protect and strengthen our balance sheet, return capital to our stockholders, and deliver normalized statutory earnings.</w:t>
      </w:r>
    </w:p>
    <w:p>
      <w:pPr>
        <w:spacing w:after="0" w:line="1" w:lineRule="exact"/>
        <w:rPr>
          <w:rFonts w:ascii="Arial" w:cs="Arial" w:eastAsia="Arial" w:hAnsi="Arial"/>
          <w:sz w:val="18"/>
          <w:szCs w:val="18"/>
          <w:color w:val="4C4C4C"/>
        </w:rPr>
      </w:pPr>
    </w:p>
    <w:p>
      <w:pPr>
        <w:ind w:left="340" w:hanging="224"/>
        <w:spacing w:after="0" w:line="234" w:lineRule="auto"/>
        <w:tabs>
          <w:tab w:leader="none" w:pos="340" w:val="left"/>
        </w:tabs>
        <w:numPr>
          <w:ilvl w:val="0"/>
          <w:numId w:val="135"/>
        </w:numPr>
        <w:rPr>
          <w:rFonts w:ascii="Arial" w:cs="Arial" w:eastAsia="Arial" w:hAnsi="Arial"/>
          <w:sz w:val="18"/>
          <w:szCs w:val="18"/>
          <w:color w:val="4C4C4C"/>
        </w:rPr>
      </w:pPr>
      <w:r>
        <w:rPr>
          <w:rFonts w:ascii="Arial" w:cs="Arial" w:eastAsia="Arial" w:hAnsi="Arial"/>
          <w:sz w:val="18"/>
          <w:szCs w:val="18"/>
          <w:color w:val="4C4C4C"/>
        </w:rPr>
        <w:t>Supported delivery of future state platform, including critical regulatory compliance and legal advice.</w:t>
      </w:r>
    </w:p>
    <w:p>
      <w:pPr>
        <w:ind w:left="340" w:right="220" w:hanging="224"/>
        <w:spacing w:after="0" w:line="246" w:lineRule="auto"/>
        <w:tabs>
          <w:tab w:leader="none" w:pos="340" w:val="left"/>
        </w:tabs>
        <w:numPr>
          <w:ilvl w:val="0"/>
          <w:numId w:val="135"/>
        </w:numPr>
        <w:rPr>
          <w:rFonts w:ascii="Arial" w:cs="Arial" w:eastAsia="Arial" w:hAnsi="Arial"/>
          <w:sz w:val="18"/>
          <w:szCs w:val="18"/>
          <w:color w:val="4C4C4C"/>
        </w:rPr>
      </w:pPr>
      <w:r>
        <w:rPr>
          <w:rFonts w:ascii="Arial" w:cs="Arial" w:eastAsia="Arial" w:hAnsi="Arial"/>
          <w:sz w:val="18"/>
          <w:szCs w:val="18"/>
          <w:color w:val="4C4C4C"/>
        </w:rPr>
        <w:t>Drove sustainability, DE&amp;I, and culture initiatives, including the establishment of our Office of Sustainability to coordinate strategy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Conor Murphy, Executive Vice President and Chief Operating Officer</w:t>
      </w:r>
    </w:p>
    <w:p>
      <w:pPr>
        <w:spacing w:after="0" w:line="99" w:lineRule="exact"/>
        <w:rPr>
          <w:sz w:val="20"/>
          <w:szCs w:val="20"/>
          <w:color w:val="auto"/>
        </w:rPr>
      </w:pPr>
    </w:p>
    <w:p>
      <w:pPr>
        <w:ind w:left="340" w:right="180" w:hanging="224"/>
        <w:spacing w:after="0" w:line="234" w:lineRule="auto"/>
        <w:tabs>
          <w:tab w:leader="none" w:pos="340" w:val="left"/>
        </w:tabs>
        <w:numPr>
          <w:ilvl w:val="0"/>
          <w:numId w:val="136"/>
        </w:numPr>
        <w:rPr>
          <w:rFonts w:ascii="Arial" w:cs="Arial" w:eastAsia="Arial" w:hAnsi="Arial"/>
          <w:sz w:val="18"/>
          <w:szCs w:val="18"/>
          <w:color w:val="4C4C4C"/>
        </w:rPr>
      </w:pPr>
      <w:r>
        <w:rPr>
          <w:rFonts w:ascii="Arial" w:cs="Arial" w:eastAsia="Arial" w:hAnsi="Arial"/>
          <w:sz w:val="18"/>
          <w:szCs w:val="18"/>
          <w:color w:val="4C4C4C"/>
        </w:rPr>
        <w:t>Oversaw the operations of the Company, including responsibility for product development, pricing, underwriting, insurance operations, and the Company’s COVID-19 pandemic policyholder relief program.</w:t>
      </w:r>
    </w:p>
    <w:p>
      <w:pPr>
        <w:spacing w:after="0" w:line="1" w:lineRule="exact"/>
        <w:rPr>
          <w:rFonts w:ascii="Arial" w:cs="Arial" w:eastAsia="Arial" w:hAnsi="Arial"/>
          <w:sz w:val="18"/>
          <w:szCs w:val="18"/>
          <w:color w:val="4C4C4C"/>
        </w:rPr>
      </w:pPr>
    </w:p>
    <w:p>
      <w:pPr>
        <w:ind w:left="340" w:right="340" w:hanging="224"/>
        <w:spacing w:after="0" w:line="234" w:lineRule="auto"/>
        <w:tabs>
          <w:tab w:leader="none" w:pos="340" w:val="left"/>
        </w:tabs>
        <w:numPr>
          <w:ilvl w:val="0"/>
          <w:numId w:val="136"/>
        </w:numPr>
        <w:rPr>
          <w:rFonts w:ascii="Arial" w:cs="Arial" w:eastAsia="Arial" w:hAnsi="Arial"/>
          <w:sz w:val="18"/>
          <w:szCs w:val="18"/>
          <w:color w:val="4C4C4C"/>
        </w:rPr>
      </w:pPr>
      <w:r>
        <w:rPr>
          <w:rFonts w:ascii="Arial" w:cs="Arial" w:eastAsia="Arial" w:hAnsi="Arial"/>
          <w:sz w:val="18"/>
          <w:szCs w:val="18"/>
          <w:color w:val="4C4C4C"/>
        </w:rPr>
        <w:t>Oversaw the launch of Brighthouse SecureAdvantage</w:t>
      </w:r>
      <w:r>
        <w:rPr>
          <w:rFonts w:ascii="Arial" w:cs="Arial" w:eastAsia="Arial" w:hAnsi="Arial"/>
          <w:sz w:val="15"/>
          <w:szCs w:val="15"/>
          <w:color w:val="4C4C4C"/>
        </w:rPr>
        <w:t>®</w:t>
      </w:r>
      <w:r>
        <w:rPr>
          <w:rFonts w:ascii="Arial" w:cs="Arial" w:eastAsia="Arial" w:hAnsi="Arial"/>
          <w:sz w:val="18"/>
          <w:szCs w:val="18"/>
          <w:color w:val="4C4C4C"/>
        </w:rPr>
        <w:t xml:space="preserve"> 6-Year Fixed Index Annuity, our new fixed index annuity for the independent marketing organization (IMO) distribution channel.</w:t>
      </w:r>
    </w:p>
    <w:p>
      <w:pPr>
        <w:spacing w:after="0" w:line="1" w:lineRule="exact"/>
        <w:rPr>
          <w:rFonts w:ascii="Arial" w:cs="Arial" w:eastAsia="Arial" w:hAnsi="Arial"/>
          <w:sz w:val="18"/>
          <w:szCs w:val="18"/>
          <w:color w:val="4C4C4C"/>
        </w:rPr>
      </w:pPr>
    </w:p>
    <w:p>
      <w:pPr>
        <w:ind w:left="340" w:hanging="224"/>
        <w:spacing w:after="0" w:line="234" w:lineRule="auto"/>
        <w:tabs>
          <w:tab w:leader="none" w:pos="340" w:val="left"/>
        </w:tabs>
        <w:numPr>
          <w:ilvl w:val="0"/>
          <w:numId w:val="136"/>
        </w:numPr>
        <w:rPr>
          <w:rFonts w:ascii="Arial" w:cs="Arial" w:eastAsia="Arial" w:hAnsi="Arial"/>
          <w:sz w:val="18"/>
          <w:szCs w:val="18"/>
          <w:color w:val="4C4C4C"/>
        </w:rPr>
      </w:pPr>
      <w:r>
        <w:rPr>
          <w:rFonts w:ascii="Arial" w:cs="Arial" w:eastAsia="Arial" w:hAnsi="Arial"/>
          <w:sz w:val="18"/>
          <w:szCs w:val="18"/>
          <w:color w:val="4C4C4C"/>
        </w:rPr>
        <w:t>Oversaw the launch of Brighthouse SimplySelect</w:t>
      </w:r>
      <w:r>
        <w:rPr>
          <w:rFonts w:ascii="Arial" w:cs="Arial" w:eastAsia="Arial" w:hAnsi="Arial"/>
          <w:sz w:val="15"/>
          <w:szCs w:val="15"/>
          <w:color w:val="4C4C4C"/>
        </w:rPr>
        <w:t>®</w:t>
      </w:r>
      <w:r>
        <w:rPr>
          <w:rFonts w:ascii="Arial" w:cs="Arial" w:eastAsia="Arial" w:hAnsi="Arial"/>
          <w:sz w:val="18"/>
          <w:szCs w:val="18"/>
          <w:color w:val="4C4C4C"/>
        </w:rPr>
        <w:t>, our new term life insurance product.</w:t>
      </w:r>
    </w:p>
    <w:p>
      <w:pPr>
        <w:ind w:left="340" w:right="80" w:hanging="224"/>
        <w:spacing w:after="0" w:line="234" w:lineRule="auto"/>
        <w:tabs>
          <w:tab w:leader="none" w:pos="340" w:val="left"/>
        </w:tabs>
        <w:numPr>
          <w:ilvl w:val="0"/>
          <w:numId w:val="136"/>
        </w:numPr>
        <w:rPr>
          <w:rFonts w:ascii="Arial" w:cs="Arial" w:eastAsia="Arial" w:hAnsi="Arial"/>
          <w:sz w:val="18"/>
          <w:szCs w:val="18"/>
          <w:color w:val="4C4C4C"/>
        </w:rPr>
      </w:pPr>
      <w:r>
        <w:rPr>
          <w:rFonts w:ascii="Arial" w:cs="Arial" w:eastAsia="Arial" w:hAnsi="Arial"/>
          <w:sz w:val="18"/>
          <w:szCs w:val="18"/>
          <w:color w:val="4C4C4C"/>
        </w:rPr>
        <w:t>Led engagement with BlackRock on its development of LifePath Paycheck</w:t>
      </w:r>
      <w:r>
        <w:rPr>
          <w:rFonts w:ascii="Arial" w:cs="Arial" w:eastAsia="Arial" w:hAnsi="Arial"/>
          <w:sz w:val="15"/>
          <w:szCs w:val="15"/>
          <w:color w:val="4C4C4C"/>
        </w:rPr>
        <w:t>TM</w:t>
      </w:r>
      <w:r>
        <w:rPr>
          <w:rFonts w:ascii="Arial" w:cs="Arial" w:eastAsia="Arial" w:hAnsi="Arial"/>
          <w:sz w:val="18"/>
          <w:szCs w:val="18"/>
          <w:color w:val="4C4C4C"/>
        </w:rPr>
        <w:t>, an investment solution that will provide simplified access to lifetime income throughout retirement.</w:t>
      </w:r>
    </w:p>
    <w:p>
      <w:pPr>
        <w:spacing w:after="0" w:line="1" w:lineRule="exact"/>
        <w:rPr>
          <w:rFonts w:ascii="Arial" w:cs="Arial" w:eastAsia="Arial" w:hAnsi="Arial"/>
          <w:sz w:val="18"/>
          <w:szCs w:val="18"/>
          <w:color w:val="4C4C4C"/>
        </w:rPr>
      </w:pPr>
    </w:p>
    <w:p>
      <w:pPr>
        <w:ind w:left="340" w:hanging="224"/>
        <w:spacing w:after="0"/>
        <w:tabs>
          <w:tab w:leader="none" w:pos="340" w:val="left"/>
        </w:tabs>
        <w:numPr>
          <w:ilvl w:val="0"/>
          <w:numId w:val="136"/>
        </w:numPr>
        <w:rPr>
          <w:rFonts w:ascii="Arial" w:cs="Arial" w:eastAsia="Arial" w:hAnsi="Arial"/>
          <w:sz w:val="18"/>
          <w:szCs w:val="18"/>
          <w:color w:val="4C4C4C"/>
        </w:rPr>
      </w:pPr>
      <w:r>
        <w:rPr>
          <w:rFonts w:ascii="Arial" w:cs="Arial" w:eastAsia="Arial" w:hAnsi="Arial"/>
          <w:sz w:val="18"/>
          <w:szCs w:val="18"/>
          <w:color w:val="4C4C4C"/>
        </w:rPr>
        <w:t>Developed and led the Company’s strategic growth sessions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John Rosenthal, Executive Vice President and Chief Investment Officer</w:t>
      </w:r>
    </w:p>
    <w:p>
      <w:pPr>
        <w:spacing w:after="0" w:line="94" w:lineRule="exact"/>
        <w:rPr>
          <w:sz w:val="20"/>
          <w:szCs w:val="20"/>
          <w:color w:val="auto"/>
        </w:rPr>
      </w:pPr>
    </w:p>
    <w:p>
      <w:pPr>
        <w:ind w:left="340" w:hanging="224"/>
        <w:spacing w:after="0"/>
        <w:tabs>
          <w:tab w:leader="none" w:pos="340" w:val="left"/>
        </w:tabs>
        <w:numPr>
          <w:ilvl w:val="0"/>
          <w:numId w:val="137"/>
        </w:numPr>
        <w:rPr>
          <w:rFonts w:ascii="Arial" w:cs="Arial" w:eastAsia="Arial" w:hAnsi="Arial"/>
          <w:sz w:val="18"/>
          <w:szCs w:val="18"/>
          <w:color w:val="4C4C4C"/>
        </w:rPr>
      </w:pPr>
      <w:r>
        <w:rPr>
          <w:rFonts w:ascii="Arial" w:cs="Arial" w:eastAsia="Arial" w:hAnsi="Arial"/>
          <w:sz w:val="18"/>
          <w:szCs w:val="18"/>
          <w:color w:val="4C4C4C"/>
        </w:rPr>
        <w:t>Led investment and portfolio positioning strategy, including navigating challenging markets in the first quarter.</w:t>
      </w:r>
    </w:p>
    <w:p>
      <w:pPr>
        <w:ind w:left="340" w:hanging="224"/>
        <w:spacing w:after="0" w:line="234" w:lineRule="auto"/>
        <w:tabs>
          <w:tab w:leader="none" w:pos="340" w:val="left"/>
        </w:tabs>
        <w:numPr>
          <w:ilvl w:val="0"/>
          <w:numId w:val="137"/>
        </w:numPr>
        <w:rPr>
          <w:rFonts w:ascii="Arial" w:cs="Arial" w:eastAsia="Arial" w:hAnsi="Arial"/>
          <w:sz w:val="18"/>
          <w:szCs w:val="18"/>
          <w:color w:val="4C4C4C"/>
        </w:rPr>
      </w:pPr>
      <w:r>
        <w:rPr>
          <w:rFonts w:ascii="Arial" w:cs="Arial" w:eastAsia="Arial" w:hAnsi="Arial"/>
          <w:sz w:val="18"/>
          <w:szCs w:val="18"/>
          <w:color w:val="4C4C4C"/>
        </w:rPr>
        <w:t>Delivered net investment income of $3.6 billion, in line with the financial plan.</w:t>
      </w:r>
    </w:p>
    <w:p>
      <w:pPr>
        <w:ind w:left="340" w:hanging="224"/>
        <w:spacing w:after="0" w:line="234" w:lineRule="auto"/>
        <w:tabs>
          <w:tab w:leader="none" w:pos="340" w:val="left"/>
        </w:tabs>
        <w:numPr>
          <w:ilvl w:val="0"/>
          <w:numId w:val="137"/>
        </w:numPr>
        <w:rPr>
          <w:rFonts w:ascii="Arial" w:cs="Arial" w:eastAsia="Arial" w:hAnsi="Arial"/>
          <w:sz w:val="18"/>
          <w:szCs w:val="18"/>
          <w:color w:val="4C4C4C"/>
        </w:rPr>
      </w:pPr>
      <w:r>
        <w:rPr>
          <w:rFonts w:ascii="Arial" w:cs="Arial" w:eastAsia="Arial" w:hAnsi="Arial"/>
          <w:sz w:val="18"/>
          <w:szCs w:val="18"/>
          <w:color w:val="4C4C4C"/>
        </w:rPr>
        <w:t>Refined the outside manager oversight process to help ensure that the investment portfolio is managed to our risk/return expectations.</w:t>
      </w:r>
    </w:p>
    <w:p>
      <w:pPr>
        <w:ind w:left="340" w:hanging="224"/>
        <w:spacing w:after="0" w:line="234" w:lineRule="auto"/>
        <w:tabs>
          <w:tab w:leader="none" w:pos="340" w:val="left"/>
        </w:tabs>
        <w:numPr>
          <w:ilvl w:val="0"/>
          <w:numId w:val="137"/>
        </w:numPr>
        <w:rPr>
          <w:rFonts w:ascii="Arial" w:cs="Arial" w:eastAsia="Arial" w:hAnsi="Arial"/>
          <w:sz w:val="18"/>
          <w:szCs w:val="18"/>
          <w:color w:val="4C4C4C"/>
        </w:rPr>
      </w:pPr>
      <w:r>
        <w:rPr>
          <w:rFonts w:ascii="Arial" w:cs="Arial" w:eastAsia="Arial" w:hAnsi="Arial"/>
          <w:sz w:val="18"/>
          <w:szCs w:val="18"/>
          <w:color w:val="4C4C4C"/>
        </w:rPr>
        <w:t>Supported the development and launch of BlackRock’s LifePath Paycheck</w:t>
      </w:r>
      <w:r>
        <w:rPr>
          <w:rFonts w:ascii="Arial" w:cs="Arial" w:eastAsia="Arial" w:hAnsi="Arial"/>
          <w:sz w:val="15"/>
          <w:szCs w:val="15"/>
          <w:color w:val="4C4C4C"/>
        </w:rPr>
        <w:t>TM</w:t>
      </w:r>
      <w:r>
        <w:rPr>
          <w:rFonts w:ascii="Arial" w:cs="Arial" w:eastAsia="Arial" w:hAnsi="Arial"/>
          <w:sz w:val="18"/>
          <w:szCs w:val="18"/>
          <w:color w:val="4C4C4C"/>
        </w:rPr>
        <w:t xml:space="preserve"> and Brighthouse SecureAdvantage</w:t>
      </w:r>
      <w:r>
        <w:rPr>
          <w:rFonts w:ascii="Arial" w:cs="Arial" w:eastAsia="Arial" w:hAnsi="Arial"/>
          <w:sz w:val="15"/>
          <w:szCs w:val="15"/>
          <w:color w:val="4C4C4C"/>
        </w:rPr>
        <w:t>®</w:t>
      </w:r>
      <w:r>
        <w:rPr>
          <w:rFonts w:ascii="Arial" w:cs="Arial" w:eastAsia="Arial" w:hAnsi="Arial"/>
          <w:sz w:val="18"/>
          <w:szCs w:val="18"/>
          <w:color w:val="4C4C4C"/>
        </w:rPr>
        <w:t>.</w:t>
      </w:r>
    </w:p>
    <w:p>
      <w:pPr>
        <w:ind w:left="340" w:right="60" w:hanging="224"/>
        <w:spacing w:after="0" w:line="246" w:lineRule="auto"/>
        <w:tabs>
          <w:tab w:leader="none" w:pos="340" w:val="left"/>
        </w:tabs>
        <w:numPr>
          <w:ilvl w:val="0"/>
          <w:numId w:val="137"/>
        </w:numPr>
        <w:rPr>
          <w:rFonts w:ascii="Arial" w:cs="Arial" w:eastAsia="Arial" w:hAnsi="Arial"/>
          <w:sz w:val="18"/>
          <w:szCs w:val="18"/>
          <w:color w:val="4C4C4C"/>
        </w:rPr>
      </w:pPr>
      <w:r>
        <w:rPr>
          <w:rFonts w:ascii="Arial" w:cs="Arial" w:eastAsia="Arial" w:hAnsi="Arial"/>
          <w:sz w:val="18"/>
          <w:szCs w:val="18"/>
          <w:color w:val="4C4C4C"/>
        </w:rPr>
        <w:t>Enhanced oversight of the business continuity plans of key service providers and the assessment of other pandemic related impacts on the Brighthouse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55</w:t>
      </w:r>
    </w:p>
    <w:p>
      <w:pPr>
        <w:sectPr>
          <w:pgSz w:w="11900" w:h="16838" w:orient="portrait"/>
          <w:cols w:equalWidth="0" w:num="1">
            <w:col w:w="11140"/>
          </w:cols>
          <w:pgMar w:left="320" w:top="459" w:right="43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Section 2 – Our 2020 Executive Compensation Program</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40" w:lineRule="exact"/>
        <w:rPr>
          <w:sz w:val="20"/>
          <w:szCs w:val="20"/>
          <w:color w:val="auto"/>
        </w:rPr>
      </w:pPr>
    </w:p>
    <w:p>
      <w:pPr>
        <w:ind w:left="280" w:right="580"/>
        <w:spacing w:after="0"/>
        <w:rPr>
          <w:sz w:val="20"/>
          <w:szCs w:val="20"/>
          <w:color w:val="auto"/>
        </w:rPr>
      </w:pPr>
      <w:r>
        <w:rPr>
          <w:rFonts w:ascii="Arial" w:cs="Arial" w:eastAsia="Arial" w:hAnsi="Arial"/>
          <w:sz w:val="18"/>
          <w:szCs w:val="18"/>
          <w:color w:val="4C4C4C"/>
        </w:rPr>
        <w:t>The Compensation and Human Capital Committee considered the foregoing accomplishments and, based on Mr. Steigerwalt’s recommendations, approved the following STI Awards to our other NEOs (STI Payout Percentage may be rounded to the nearest whole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146050</wp:posOffset>
            </wp:positionV>
            <wp:extent cx="8890" cy="163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146050</wp:posOffset>
            </wp:positionV>
            <wp:extent cx="8255" cy="1631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63195"/>
                    </a:xfrm>
                    <a:prstGeom prst="rect">
                      <a:avLst/>
                    </a:prstGeom>
                    <a:noFill/>
                  </pic:spPr>
                </pic:pic>
              </a:graphicData>
            </a:graphic>
          </wp:anchor>
        </w:drawing>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4980" w:type="dxa"/>
            <w:vAlign w:val="bottom"/>
            <w:shd w:val="clear" w:color="auto" w:fill="00ADBB"/>
          </w:tcPr>
          <w:p>
            <w:pPr>
              <w:ind w:left="60"/>
              <w:spacing w:after="0"/>
              <w:rPr>
                <w:sz w:val="20"/>
                <w:szCs w:val="20"/>
                <w:color w:val="auto"/>
              </w:rPr>
            </w:pPr>
            <w:r>
              <w:rPr>
                <w:rFonts w:ascii="Arial" w:cs="Arial" w:eastAsia="Arial" w:hAnsi="Arial"/>
                <w:sz w:val="18"/>
                <w:szCs w:val="18"/>
                <w:b w:val="1"/>
                <w:bCs w:val="1"/>
                <w:color w:val="FFFFFF"/>
              </w:rPr>
              <w:t>Name</w:t>
            </w:r>
          </w:p>
        </w:tc>
        <w:tc>
          <w:tcPr>
            <w:tcW w:w="3260" w:type="dxa"/>
            <w:vAlign w:val="bottom"/>
            <w:shd w:val="clear" w:color="auto" w:fill="00ADBB"/>
          </w:tcPr>
          <w:p>
            <w:pPr>
              <w:jc w:val="right"/>
              <w:ind w:right="610"/>
              <w:spacing w:after="0"/>
              <w:rPr>
                <w:sz w:val="20"/>
                <w:szCs w:val="20"/>
                <w:color w:val="auto"/>
              </w:rPr>
            </w:pPr>
            <w:r>
              <w:rPr>
                <w:rFonts w:ascii="Arial" w:cs="Arial" w:eastAsia="Arial" w:hAnsi="Arial"/>
                <w:sz w:val="18"/>
                <w:szCs w:val="18"/>
                <w:b w:val="1"/>
                <w:bCs w:val="1"/>
                <w:color w:val="FFFFFF"/>
              </w:rPr>
              <w:t>STI Payout Percentage</w:t>
            </w:r>
          </w:p>
        </w:tc>
        <w:tc>
          <w:tcPr>
            <w:tcW w:w="2440" w:type="dxa"/>
            <w:vAlign w:val="bottom"/>
            <w:gridSpan w:val="2"/>
            <w:shd w:val="clear" w:color="auto" w:fill="00ADBB"/>
          </w:tcPr>
          <w:p>
            <w:pPr>
              <w:ind w:left="720"/>
              <w:spacing w:after="0"/>
              <w:rPr>
                <w:sz w:val="20"/>
                <w:szCs w:val="20"/>
                <w:color w:val="auto"/>
              </w:rPr>
            </w:pPr>
            <w:r>
              <w:rPr>
                <w:rFonts w:ascii="Arial" w:cs="Arial" w:eastAsia="Arial" w:hAnsi="Arial"/>
                <w:sz w:val="18"/>
                <w:szCs w:val="18"/>
                <w:b w:val="1"/>
                <w:bCs w:val="1"/>
                <w:color w:val="FFFFFF"/>
              </w:rPr>
              <w:t>2020 STI Award</w:t>
            </w:r>
          </w:p>
        </w:tc>
      </w:tr>
      <w:tr>
        <w:trPr>
          <w:trHeight w:val="283"/>
        </w:trPr>
        <w:tc>
          <w:tcPr>
            <w:tcW w:w="498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Ed Spehar</w:t>
            </w:r>
          </w:p>
        </w:tc>
        <w:tc>
          <w:tcPr>
            <w:tcW w:w="3260" w:type="dxa"/>
            <w:vAlign w:val="bottom"/>
            <w:tcBorders>
              <w:bottom w:val="single" w:sz="8" w:color="4C4C4C"/>
            </w:tcBorders>
          </w:tcPr>
          <w:p>
            <w:pPr>
              <w:jc w:val="right"/>
              <w:ind w:right="1070"/>
              <w:spacing w:after="0"/>
              <w:rPr>
                <w:sz w:val="20"/>
                <w:szCs w:val="20"/>
                <w:color w:val="auto"/>
              </w:rPr>
            </w:pPr>
            <w:r>
              <w:rPr>
                <w:rFonts w:ascii="Arial" w:cs="Arial" w:eastAsia="Arial" w:hAnsi="Arial"/>
                <w:sz w:val="18"/>
                <w:szCs w:val="18"/>
                <w:color w:val="4C4C4C"/>
              </w:rPr>
              <w:t>110%</w:t>
            </w:r>
          </w:p>
        </w:tc>
        <w:tc>
          <w:tcPr>
            <w:tcW w:w="1020" w:type="dxa"/>
            <w:vAlign w:val="bottom"/>
            <w:tcBorders>
              <w:bottom w:val="single" w:sz="8" w:color="4C4C4C"/>
            </w:tcBorders>
          </w:tcPr>
          <w:p>
            <w:pPr>
              <w:ind w:left="720"/>
              <w:spacing w:after="0"/>
              <w:rPr>
                <w:sz w:val="20"/>
                <w:szCs w:val="20"/>
                <w:color w:val="auto"/>
              </w:rPr>
            </w:pPr>
            <w:r>
              <w:rPr>
                <w:rFonts w:ascii="Arial" w:cs="Arial" w:eastAsia="Arial" w:hAnsi="Arial"/>
                <w:sz w:val="18"/>
                <w:szCs w:val="18"/>
                <w:color w:val="4C4C4C"/>
              </w:rPr>
              <w:t>$</w:t>
            </w:r>
          </w:p>
        </w:tc>
        <w:tc>
          <w:tcPr>
            <w:tcW w:w="1420" w:type="dxa"/>
            <w:vAlign w:val="bottom"/>
            <w:tcBorders>
              <w:bottom w:val="single" w:sz="8" w:color="4C4C4C"/>
            </w:tcBorders>
          </w:tcPr>
          <w:p>
            <w:pPr>
              <w:jc w:val="right"/>
              <w:ind w:right="310"/>
              <w:spacing w:after="0"/>
              <w:rPr>
                <w:sz w:val="20"/>
                <w:szCs w:val="20"/>
                <w:color w:val="auto"/>
              </w:rPr>
            </w:pPr>
            <w:r>
              <w:rPr>
                <w:rFonts w:ascii="Arial" w:cs="Arial" w:eastAsia="Arial" w:hAnsi="Arial"/>
                <w:sz w:val="18"/>
                <w:szCs w:val="18"/>
                <w:color w:val="4C4C4C"/>
              </w:rPr>
              <w:t>924,000</w:t>
            </w:r>
          </w:p>
        </w:tc>
      </w:tr>
      <w:tr>
        <w:trPr>
          <w:trHeight w:val="263"/>
        </w:trPr>
        <w:tc>
          <w:tcPr>
            <w:tcW w:w="498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Christine DeBiase</w:t>
            </w:r>
          </w:p>
        </w:tc>
        <w:tc>
          <w:tcPr>
            <w:tcW w:w="3260" w:type="dxa"/>
            <w:vAlign w:val="bottom"/>
            <w:tcBorders>
              <w:bottom w:val="single" w:sz="8" w:color="4C4C4C"/>
            </w:tcBorders>
            <w:shd w:val="clear" w:color="auto" w:fill="E5F6F8"/>
          </w:tcPr>
          <w:p>
            <w:pPr>
              <w:jc w:val="right"/>
              <w:ind w:right="1070"/>
              <w:spacing w:after="0"/>
              <w:rPr>
                <w:sz w:val="20"/>
                <w:szCs w:val="20"/>
                <w:color w:val="auto"/>
              </w:rPr>
            </w:pPr>
            <w:r>
              <w:rPr>
                <w:rFonts w:ascii="Arial" w:cs="Arial" w:eastAsia="Arial" w:hAnsi="Arial"/>
                <w:sz w:val="18"/>
                <w:szCs w:val="18"/>
                <w:color w:val="4C4C4C"/>
              </w:rPr>
              <w:t>110%</w:t>
            </w:r>
          </w:p>
        </w:tc>
        <w:tc>
          <w:tcPr>
            <w:tcW w:w="1020" w:type="dxa"/>
            <w:vAlign w:val="bottom"/>
            <w:tcBorders>
              <w:bottom w:val="single" w:sz="8" w:color="4C4C4C"/>
            </w:tcBorders>
            <w:shd w:val="clear" w:color="auto" w:fill="E5F6F8"/>
          </w:tcPr>
          <w:p>
            <w:pPr>
              <w:ind w:left="720"/>
              <w:spacing w:after="0"/>
              <w:rPr>
                <w:sz w:val="20"/>
                <w:szCs w:val="20"/>
                <w:color w:val="auto"/>
              </w:rPr>
            </w:pPr>
            <w:r>
              <w:rPr>
                <w:rFonts w:ascii="Arial" w:cs="Arial" w:eastAsia="Arial" w:hAnsi="Arial"/>
                <w:sz w:val="18"/>
                <w:szCs w:val="18"/>
                <w:color w:val="4C4C4C"/>
              </w:rPr>
              <w:t>$</w:t>
            </w:r>
          </w:p>
        </w:tc>
        <w:tc>
          <w:tcPr>
            <w:tcW w:w="1420" w:type="dxa"/>
            <w:vAlign w:val="bottom"/>
            <w:tcBorders>
              <w:bottom w:val="single" w:sz="8" w:color="4C4C4C"/>
            </w:tcBorders>
            <w:shd w:val="clear" w:color="auto" w:fill="E5F6F8"/>
          </w:tcPr>
          <w:p>
            <w:pPr>
              <w:jc w:val="right"/>
              <w:ind w:right="310"/>
              <w:spacing w:after="0"/>
              <w:rPr>
                <w:sz w:val="20"/>
                <w:szCs w:val="20"/>
                <w:color w:val="auto"/>
              </w:rPr>
            </w:pPr>
            <w:r>
              <w:rPr>
                <w:rFonts w:ascii="Arial" w:cs="Arial" w:eastAsia="Arial" w:hAnsi="Arial"/>
                <w:sz w:val="18"/>
                <w:szCs w:val="18"/>
                <w:color w:val="4C4C4C"/>
              </w:rPr>
              <w:t>924,000</w:t>
            </w:r>
          </w:p>
        </w:tc>
      </w:tr>
      <w:tr>
        <w:trPr>
          <w:trHeight w:val="263"/>
        </w:trPr>
        <w:tc>
          <w:tcPr>
            <w:tcW w:w="498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Conor Murphy</w:t>
            </w:r>
          </w:p>
        </w:tc>
        <w:tc>
          <w:tcPr>
            <w:tcW w:w="3260" w:type="dxa"/>
            <w:vAlign w:val="bottom"/>
            <w:tcBorders>
              <w:bottom w:val="single" w:sz="8" w:color="4C4C4C"/>
            </w:tcBorders>
          </w:tcPr>
          <w:p>
            <w:pPr>
              <w:jc w:val="right"/>
              <w:ind w:right="1070"/>
              <w:spacing w:after="0"/>
              <w:rPr>
                <w:sz w:val="20"/>
                <w:szCs w:val="20"/>
                <w:color w:val="auto"/>
              </w:rPr>
            </w:pPr>
            <w:r>
              <w:rPr>
                <w:rFonts w:ascii="Arial" w:cs="Arial" w:eastAsia="Arial" w:hAnsi="Arial"/>
                <w:sz w:val="18"/>
                <w:szCs w:val="18"/>
                <w:color w:val="4C4C4C"/>
              </w:rPr>
              <w:t>104%</w:t>
            </w:r>
          </w:p>
        </w:tc>
        <w:tc>
          <w:tcPr>
            <w:tcW w:w="1020" w:type="dxa"/>
            <w:vAlign w:val="bottom"/>
            <w:tcBorders>
              <w:bottom w:val="single" w:sz="8" w:color="4C4C4C"/>
            </w:tcBorders>
          </w:tcPr>
          <w:p>
            <w:pPr>
              <w:ind w:left="720"/>
              <w:spacing w:after="0"/>
              <w:rPr>
                <w:sz w:val="20"/>
                <w:szCs w:val="20"/>
                <w:color w:val="auto"/>
              </w:rPr>
            </w:pPr>
            <w:r>
              <w:rPr>
                <w:rFonts w:ascii="Arial" w:cs="Arial" w:eastAsia="Arial" w:hAnsi="Arial"/>
                <w:sz w:val="18"/>
                <w:szCs w:val="18"/>
                <w:color w:val="4C4C4C"/>
              </w:rPr>
              <w:t>$</w:t>
            </w:r>
          </w:p>
        </w:tc>
        <w:tc>
          <w:tcPr>
            <w:tcW w:w="1420" w:type="dxa"/>
            <w:vAlign w:val="bottom"/>
            <w:tcBorders>
              <w:bottom w:val="single" w:sz="8" w:color="4C4C4C"/>
            </w:tcBorders>
          </w:tcPr>
          <w:p>
            <w:pPr>
              <w:jc w:val="right"/>
              <w:ind w:right="310"/>
              <w:spacing w:after="0"/>
              <w:rPr>
                <w:sz w:val="20"/>
                <w:szCs w:val="20"/>
                <w:color w:val="auto"/>
              </w:rPr>
            </w:pPr>
            <w:r>
              <w:rPr>
                <w:rFonts w:ascii="Arial" w:cs="Arial" w:eastAsia="Arial" w:hAnsi="Arial"/>
                <w:sz w:val="18"/>
                <w:szCs w:val="18"/>
                <w:color w:val="4C4C4C"/>
              </w:rPr>
              <w:t>907,000</w:t>
            </w:r>
          </w:p>
        </w:tc>
      </w:tr>
      <w:tr>
        <w:trPr>
          <w:trHeight w:val="263"/>
        </w:trPr>
        <w:tc>
          <w:tcPr>
            <w:tcW w:w="498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John Rosenthal</w:t>
            </w:r>
          </w:p>
        </w:tc>
        <w:tc>
          <w:tcPr>
            <w:tcW w:w="3260" w:type="dxa"/>
            <w:vAlign w:val="bottom"/>
            <w:tcBorders>
              <w:bottom w:val="single" w:sz="8" w:color="4C4C4C"/>
            </w:tcBorders>
            <w:shd w:val="clear" w:color="auto" w:fill="E5F6F8"/>
          </w:tcPr>
          <w:p>
            <w:pPr>
              <w:jc w:val="right"/>
              <w:ind w:right="1070"/>
              <w:spacing w:after="0"/>
              <w:rPr>
                <w:sz w:val="20"/>
                <w:szCs w:val="20"/>
                <w:color w:val="auto"/>
              </w:rPr>
            </w:pPr>
            <w:r>
              <w:rPr>
                <w:rFonts w:ascii="Arial" w:cs="Arial" w:eastAsia="Arial" w:hAnsi="Arial"/>
                <w:sz w:val="18"/>
                <w:szCs w:val="18"/>
                <w:color w:val="4C4C4C"/>
              </w:rPr>
              <w:t>110%</w:t>
            </w:r>
          </w:p>
        </w:tc>
        <w:tc>
          <w:tcPr>
            <w:tcW w:w="1020" w:type="dxa"/>
            <w:vAlign w:val="bottom"/>
            <w:tcBorders>
              <w:bottom w:val="single" w:sz="8" w:color="4C4C4C"/>
            </w:tcBorders>
            <w:shd w:val="clear" w:color="auto" w:fill="E5F6F8"/>
          </w:tcPr>
          <w:p>
            <w:pPr>
              <w:ind w:left="720"/>
              <w:spacing w:after="0"/>
              <w:rPr>
                <w:sz w:val="20"/>
                <w:szCs w:val="20"/>
                <w:color w:val="auto"/>
              </w:rPr>
            </w:pPr>
            <w:r>
              <w:rPr>
                <w:rFonts w:ascii="Arial" w:cs="Arial" w:eastAsia="Arial" w:hAnsi="Arial"/>
                <w:sz w:val="18"/>
                <w:szCs w:val="18"/>
                <w:color w:val="4C4C4C"/>
              </w:rPr>
              <w:t>$</w:t>
            </w:r>
          </w:p>
        </w:tc>
        <w:tc>
          <w:tcPr>
            <w:tcW w:w="1420" w:type="dxa"/>
            <w:vAlign w:val="bottom"/>
            <w:tcBorders>
              <w:bottom w:val="single" w:sz="8" w:color="4C4C4C"/>
            </w:tcBorders>
            <w:shd w:val="clear" w:color="auto" w:fill="E5F6F8"/>
          </w:tcPr>
          <w:p>
            <w:pPr>
              <w:jc w:val="right"/>
              <w:ind w:right="310"/>
              <w:spacing w:after="0"/>
              <w:rPr>
                <w:sz w:val="20"/>
                <w:szCs w:val="20"/>
                <w:color w:val="auto"/>
              </w:rPr>
            </w:pPr>
            <w:r>
              <w:rPr>
                <w:rFonts w:ascii="Arial" w:cs="Arial" w:eastAsia="Arial" w:hAnsi="Arial"/>
                <w:sz w:val="18"/>
                <w:szCs w:val="18"/>
                <w:color w:val="4C4C4C"/>
              </w:rPr>
              <w:t>1,179,750</w:t>
            </w:r>
          </w:p>
        </w:tc>
      </w:tr>
    </w:tbl>
    <w:p>
      <w:pPr>
        <w:spacing w:after="0" w:line="215" w:lineRule="exact"/>
        <w:rPr>
          <w:sz w:val="20"/>
          <w:szCs w:val="20"/>
          <w:color w:val="auto"/>
        </w:rPr>
      </w:pPr>
    </w:p>
    <w:p>
      <w:pPr>
        <w:jc w:val="both"/>
        <w:ind w:left="280" w:right="180"/>
        <w:spacing w:after="0" w:line="246" w:lineRule="auto"/>
        <w:rPr>
          <w:sz w:val="20"/>
          <w:szCs w:val="20"/>
          <w:color w:val="auto"/>
        </w:rPr>
      </w:pPr>
      <w:r>
        <w:rPr>
          <w:rFonts w:ascii="Arial" w:cs="Arial" w:eastAsia="Arial" w:hAnsi="Arial"/>
          <w:sz w:val="18"/>
          <w:szCs w:val="18"/>
          <w:color w:val="4C4C4C"/>
        </w:rPr>
        <w:t>The 2020 STI amounts paid to all of our NEOs are reported in the “</w:t>
      </w:r>
      <w:r>
        <w:rPr>
          <w:rFonts w:ascii="Arial" w:cs="Arial" w:eastAsia="Arial" w:hAnsi="Arial"/>
          <w:sz w:val="18"/>
          <w:szCs w:val="18"/>
          <w:color w:val="00ADBB"/>
        </w:rPr>
        <w:t>Non-Equity Incentive Compensation Plan</w:t>
      </w:r>
      <w:r>
        <w:rPr>
          <w:rFonts w:ascii="Arial" w:cs="Arial" w:eastAsia="Arial" w:hAnsi="Arial"/>
          <w:sz w:val="18"/>
          <w:szCs w:val="18"/>
          <w:color w:val="4C4C4C"/>
        </w:rPr>
        <w:t>” column of the “</w:t>
      </w:r>
      <w:r>
        <w:rPr>
          <w:rFonts w:ascii="Arial" w:cs="Arial" w:eastAsia="Arial" w:hAnsi="Arial"/>
          <w:sz w:val="18"/>
          <w:szCs w:val="18"/>
          <w:color w:val="00ADBB"/>
        </w:rPr>
        <w:t>Summary</w:t>
      </w:r>
      <w:r>
        <w:rPr>
          <w:rFonts w:ascii="Arial" w:cs="Arial" w:eastAsia="Arial" w:hAnsi="Arial"/>
          <w:sz w:val="18"/>
          <w:szCs w:val="18"/>
          <w:color w:val="4C4C4C"/>
        </w:rPr>
        <w:t xml:space="preserve"> </w:t>
      </w:r>
      <w:r>
        <w:rPr>
          <w:rFonts w:ascii="Arial" w:cs="Arial" w:eastAsia="Arial" w:hAnsi="Arial"/>
          <w:sz w:val="18"/>
          <w:szCs w:val="18"/>
          <w:color w:val="00ADBB"/>
        </w:rPr>
        <w:t>Compensation Table</w:t>
      </w:r>
      <w:r>
        <w:rPr>
          <w:rFonts w:ascii="Arial" w:cs="Arial" w:eastAsia="Arial" w:hAnsi="Arial"/>
          <w:sz w:val="18"/>
          <w:szCs w:val="18"/>
          <w:color w:val="4C4C4C"/>
        </w:rPr>
        <w:t>.”</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2020 Long-Term Incentive Awards</w:t>
      </w:r>
    </w:p>
    <w:p>
      <w:pPr>
        <w:spacing w:after="0" w:line="18" w:lineRule="exact"/>
        <w:rPr>
          <w:sz w:val="20"/>
          <w:szCs w:val="20"/>
          <w:color w:val="auto"/>
        </w:rPr>
      </w:pPr>
    </w:p>
    <w:p>
      <w:pPr>
        <w:ind w:left="280" w:right="340"/>
        <w:spacing w:after="0"/>
        <w:rPr>
          <w:sz w:val="20"/>
          <w:szCs w:val="20"/>
          <w:color w:val="auto"/>
        </w:rPr>
      </w:pPr>
      <w:r>
        <w:rPr>
          <w:rFonts w:ascii="Arial" w:cs="Arial" w:eastAsia="Arial" w:hAnsi="Arial"/>
          <w:sz w:val="18"/>
          <w:szCs w:val="18"/>
          <w:color w:val="4C4C4C"/>
        </w:rPr>
        <w:t>In January 2020, the Independent Directors, on the recommendation of the Compensation and Human Capital Committee, approved an LTI Award for Mr. Steigerwalt, and in February 2020, the Compensation and Human Capital Committee approved LTI awards for our other NEOs. The following table shows the breakdown of award vehicles chosen for the 2020 LTI Awards.</w:t>
      </w: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220"/>
        </w:trPr>
        <w:tc>
          <w:tcPr>
            <w:tcW w:w="1800" w:type="dxa"/>
            <w:vAlign w:val="bottom"/>
            <w:tcBorders>
              <w:top w:val="single" w:sz="8" w:color="00ADBB"/>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00ADBB"/>
            </w:tcBorders>
          </w:tcPr>
          <w:p>
            <w:pPr>
              <w:jc w:val="center"/>
              <w:ind w:left="30"/>
              <w:spacing w:after="0"/>
              <w:rPr>
                <w:sz w:val="20"/>
                <w:szCs w:val="20"/>
                <w:color w:val="auto"/>
              </w:rPr>
            </w:pPr>
            <w:r>
              <w:rPr>
                <w:rFonts w:ascii="Arial" w:cs="Arial" w:eastAsia="Arial" w:hAnsi="Arial"/>
                <w:sz w:val="18"/>
                <w:szCs w:val="18"/>
                <w:b w:val="1"/>
                <w:bCs w:val="1"/>
                <w:color w:val="00ADBB"/>
                <w:w w:val="98"/>
              </w:rPr>
              <w:t>Percentage</w:t>
            </w:r>
          </w:p>
        </w:tc>
        <w:tc>
          <w:tcPr>
            <w:tcW w:w="140" w:type="dxa"/>
            <w:vAlign w:val="bottom"/>
          </w:tcPr>
          <w:p>
            <w:pPr>
              <w:spacing w:after="0"/>
              <w:rPr>
                <w:sz w:val="19"/>
                <w:szCs w:val="19"/>
                <w:color w:val="auto"/>
              </w:rPr>
            </w:pPr>
          </w:p>
        </w:tc>
        <w:tc>
          <w:tcPr>
            <w:tcW w:w="7040" w:type="dxa"/>
            <w:vAlign w:val="bottom"/>
            <w:tcBorders>
              <w:top w:val="single" w:sz="8" w:color="00ADBB"/>
            </w:tcBorders>
          </w:tcPr>
          <w:p>
            <w:pPr>
              <w:spacing w:after="0"/>
              <w:rPr>
                <w:sz w:val="19"/>
                <w:szCs w:val="19"/>
                <w:color w:val="auto"/>
              </w:rPr>
            </w:pPr>
          </w:p>
        </w:tc>
      </w:tr>
      <w:tr>
        <w:trPr>
          <w:trHeight w:val="246"/>
        </w:trPr>
        <w:tc>
          <w:tcPr>
            <w:tcW w:w="1800" w:type="dxa"/>
            <w:vAlign w:val="bottom"/>
            <w:tcBorders>
              <w:bottom w:val="single" w:sz="8" w:color="4C4C4C"/>
            </w:tcBorders>
          </w:tcPr>
          <w:p>
            <w:pPr>
              <w:spacing w:after="0"/>
              <w:rPr>
                <w:sz w:val="20"/>
                <w:szCs w:val="20"/>
                <w:color w:val="auto"/>
              </w:rPr>
            </w:pPr>
            <w:r>
              <w:rPr>
                <w:rFonts w:ascii="Arial" w:cs="Arial" w:eastAsia="Arial" w:hAnsi="Arial"/>
                <w:sz w:val="18"/>
                <w:szCs w:val="18"/>
                <w:b w:val="1"/>
                <w:bCs w:val="1"/>
                <w:color w:val="00ADBB"/>
              </w:rPr>
              <w:t>Type of Award</w:t>
            </w:r>
          </w:p>
        </w:tc>
        <w:tc>
          <w:tcPr>
            <w:tcW w:w="140" w:type="dxa"/>
            <w:vAlign w:val="bottom"/>
          </w:tcPr>
          <w:p>
            <w:pPr>
              <w:spacing w:after="0"/>
              <w:rPr>
                <w:sz w:val="21"/>
                <w:szCs w:val="21"/>
                <w:color w:val="auto"/>
              </w:rPr>
            </w:pPr>
          </w:p>
        </w:tc>
        <w:tc>
          <w:tcPr>
            <w:tcW w:w="1560" w:type="dxa"/>
            <w:vAlign w:val="bottom"/>
            <w:tcBorders>
              <w:bottom w:val="single" w:sz="8" w:color="4C4C4C"/>
            </w:tcBorders>
          </w:tcPr>
          <w:p>
            <w:pPr>
              <w:jc w:val="center"/>
              <w:ind w:left="30"/>
              <w:spacing w:after="0"/>
              <w:rPr>
                <w:sz w:val="20"/>
                <w:szCs w:val="20"/>
                <w:color w:val="auto"/>
              </w:rPr>
            </w:pPr>
            <w:r>
              <w:rPr>
                <w:rFonts w:ascii="Arial" w:cs="Arial" w:eastAsia="Arial" w:hAnsi="Arial"/>
                <w:sz w:val="18"/>
                <w:szCs w:val="18"/>
                <w:b w:val="1"/>
                <w:bCs w:val="1"/>
                <w:color w:val="00ADBB"/>
                <w:w w:val="99"/>
              </w:rPr>
              <w:t>of LTI Award</w:t>
            </w:r>
          </w:p>
        </w:tc>
        <w:tc>
          <w:tcPr>
            <w:tcW w:w="140" w:type="dxa"/>
            <w:vAlign w:val="bottom"/>
          </w:tcPr>
          <w:p>
            <w:pPr>
              <w:spacing w:after="0"/>
              <w:rPr>
                <w:sz w:val="21"/>
                <w:szCs w:val="21"/>
                <w:color w:val="auto"/>
              </w:rPr>
            </w:pPr>
          </w:p>
        </w:tc>
        <w:tc>
          <w:tcPr>
            <w:tcW w:w="7040" w:type="dxa"/>
            <w:vAlign w:val="bottom"/>
            <w:tcBorders>
              <w:bottom w:val="single" w:sz="8" w:color="4C4C4C"/>
            </w:tcBorders>
          </w:tcPr>
          <w:p>
            <w:pPr>
              <w:ind w:left="120"/>
              <w:spacing w:after="0"/>
              <w:rPr>
                <w:sz w:val="20"/>
                <w:szCs w:val="20"/>
                <w:color w:val="auto"/>
              </w:rPr>
            </w:pPr>
            <w:r>
              <w:rPr>
                <w:rFonts w:ascii="Arial" w:cs="Arial" w:eastAsia="Arial" w:hAnsi="Arial"/>
                <w:sz w:val="18"/>
                <w:szCs w:val="18"/>
                <w:b w:val="1"/>
                <w:bCs w:val="1"/>
                <w:color w:val="00ADBB"/>
              </w:rPr>
              <w:t>Vesting Schedule</w:t>
            </w: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4C4C4C"/>
              </w:rPr>
              <w:t>Performance</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color w:val="4C4C4C"/>
                <w:w w:val="98"/>
              </w:rPr>
              <w:t>CEO: 70%</w:t>
            </w:r>
          </w:p>
        </w:tc>
        <w:tc>
          <w:tcPr>
            <w:tcW w:w="7040" w:type="dxa"/>
            <w:vAlign w:val="bottom"/>
          </w:tcPr>
          <w:p>
            <w:pPr>
              <w:ind w:left="120"/>
              <w:spacing w:after="0"/>
              <w:rPr>
                <w:sz w:val="20"/>
                <w:szCs w:val="20"/>
                <w:color w:val="auto"/>
              </w:rPr>
            </w:pPr>
            <w:r>
              <w:rPr>
                <w:rFonts w:ascii="Arial" w:cs="Arial" w:eastAsia="Arial" w:hAnsi="Arial"/>
                <w:sz w:val="18"/>
                <w:szCs w:val="18"/>
                <w:color w:val="4C4C4C"/>
              </w:rPr>
              <w:t>Cliff vest after year 3; the actual number of Shares issued, if any, is subject to</w:t>
            </w:r>
          </w:p>
        </w:tc>
      </w:tr>
      <w:tr>
        <w:trPr>
          <w:trHeight w:val="225"/>
        </w:trPr>
        <w:tc>
          <w:tcPr>
            <w:tcW w:w="1940" w:type="dxa"/>
            <w:vAlign w:val="bottom"/>
            <w:gridSpan w:val="2"/>
          </w:tcPr>
          <w:p>
            <w:pPr>
              <w:spacing w:after="0"/>
              <w:rPr>
                <w:sz w:val="20"/>
                <w:szCs w:val="20"/>
                <w:color w:val="auto"/>
              </w:rPr>
            </w:pPr>
            <w:r>
              <w:rPr>
                <w:rFonts w:ascii="Arial" w:cs="Arial" w:eastAsia="Arial" w:hAnsi="Arial"/>
                <w:sz w:val="18"/>
                <w:szCs w:val="18"/>
                <w:b w:val="1"/>
                <w:bCs w:val="1"/>
                <w:color w:val="4C4C4C"/>
              </w:rPr>
              <w:t>Share Units (PSUs)</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color w:val="4C4C4C"/>
                <w:w w:val="99"/>
              </w:rPr>
              <w:t>Other NEOs: 60%</w:t>
            </w:r>
          </w:p>
        </w:tc>
        <w:tc>
          <w:tcPr>
            <w:tcW w:w="7040" w:type="dxa"/>
            <w:vAlign w:val="bottom"/>
          </w:tcPr>
          <w:p>
            <w:pPr>
              <w:ind w:left="120"/>
              <w:spacing w:after="0"/>
              <w:rPr>
                <w:sz w:val="20"/>
                <w:szCs w:val="20"/>
                <w:color w:val="auto"/>
              </w:rPr>
            </w:pPr>
            <w:r>
              <w:rPr>
                <w:rFonts w:ascii="Arial" w:cs="Arial" w:eastAsia="Arial" w:hAnsi="Arial"/>
                <w:sz w:val="18"/>
                <w:szCs w:val="18"/>
                <w:color w:val="4C4C4C"/>
              </w:rPr>
              <w:t>achievement of pre-established performance goals over the 2020-2022 performance</w:t>
            </w:r>
          </w:p>
        </w:tc>
      </w:tr>
      <w:tr>
        <w:trPr>
          <w:trHeight w:val="217"/>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4C4C4C"/>
              </w:rPr>
              <w:t>period</w:t>
            </w:r>
          </w:p>
        </w:tc>
      </w:tr>
      <w:tr>
        <w:trPr>
          <w:trHeight w:val="81"/>
        </w:trPr>
        <w:tc>
          <w:tcPr>
            <w:tcW w:w="1800" w:type="dxa"/>
            <w:vAlign w:val="bottom"/>
            <w:tcBorders>
              <w:bottom w:val="single" w:sz="8" w:color="4C4C4C"/>
            </w:tcBorders>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Borders>
              <w:bottom w:val="single" w:sz="8" w:color="4C4C4C"/>
            </w:tcBorders>
          </w:tcPr>
          <w:p>
            <w:pPr>
              <w:spacing w:after="0"/>
              <w:rPr>
                <w:sz w:val="7"/>
                <w:szCs w:val="7"/>
                <w:color w:val="auto"/>
              </w:rPr>
            </w:pPr>
          </w:p>
        </w:tc>
        <w:tc>
          <w:tcPr>
            <w:tcW w:w="140" w:type="dxa"/>
            <w:vAlign w:val="bottom"/>
          </w:tcPr>
          <w:p>
            <w:pPr>
              <w:spacing w:after="0"/>
              <w:rPr>
                <w:sz w:val="7"/>
                <w:szCs w:val="7"/>
                <w:color w:val="auto"/>
              </w:rPr>
            </w:pPr>
          </w:p>
        </w:tc>
        <w:tc>
          <w:tcPr>
            <w:tcW w:w="7040" w:type="dxa"/>
            <w:vAlign w:val="bottom"/>
            <w:tcBorders>
              <w:bottom w:val="single" w:sz="8" w:color="4C4C4C"/>
            </w:tcBorders>
          </w:tcPr>
          <w:p>
            <w:pPr>
              <w:spacing w:after="0"/>
              <w:rPr>
                <w:sz w:val="7"/>
                <w:szCs w:val="7"/>
                <w:color w:val="auto"/>
              </w:rPr>
            </w:pPr>
          </w:p>
        </w:tc>
      </w:tr>
      <w:tr>
        <w:trPr>
          <w:trHeight w:val="227"/>
        </w:trPr>
        <w:tc>
          <w:tcPr>
            <w:tcW w:w="1940" w:type="dxa"/>
            <w:vAlign w:val="bottom"/>
            <w:gridSpan w:val="2"/>
          </w:tcPr>
          <w:p>
            <w:pPr>
              <w:spacing w:after="0"/>
              <w:rPr>
                <w:sz w:val="20"/>
                <w:szCs w:val="20"/>
                <w:color w:val="auto"/>
              </w:rPr>
            </w:pPr>
            <w:r>
              <w:rPr>
                <w:rFonts w:ascii="Arial" w:cs="Arial" w:eastAsia="Arial" w:hAnsi="Arial"/>
                <w:sz w:val="18"/>
                <w:szCs w:val="18"/>
                <w:b w:val="1"/>
                <w:bCs w:val="1"/>
                <w:color w:val="4C4C4C"/>
              </w:rPr>
              <w:t>Restricted Stock</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color w:val="4C4C4C"/>
                <w:w w:val="98"/>
              </w:rPr>
              <w:t>CEO: 30%</w:t>
            </w:r>
          </w:p>
        </w:tc>
        <w:tc>
          <w:tcPr>
            <w:tcW w:w="7040" w:type="dxa"/>
            <w:vAlign w:val="bottom"/>
          </w:tcPr>
          <w:p>
            <w:pPr>
              <w:ind w:left="120"/>
              <w:spacing w:after="0"/>
              <w:rPr>
                <w:sz w:val="20"/>
                <w:szCs w:val="20"/>
                <w:color w:val="auto"/>
              </w:rPr>
            </w:pPr>
            <w:r>
              <w:rPr>
                <w:rFonts w:ascii="Arial" w:cs="Arial" w:eastAsia="Arial" w:hAnsi="Arial"/>
                <w:sz w:val="18"/>
                <w:szCs w:val="18"/>
                <w:color w:val="4C4C4C"/>
              </w:rPr>
              <w:t>Ratable vesting over 3 years (1/3</w:t>
            </w:r>
            <w:r>
              <w:rPr>
                <w:rFonts w:ascii="Arial" w:cs="Arial" w:eastAsia="Arial" w:hAnsi="Arial"/>
                <w:sz w:val="15"/>
                <w:szCs w:val="15"/>
                <w:color w:val="4C4C4C"/>
              </w:rPr>
              <w:t>rd</w:t>
            </w:r>
            <w:r>
              <w:rPr>
                <w:rFonts w:ascii="Arial" w:cs="Arial" w:eastAsia="Arial" w:hAnsi="Arial"/>
                <w:sz w:val="18"/>
                <w:szCs w:val="18"/>
                <w:color w:val="4C4C4C"/>
              </w:rPr>
              <w:t xml:space="preserve"> vests at each anniversary)</w:t>
            </w:r>
          </w:p>
        </w:tc>
      </w:tr>
      <w:tr>
        <w:trPr>
          <w:trHeight w:val="239"/>
        </w:trPr>
        <w:tc>
          <w:tcPr>
            <w:tcW w:w="1940" w:type="dxa"/>
            <w:vAlign w:val="bottom"/>
            <w:gridSpan w:val="2"/>
          </w:tcPr>
          <w:p>
            <w:pPr>
              <w:spacing w:after="0"/>
              <w:rPr>
                <w:sz w:val="20"/>
                <w:szCs w:val="20"/>
                <w:color w:val="auto"/>
              </w:rPr>
            </w:pPr>
            <w:r>
              <w:rPr>
                <w:rFonts w:ascii="Arial" w:cs="Arial" w:eastAsia="Arial" w:hAnsi="Arial"/>
                <w:sz w:val="18"/>
                <w:szCs w:val="18"/>
                <w:b w:val="1"/>
                <w:bCs w:val="1"/>
                <w:color w:val="4C4C4C"/>
              </w:rPr>
              <w:t>Units (RSUs)</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color w:val="4C4C4C"/>
                <w:w w:val="99"/>
              </w:rPr>
              <w:t>Other NEOs: 40%</w:t>
            </w:r>
          </w:p>
        </w:tc>
        <w:tc>
          <w:tcPr>
            <w:tcW w:w="7040" w:type="dxa"/>
            <w:vAlign w:val="bottom"/>
          </w:tcPr>
          <w:p>
            <w:pPr>
              <w:spacing w:after="0"/>
              <w:rPr>
                <w:sz w:val="20"/>
                <w:szCs w:val="20"/>
                <w:color w:val="auto"/>
              </w:rPr>
            </w:pPr>
          </w:p>
        </w:tc>
      </w:tr>
      <w:tr>
        <w:trPr>
          <w:trHeight w:val="68"/>
        </w:trPr>
        <w:tc>
          <w:tcPr>
            <w:tcW w:w="1800" w:type="dxa"/>
            <w:vAlign w:val="bottom"/>
            <w:tcBorders>
              <w:bottom w:val="single" w:sz="8" w:color="4C4C4C"/>
            </w:tcBorders>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tcBorders>
              <w:bottom w:val="single" w:sz="8" w:color="4C4C4C"/>
            </w:tcBorders>
          </w:tcPr>
          <w:p>
            <w:pPr>
              <w:spacing w:after="0"/>
              <w:rPr>
                <w:sz w:val="5"/>
                <w:szCs w:val="5"/>
                <w:color w:val="auto"/>
              </w:rPr>
            </w:pPr>
          </w:p>
        </w:tc>
        <w:tc>
          <w:tcPr>
            <w:tcW w:w="140" w:type="dxa"/>
            <w:vAlign w:val="bottom"/>
          </w:tcPr>
          <w:p>
            <w:pPr>
              <w:spacing w:after="0"/>
              <w:rPr>
                <w:sz w:val="5"/>
                <w:szCs w:val="5"/>
                <w:color w:val="auto"/>
              </w:rPr>
            </w:pPr>
          </w:p>
        </w:tc>
        <w:tc>
          <w:tcPr>
            <w:tcW w:w="7040" w:type="dxa"/>
            <w:vAlign w:val="bottom"/>
            <w:tcBorders>
              <w:bottom w:val="single" w:sz="8" w:color="4C4C4C"/>
            </w:tcBorders>
          </w:tcPr>
          <w:p>
            <w:pPr>
              <w:spacing w:after="0"/>
              <w:rPr>
                <w:sz w:val="5"/>
                <w:szCs w:val="5"/>
                <w:color w:val="auto"/>
              </w:rPr>
            </w:pPr>
          </w:p>
        </w:tc>
      </w:tr>
    </w:tbl>
    <w:p>
      <w:pPr>
        <w:spacing w:after="0" w:line="193" w:lineRule="exact"/>
        <w:rPr>
          <w:sz w:val="20"/>
          <w:szCs w:val="20"/>
          <w:color w:val="auto"/>
        </w:rPr>
      </w:pPr>
    </w:p>
    <w:p>
      <w:pPr>
        <w:ind w:left="280" w:right="180"/>
        <w:spacing w:after="0" w:line="244" w:lineRule="auto"/>
        <w:rPr>
          <w:sz w:val="20"/>
          <w:szCs w:val="20"/>
          <w:color w:val="auto"/>
        </w:rPr>
      </w:pPr>
      <w:r>
        <w:rPr>
          <w:rFonts w:ascii="Arial" w:cs="Arial" w:eastAsia="Arial" w:hAnsi="Arial"/>
          <w:sz w:val="18"/>
          <w:szCs w:val="18"/>
          <w:color w:val="4C4C4C"/>
        </w:rPr>
        <w:t>Our 2020 LTI Awards were issued on March 1, 2020 (the “</w:t>
      </w:r>
      <w:r>
        <w:rPr>
          <w:rFonts w:ascii="Arial" w:cs="Arial" w:eastAsia="Arial" w:hAnsi="Arial"/>
          <w:sz w:val="18"/>
          <w:szCs w:val="18"/>
          <w:b w:val="1"/>
          <w:bCs w:val="1"/>
          <w:color w:val="00ADBB"/>
        </w:rPr>
        <w:t>Grant Date</w:t>
      </w:r>
      <w:r>
        <w:rPr>
          <w:rFonts w:ascii="Arial" w:cs="Arial" w:eastAsia="Arial" w:hAnsi="Arial"/>
          <w:sz w:val="18"/>
          <w:szCs w:val="18"/>
          <w:color w:val="4C4C4C"/>
        </w:rPr>
        <w:t>”). The number of RSUs and PSUs awarded were determined by multiplying the dollar amount of the 2020 LTI Award by (1) 70% in the case of PSUs for the CEO or 60% for other NEOs or (2) 30% in the case of RSUs for the CEO or 40% for other NEOs, and then dividing each product by the closing price of Brighthouse’s common stock on the Grant Date (rounded down to the nearest whole share). The following table shows each NEO’s target 2020 LTI Award based on the value (rounded) of the LTI Award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143510</wp:posOffset>
            </wp:positionV>
            <wp:extent cx="8890"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143510</wp:posOffset>
            </wp:positionV>
            <wp:extent cx="889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143510</wp:posOffset>
            </wp:positionV>
            <wp:extent cx="8255"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5660" w:type="dxa"/>
            <w:vAlign w:val="bottom"/>
            <w:shd w:val="clear" w:color="auto" w:fill="00ADBB"/>
          </w:tcPr>
          <w:p>
            <w:pPr>
              <w:ind w:left="60"/>
              <w:spacing w:after="0"/>
              <w:rPr>
                <w:sz w:val="20"/>
                <w:szCs w:val="20"/>
                <w:color w:val="auto"/>
              </w:rPr>
            </w:pPr>
            <w:r>
              <w:rPr>
                <w:rFonts w:ascii="Arial" w:cs="Arial" w:eastAsia="Arial" w:hAnsi="Arial"/>
                <w:sz w:val="18"/>
                <w:szCs w:val="18"/>
                <w:b w:val="1"/>
                <w:bCs w:val="1"/>
                <w:color w:val="FFFFFF"/>
              </w:rPr>
              <w:t>Name</w:t>
            </w:r>
          </w:p>
        </w:tc>
        <w:tc>
          <w:tcPr>
            <w:tcW w:w="1760" w:type="dxa"/>
            <w:vAlign w:val="bottom"/>
            <w:shd w:val="clear" w:color="auto" w:fill="00ADBB"/>
          </w:tcPr>
          <w:p>
            <w:pPr>
              <w:jc w:val="center"/>
              <w:ind w:left="10"/>
              <w:spacing w:after="0"/>
              <w:rPr>
                <w:sz w:val="20"/>
                <w:szCs w:val="20"/>
                <w:color w:val="auto"/>
              </w:rPr>
            </w:pPr>
            <w:r>
              <w:rPr>
                <w:rFonts w:ascii="Arial" w:cs="Arial" w:eastAsia="Arial" w:hAnsi="Arial"/>
                <w:sz w:val="18"/>
                <w:szCs w:val="18"/>
                <w:b w:val="1"/>
                <w:bCs w:val="1"/>
                <w:color w:val="FFFFFF"/>
                <w:w w:val="98"/>
              </w:rPr>
              <w:t>LTI Award Value</w:t>
            </w:r>
          </w:p>
        </w:tc>
        <w:tc>
          <w:tcPr>
            <w:tcW w:w="170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Number of PSUs</w:t>
            </w:r>
          </w:p>
        </w:tc>
        <w:tc>
          <w:tcPr>
            <w:tcW w:w="1560" w:type="dxa"/>
            <w:vAlign w:val="bottom"/>
            <w:shd w:val="clear" w:color="auto" w:fill="00ADBB"/>
          </w:tcPr>
          <w:p>
            <w:pPr>
              <w:jc w:val="center"/>
              <w:ind w:left="50"/>
              <w:spacing w:after="0"/>
              <w:rPr>
                <w:sz w:val="20"/>
                <w:szCs w:val="20"/>
                <w:color w:val="auto"/>
              </w:rPr>
            </w:pPr>
            <w:r>
              <w:rPr>
                <w:rFonts w:ascii="Arial" w:cs="Arial" w:eastAsia="Arial" w:hAnsi="Arial"/>
                <w:sz w:val="18"/>
                <w:szCs w:val="18"/>
                <w:b w:val="1"/>
                <w:bCs w:val="1"/>
                <w:color w:val="FFFFFF"/>
                <w:w w:val="99"/>
              </w:rPr>
              <w:t>Number of RSUs</w:t>
            </w:r>
          </w:p>
        </w:tc>
      </w:tr>
      <w:tr>
        <w:trPr>
          <w:trHeight w:val="270"/>
        </w:trPr>
        <w:tc>
          <w:tcPr>
            <w:tcW w:w="566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Eric Steigerwalt</w:t>
            </w:r>
          </w:p>
        </w:tc>
        <w:tc>
          <w:tcPr>
            <w:tcW w:w="1760" w:type="dxa"/>
            <w:vAlign w:val="bottom"/>
            <w:tcBorders>
              <w:bottom w:val="single" w:sz="8" w:color="4C4C4C"/>
            </w:tcBorders>
          </w:tcPr>
          <w:p>
            <w:pPr>
              <w:jc w:val="center"/>
              <w:ind w:left="10"/>
              <w:spacing w:after="0"/>
              <w:rPr>
                <w:sz w:val="20"/>
                <w:szCs w:val="20"/>
                <w:color w:val="auto"/>
              </w:rPr>
            </w:pPr>
            <w:r>
              <w:rPr>
                <w:rFonts w:ascii="Arial" w:cs="Arial" w:eastAsia="Arial" w:hAnsi="Arial"/>
                <w:sz w:val="18"/>
                <w:szCs w:val="18"/>
                <w:color w:val="4C4C4C"/>
                <w:w w:val="99"/>
              </w:rPr>
              <w:t>$4,902,500</w:t>
            </w:r>
          </w:p>
        </w:tc>
        <w:tc>
          <w:tcPr>
            <w:tcW w:w="17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8"/>
              </w:rPr>
              <w:t>95,751</w:t>
            </w:r>
          </w:p>
        </w:tc>
        <w:tc>
          <w:tcPr>
            <w:tcW w:w="1560" w:type="dxa"/>
            <w:vAlign w:val="bottom"/>
            <w:tcBorders>
              <w:bottom w:val="single" w:sz="8" w:color="4C4C4C"/>
            </w:tcBorders>
          </w:tcPr>
          <w:p>
            <w:pPr>
              <w:jc w:val="center"/>
              <w:ind w:left="50"/>
              <w:spacing w:after="0"/>
              <w:rPr>
                <w:sz w:val="20"/>
                <w:szCs w:val="20"/>
                <w:color w:val="auto"/>
              </w:rPr>
            </w:pPr>
            <w:r>
              <w:rPr>
                <w:rFonts w:ascii="Arial" w:cs="Arial" w:eastAsia="Arial" w:hAnsi="Arial"/>
                <w:sz w:val="18"/>
                <w:szCs w:val="18"/>
                <w:color w:val="4C4C4C"/>
                <w:w w:val="98"/>
              </w:rPr>
              <w:t>41,036</w:t>
            </w:r>
          </w:p>
        </w:tc>
      </w:tr>
      <w:tr>
        <w:trPr>
          <w:trHeight w:val="250"/>
        </w:trPr>
        <w:tc>
          <w:tcPr>
            <w:tcW w:w="566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Ed Spehar</w:t>
            </w:r>
          </w:p>
        </w:tc>
        <w:tc>
          <w:tcPr>
            <w:tcW w:w="1760" w:type="dxa"/>
            <w:vAlign w:val="bottom"/>
            <w:tcBorders>
              <w:bottom w:val="single" w:sz="8" w:color="4C4C4C"/>
            </w:tcBorders>
            <w:shd w:val="clear" w:color="auto" w:fill="E5F6F8"/>
          </w:tcPr>
          <w:p>
            <w:pPr>
              <w:jc w:val="center"/>
              <w:ind w:left="10"/>
              <w:spacing w:after="0"/>
              <w:rPr>
                <w:sz w:val="20"/>
                <w:szCs w:val="20"/>
                <w:color w:val="auto"/>
              </w:rPr>
            </w:pPr>
            <w:r>
              <w:rPr>
                <w:rFonts w:ascii="Arial" w:cs="Arial" w:eastAsia="Arial" w:hAnsi="Arial"/>
                <w:sz w:val="18"/>
                <w:szCs w:val="18"/>
                <w:color w:val="4C4C4C"/>
                <w:w w:val="99"/>
              </w:rPr>
              <w:t>$1,050,000</w:t>
            </w:r>
          </w:p>
        </w:tc>
        <w:tc>
          <w:tcPr>
            <w:tcW w:w="1700" w:type="dxa"/>
            <w:vAlign w:val="bottom"/>
            <w:tcBorders>
              <w:bottom w:val="single" w:sz="8" w:color="4C4C4C"/>
            </w:tcBorders>
            <w:shd w:val="clear" w:color="auto" w:fill="E5F6F8"/>
          </w:tcPr>
          <w:p>
            <w:pPr>
              <w:jc w:val="center"/>
              <w:spacing w:after="0"/>
              <w:rPr>
                <w:sz w:val="20"/>
                <w:szCs w:val="20"/>
                <w:color w:val="auto"/>
              </w:rPr>
            </w:pPr>
            <w:r>
              <w:rPr>
                <w:rFonts w:ascii="Arial" w:cs="Arial" w:eastAsia="Arial" w:hAnsi="Arial"/>
                <w:sz w:val="18"/>
                <w:szCs w:val="18"/>
                <w:color w:val="4C4C4C"/>
                <w:w w:val="98"/>
              </w:rPr>
              <w:t>17,578</w:t>
            </w:r>
          </w:p>
        </w:tc>
        <w:tc>
          <w:tcPr>
            <w:tcW w:w="1560" w:type="dxa"/>
            <w:vAlign w:val="bottom"/>
            <w:tcBorders>
              <w:bottom w:val="single" w:sz="8" w:color="4C4C4C"/>
            </w:tcBorders>
            <w:shd w:val="clear" w:color="auto" w:fill="E5F6F8"/>
          </w:tcPr>
          <w:p>
            <w:pPr>
              <w:jc w:val="center"/>
              <w:ind w:left="50"/>
              <w:spacing w:after="0"/>
              <w:rPr>
                <w:sz w:val="20"/>
                <w:szCs w:val="20"/>
                <w:color w:val="auto"/>
              </w:rPr>
            </w:pPr>
            <w:r>
              <w:rPr>
                <w:rFonts w:ascii="Arial" w:cs="Arial" w:eastAsia="Arial" w:hAnsi="Arial"/>
                <w:sz w:val="18"/>
                <w:szCs w:val="18"/>
                <w:color w:val="4C4C4C"/>
                <w:w w:val="98"/>
              </w:rPr>
              <w:t>11,718</w:t>
            </w:r>
          </w:p>
        </w:tc>
      </w:tr>
      <w:tr>
        <w:trPr>
          <w:trHeight w:val="250"/>
        </w:trPr>
        <w:tc>
          <w:tcPr>
            <w:tcW w:w="566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Christine DeBiase</w:t>
            </w:r>
          </w:p>
        </w:tc>
        <w:tc>
          <w:tcPr>
            <w:tcW w:w="1760" w:type="dxa"/>
            <w:vAlign w:val="bottom"/>
            <w:tcBorders>
              <w:bottom w:val="single" w:sz="8" w:color="4C4C4C"/>
            </w:tcBorders>
          </w:tcPr>
          <w:p>
            <w:pPr>
              <w:jc w:val="center"/>
              <w:ind w:left="10"/>
              <w:spacing w:after="0"/>
              <w:rPr>
                <w:sz w:val="20"/>
                <w:szCs w:val="20"/>
                <w:color w:val="auto"/>
              </w:rPr>
            </w:pPr>
            <w:r>
              <w:rPr>
                <w:rFonts w:ascii="Arial" w:cs="Arial" w:eastAsia="Arial" w:hAnsi="Arial"/>
                <w:sz w:val="18"/>
                <w:szCs w:val="18"/>
                <w:color w:val="4C4C4C"/>
                <w:w w:val="99"/>
              </w:rPr>
              <w:t>$1,050,000</w:t>
            </w:r>
          </w:p>
        </w:tc>
        <w:tc>
          <w:tcPr>
            <w:tcW w:w="17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8"/>
              </w:rPr>
              <w:t>17,578</w:t>
            </w:r>
          </w:p>
        </w:tc>
        <w:tc>
          <w:tcPr>
            <w:tcW w:w="1560" w:type="dxa"/>
            <w:vAlign w:val="bottom"/>
            <w:tcBorders>
              <w:bottom w:val="single" w:sz="8" w:color="4C4C4C"/>
            </w:tcBorders>
          </w:tcPr>
          <w:p>
            <w:pPr>
              <w:jc w:val="center"/>
              <w:ind w:left="50"/>
              <w:spacing w:after="0"/>
              <w:rPr>
                <w:sz w:val="20"/>
                <w:szCs w:val="20"/>
                <w:color w:val="auto"/>
              </w:rPr>
            </w:pPr>
            <w:r>
              <w:rPr>
                <w:rFonts w:ascii="Arial" w:cs="Arial" w:eastAsia="Arial" w:hAnsi="Arial"/>
                <w:sz w:val="18"/>
                <w:szCs w:val="18"/>
                <w:color w:val="4C4C4C"/>
                <w:w w:val="98"/>
              </w:rPr>
              <w:t>11,718</w:t>
            </w:r>
          </w:p>
        </w:tc>
      </w:tr>
      <w:tr>
        <w:trPr>
          <w:trHeight w:val="250"/>
        </w:trPr>
        <w:tc>
          <w:tcPr>
            <w:tcW w:w="566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Conor Murphy</w:t>
            </w:r>
          </w:p>
        </w:tc>
        <w:tc>
          <w:tcPr>
            <w:tcW w:w="1760" w:type="dxa"/>
            <w:vAlign w:val="bottom"/>
            <w:tcBorders>
              <w:bottom w:val="single" w:sz="8" w:color="4C4C4C"/>
            </w:tcBorders>
            <w:shd w:val="clear" w:color="auto" w:fill="E5F6F8"/>
          </w:tcPr>
          <w:p>
            <w:pPr>
              <w:jc w:val="center"/>
              <w:ind w:left="10"/>
              <w:spacing w:after="0"/>
              <w:rPr>
                <w:sz w:val="20"/>
                <w:szCs w:val="20"/>
                <w:color w:val="auto"/>
              </w:rPr>
            </w:pPr>
            <w:r>
              <w:rPr>
                <w:rFonts w:ascii="Arial" w:cs="Arial" w:eastAsia="Arial" w:hAnsi="Arial"/>
                <w:sz w:val="18"/>
                <w:szCs w:val="18"/>
                <w:color w:val="4C4C4C"/>
                <w:w w:val="99"/>
              </w:rPr>
              <w:t>$1,140,000</w:t>
            </w:r>
          </w:p>
        </w:tc>
        <w:tc>
          <w:tcPr>
            <w:tcW w:w="1700" w:type="dxa"/>
            <w:vAlign w:val="bottom"/>
            <w:tcBorders>
              <w:bottom w:val="single" w:sz="8" w:color="4C4C4C"/>
            </w:tcBorders>
            <w:shd w:val="clear" w:color="auto" w:fill="E5F6F8"/>
          </w:tcPr>
          <w:p>
            <w:pPr>
              <w:jc w:val="center"/>
              <w:spacing w:after="0"/>
              <w:rPr>
                <w:sz w:val="20"/>
                <w:szCs w:val="20"/>
                <w:color w:val="auto"/>
              </w:rPr>
            </w:pPr>
            <w:r>
              <w:rPr>
                <w:rFonts w:ascii="Arial" w:cs="Arial" w:eastAsia="Arial" w:hAnsi="Arial"/>
                <w:sz w:val="18"/>
                <w:szCs w:val="18"/>
                <w:color w:val="4C4C4C"/>
                <w:w w:val="98"/>
              </w:rPr>
              <w:t>19,084</w:t>
            </w:r>
          </w:p>
        </w:tc>
        <w:tc>
          <w:tcPr>
            <w:tcW w:w="1560" w:type="dxa"/>
            <w:vAlign w:val="bottom"/>
            <w:tcBorders>
              <w:bottom w:val="single" w:sz="8" w:color="4C4C4C"/>
            </w:tcBorders>
            <w:shd w:val="clear" w:color="auto" w:fill="E5F6F8"/>
          </w:tcPr>
          <w:p>
            <w:pPr>
              <w:jc w:val="center"/>
              <w:ind w:left="50"/>
              <w:spacing w:after="0"/>
              <w:rPr>
                <w:sz w:val="20"/>
                <w:szCs w:val="20"/>
                <w:color w:val="auto"/>
              </w:rPr>
            </w:pPr>
            <w:r>
              <w:rPr>
                <w:rFonts w:ascii="Arial" w:cs="Arial" w:eastAsia="Arial" w:hAnsi="Arial"/>
                <w:sz w:val="18"/>
                <w:szCs w:val="18"/>
                <w:color w:val="4C4C4C"/>
                <w:w w:val="98"/>
              </w:rPr>
              <w:t>12,723</w:t>
            </w:r>
          </w:p>
        </w:tc>
      </w:tr>
      <w:tr>
        <w:trPr>
          <w:trHeight w:val="250"/>
        </w:trPr>
        <w:tc>
          <w:tcPr>
            <w:tcW w:w="566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John Rosenthal</w:t>
            </w:r>
          </w:p>
        </w:tc>
        <w:tc>
          <w:tcPr>
            <w:tcW w:w="1760" w:type="dxa"/>
            <w:vAlign w:val="bottom"/>
            <w:tcBorders>
              <w:bottom w:val="single" w:sz="8" w:color="4C4C4C"/>
            </w:tcBorders>
          </w:tcPr>
          <w:p>
            <w:pPr>
              <w:jc w:val="center"/>
              <w:ind w:left="10"/>
              <w:spacing w:after="0"/>
              <w:rPr>
                <w:sz w:val="20"/>
                <w:szCs w:val="20"/>
                <w:color w:val="auto"/>
              </w:rPr>
            </w:pPr>
            <w:r>
              <w:rPr>
                <w:rFonts w:ascii="Arial" w:cs="Arial" w:eastAsia="Arial" w:hAnsi="Arial"/>
                <w:sz w:val="18"/>
                <w:szCs w:val="18"/>
                <w:color w:val="4C4C4C"/>
                <w:w w:val="99"/>
              </w:rPr>
              <w:t>$1,375,000</w:t>
            </w:r>
          </w:p>
        </w:tc>
        <w:tc>
          <w:tcPr>
            <w:tcW w:w="17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8"/>
              </w:rPr>
              <w:t>23,018</w:t>
            </w:r>
          </w:p>
        </w:tc>
        <w:tc>
          <w:tcPr>
            <w:tcW w:w="1560" w:type="dxa"/>
            <w:vAlign w:val="bottom"/>
            <w:tcBorders>
              <w:bottom w:val="single" w:sz="8" w:color="4C4C4C"/>
            </w:tcBorders>
          </w:tcPr>
          <w:p>
            <w:pPr>
              <w:jc w:val="center"/>
              <w:ind w:left="50"/>
              <w:spacing w:after="0"/>
              <w:rPr>
                <w:sz w:val="20"/>
                <w:szCs w:val="20"/>
                <w:color w:val="auto"/>
              </w:rPr>
            </w:pPr>
            <w:r>
              <w:rPr>
                <w:rFonts w:ascii="Arial" w:cs="Arial" w:eastAsia="Arial" w:hAnsi="Arial"/>
                <w:sz w:val="18"/>
                <w:szCs w:val="18"/>
                <w:color w:val="4C4C4C"/>
                <w:w w:val="98"/>
              </w:rPr>
              <w:t>15,345</w:t>
            </w:r>
          </w:p>
        </w:tc>
      </w:tr>
    </w:tbl>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Detailed information on the 2020 LTI Awards for each NEO is reported in the “</w:t>
      </w:r>
      <w:r>
        <w:rPr>
          <w:rFonts w:ascii="Arial" w:cs="Arial" w:eastAsia="Arial" w:hAnsi="Arial"/>
          <w:sz w:val="18"/>
          <w:szCs w:val="18"/>
          <w:color w:val="00ADBB"/>
        </w:rPr>
        <w:t>Grants of Plan-Based Awards</w:t>
      </w:r>
      <w:r>
        <w:rPr>
          <w:rFonts w:ascii="Arial" w:cs="Arial" w:eastAsia="Arial" w:hAnsi="Arial"/>
          <w:sz w:val="18"/>
          <w:szCs w:val="18"/>
          <w:color w:val="4C4C4C"/>
        </w:rPr>
        <w:t>” table.</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56 | 2021 Proxy Statement</w:t>
      </w:r>
    </w:p>
    <w:p>
      <w:pPr>
        <w:sectPr>
          <w:pgSz w:w="11900" w:h="16838" w:orient="portrait"/>
          <w:cols w:equalWidth="0" w:num="1">
            <w:col w:w="11140"/>
          </w:cols>
          <w:pgMar w:left="32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7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Compensation Discussion and Analysis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Section 2 – Our 2020 Executive Compensation Program</w:t>
      </w:r>
    </w:p>
    <w:p>
      <w:pPr>
        <w:spacing w:after="0" w:line="247" w:lineRule="exact"/>
        <w:rPr>
          <w:sz w:val="20"/>
          <w:szCs w:val="20"/>
          <w:color w:val="auto"/>
        </w:rPr>
      </w:pPr>
    </w:p>
    <w:p>
      <w:pPr>
        <w:ind w:left="120" w:right="160"/>
        <w:spacing w:after="0" w:line="234" w:lineRule="auto"/>
        <w:rPr>
          <w:sz w:val="20"/>
          <w:szCs w:val="20"/>
          <w:color w:val="auto"/>
        </w:rPr>
      </w:pPr>
      <w:r>
        <w:rPr>
          <w:rFonts w:ascii="Arial" w:cs="Arial" w:eastAsia="Arial" w:hAnsi="Arial"/>
          <w:sz w:val="18"/>
          <w:szCs w:val="18"/>
          <w:color w:val="4C4C4C"/>
        </w:rPr>
        <w:t>The 2020 PSUs will reward our NEOs for Brighthouse’s performance over the 2020-2022 performance period. The actual number of Shares issued, if any, at the end of the performance period will depend on the Company’s actual performance. This is consistent with our pay-for-performance philosophy and helps ensure that the NEOs are compensated for their contributions to the Company’s achievement of the business goals set forth in the strategic plan. In establishing the PSU compensation metrics (“</w:t>
      </w:r>
      <w:r>
        <w:rPr>
          <w:rFonts w:ascii="Arial" w:cs="Arial" w:eastAsia="Arial" w:hAnsi="Arial"/>
          <w:sz w:val="18"/>
          <w:szCs w:val="18"/>
          <w:b w:val="1"/>
          <w:bCs w:val="1"/>
          <w:color w:val="00ADBB"/>
        </w:rPr>
        <w:t>PSU Metrics</w:t>
      </w:r>
      <w:r>
        <w:rPr>
          <w:rFonts w:ascii="Arial" w:cs="Arial" w:eastAsia="Arial" w:hAnsi="Arial"/>
          <w:sz w:val="18"/>
          <w:szCs w:val="18"/>
          <w:color w:val="4C4C4C"/>
        </w:rPr>
        <w:t>”), the Compensation and Human Capital Committee was guided by the following principles:</w:t>
      </w:r>
    </w:p>
    <w:p>
      <w:pPr>
        <w:ind w:left="980" w:hanging="432"/>
        <w:spacing w:after="0" w:line="238" w:lineRule="auto"/>
        <w:tabs>
          <w:tab w:leader="none" w:pos="980" w:val="left"/>
        </w:tabs>
        <w:numPr>
          <w:ilvl w:val="0"/>
          <w:numId w:val="138"/>
        </w:numPr>
        <w:rPr>
          <w:rFonts w:ascii="Arial" w:cs="Arial" w:eastAsia="Arial" w:hAnsi="Arial"/>
          <w:sz w:val="18"/>
          <w:szCs w:val="18"/>
          <w:color w:val="4C4C4C"/>
        </w:rPr>
      </w:pPr>
      <w:r>
        <w:rPr>
          <w:rFonts w:ascii="Arial" w:cs="Arial" w:eastAsia="Arial" w:hAnsi="Arial"/>
          <w:sz w:val="18"/>
          <w:szCs w:val="18"/>
          <w:color w:val="4C4C4C"/>
        </w:rPr>
        <w:t>metrics should consist of key results-oriented financial measures that reflect the success of Brighthouse’s long-term strategy;</w:t>
      </w:r>
    </w:p>
    <w:p>
      <w:pPr>
        <w:ind w:left="980" w:hanging="432"/>
        <w:spacing w:after="0" w:line="234" w:lineRule="auto"/>
        <w:tabs>
          <w:tab w:leader="none" w:pos="980" w:val="left"/>
        </w:tabs>
        <w:numPr>
          <w:ilvl w:val="0"/>
          <w:numId w:val="138"/>
        </w:numPr>
        <w:rPr>
          <w:rFonts w:ascii="Arial" w:cs="Arial" w:eastAsia="Arial" w:hAnsi="Arial"/>
          <w:sz w:val="18"/>
          <w:szCs w:val="18"/>
          <w:color w:val="4C4C4C"/>
        </w:rPr>
      </w:pPr>
      <w:r>
        <w:rPr>
          <w:rFonts w:ascii="Arial" w:cs="Arial" w:eastAsia="Arial" w:hAnsi="Arial"/>
          <w:sz w:val="18"/>
          <w:szCs w:val="18"/>
          <w:color w:val="4C4C4C"/>
        </w:rPr>
        <w:t>metrics should be objective and measurable;</w:t>
      </w:r>
    </w:p>
    <w:p>
      <w:pPr>
        <w:ind w:left="980" w:hanging="432"/>
        <w:spacing w:after="0" w:line="234" w:lineRule="auto"/>
        <w:tabs>
          <w:tab w:leader="none" w:pos="980" w:val="left"/>
        </w:tabs>
        <w:numPr>
          <w:ilvl w:val="0"/>
          <w:numId w:val="138"/>
        </w:numPr>
        <w:rPr>
          <w:rFonts w:ascii="Arial" w:cs="Arial" w:eastAsia="Arial" w:hAnsi="Arial"/>
          <w:sz w:val="18"/>
          <w:szCs w:val="18"/>
          <w:color w:val="4C4C4C"/>
        </w:rPr>
      </w:pPr>
      <w:r>
        <w:rPr>
          <w:rFonts w:ascii="Arial" w:cs="Arial" w:eastAsia="Arial" w:hAnsi="Arial"/>
          <w:sz w:val="18"/>
          <w:szCs w:val="18"/>
          <w:color w:val="4C4C4C"/>
        </w:rPr>
        <w:t>executive officers should have the ability to directly impact Brighthouse’s performance; and</w:t>
      </w:r>
    </w:p>
    <w:p>
      <w:pPr>
        <w:ind w:left="980" w:hanging="432"/>
        <w:spacing w:after="0"/>
        <w:tabs>
          <w:tab w:leader="none" w:pos="980" w:val="left"/>
        </w:tabs>
        <w:numPr>
          <w:ilvl w:val="0"/>
          <w:numId w:val="138"/>
        </w:numPr>
        <w:rPr>
          <w:rFonts w:ascii="Arial" w:cs="Arial" w:eastAsia="Arial" w:hAnsi="Arial"/>
          <w:sz w:val="18"/>
          <w:szCs w:val="18"/>
          <w:color w:val="4C4C4C"/>
        </w:rPr>
      </w:pPr>
      <w:r>
        <w:rPr>
          <w:rFonts w:ascii="Arial" w:cs="Arial" w:eastAsia="Arial" w:hAnsi="Arial"/>
          <w:sz w:val="18"/>
          <w:szCs w:val="18"/>
          <w:color w:val="4C4C4C"/>
        </w:rPr>
        <w:t>metrics should not incent management to engage in inappropriately risky behavior.</w:t>
      </w:r>
    </w:p>
    <w:p>
      <w:pPr>
        <w:spacing w:after="0" w:line="104"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4C4C4C"/>
        </w:rPr>
        <w:t>Each PSU Metric has a threshold (payout of 50% of target value), target (100% of target value), and maximum (150% of target value) level of performance. The Compensation and Human Capital Committee believes the underlying goals for each PSU Metric are appropriately rigorous and represent a significant challenge for management to achieve. The following table presents a summary of our PSU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1740" w:type="dxa"/>
            <w:vAlign w:val="bottom"/>
            <w:tcBorders>
              <w:bottom w:val="single" w:sz="8" w:color="4C4C4C"/>
            </w:tcBorders>
          </w:tcPr>
          <w:p>
            <w:pPr>
              <w:spacing w:after="0"/>
              <w:rPr>
                <w:sz w:val="20"/>
                <w:szCs w:val="20"/>
                <w:color w:val="auto"/>
              </w:rPr>
            </w:pPr>
            <w:r>
              <w:rPr>
                <w:rFonts w:ascii="Arial" w:cs="Arial" w:eastAsia="Arial" w:hAnsi="Arial"/>
                <w:sz w:val="18"/>
                <w:szCs w:val="18"/>
                <w:b w:val="1"/>
                <w:bCs w:val="1"/>
                <w:color w:val="00ADBB"/>
              </w:rPr>
              <w:t>2020 PSU Metrics</w:t>
            </w:r>
          </w:p>
        </w:tc>
        <w:tc>
          <w:tcPr>
            <w:tcW w:w="160" w:type="dxa"/>
            <w:vAlign w:val="bottom"/>
          </w:tcPr>
          <w:p>
            <w:pPr>
              <w:spacing w:after="0"/>
              <w:rPr>
                <w:sz w:val="21"/>
                <w:szCs w:val="21"/>
                <w:color w:val="auto"/>
              </w:rPr>
            </w:pPr>
          </w:p>
        </w:tc>
        <w:tc>
          <w:tcPr>
            <w:tcW w:w="1040" w:type="dxa"/>
            <w:vAlign w:val="bottom"/>
            <w:tcBorders>
              <w:bottom w:val="single" w:sz="8" w:color="4C4C4C"/>
            </w:tcBorders>
          </w:tcPr>
          <w:p>
            <w:pPr>
              <w:jc w:val="right"/>
              <w:ind w:right="30"/>
              <w:spacing w:after="0"/>
              <w:rPr>
                <w:sz w:val="20"/>
                <w:szCs w:val="20"/>
                <w:color w:val="auto"/>
              </w:rPr>
            </w:pPr>
            <w:r>
              <w:rPr>
                <w:rFonts w:ascii="Arial" w:cs="Arial" w:eastAsia="Arial" w:hAnsi="Arial"/>
                <w:sz w:val="18"/>
                <w:szCs w:val="18"/>
                <w:b w:val="1"/>
                <w:bCs w:val="1"/>
                <w:color w:val="00ADBB"/>
              </w:rPr>
              <w:t>Weighting</w:t>
            </w:r>
          </w:p>
        </w:tc>
        <w:tc>
          <w:tcPr>
            <w:tcW w:w="160" w:type="dxa"/>
            <w:vAlign w:val="bottom"/>
          </w:tcPr>
          <w:p>
            <w:pPr>
              <w:spacing w:after="0"/>
              <w:rPr>
                <w:sz w:val="21"/>
                <w:szCs w:val="21"/>
                <w:color w:val="auto"/>
              </w:rPr>
            </w:pPr>
          </w:p>
        </w:tc>
        <w:tc>
          <w:tcPr>
            <w:tcW w:w="3820" w:type="dxa"/>
            <w:vAlign w:val="bottom"/>
            <w:tcBorders>
              <w:bottom w:val="single" w:sz="8" w:color="4C4C4C"/>
            </w:tcBorders>
          </w:tcPr>
          <w:p>
            <w:pPr>
              <w:ind w:left="100"/>
              <w:spacing w:after="0"/>
              <w:rPr>
                <w:sz w:val="20"/>
                <w:szCs w:val="20"/>
                <w:color w:val="auto"/>
              </w:rPr>
            </w:pPr>
            <w:r>
              <w:rPr>
                <w:rFonts w:ascii="Arial" w:cs="Arial" w:eastAsia="Arial" w:hAnsi="Arial"/>
                <w:sz w:val="18"/>
                <w:szCs w:val="18"/>
                <w:b w:val="1"/>
                <w:bCs w:val="1"/>
                <w:color w:val="00ADBB"/>
              </w:rPr>
              <w:t>Definition</w:t>
            </w: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4C4C4C"/>
              </w:rPr>
              <w:t>Statutory Expense</w:t>
            </w:r>
          </w:p>
        </w:tc>
        <w:tc>
          <w:tcPr>
            <w:tcW w:w="1040" w:type="dxa"/>
            <w:vAlign w:val="bottom"/>
          </w:tcPr>
          <w:p>
            <w:pPr>
              <w:jc w:val="right"/>
              <w:ind w:right="230"/>
              <w:spacing w:after="0"/>
              <w:rPr>
                <w:sz w:val="20"/>
                <w:szCs w:val="20"/>
                <w:color w:val="auto"/>
              </w:rPr>
            </w:pPr>
            <w:r>
              <w:rPr>
                <w:rFonts w:ascii="Arial" w:cs="Arial" w:eastAsia="Arial" w:hAnsi="Arial"/>
                <w:sz w:val="18"/>
                <w:szCs w:val="18"/>
                <w:color w:val="4C4C4C"/>
              </w:rPr>
              <w:t>60%</w:t>
            </w:r>
          </w:p>
        </w:tc>
        <w:tc>
          <w:tcPr>
            <w:tcW w:w="160" w:type="dxa"/>
            <w:vAlign w:val="bottom"/>
          </w:tcPr>
          <w:p>
            <w:pPr>
              <w:spacing w:after="0"/>
              <w:rPr>
                <w:sz w:val="20"/>
                <w:szCs w:val="20"/>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4C4C4C"/>
              </w:rPr>
              <w:t>Statutory expense ratio is calculated by</w:t>
            </w:r>
          </w:p>
        </w:tc>
      </w:tr>
      <w:tr>
        <w:trPr>
          <w:trHeight w:val="224"/>
        </w:trPr>
        <w:tc>
          <w:tcPr>
            <w:tcW w:w="1900" w:type="dxa"/>
            <w:vAlign w:val="bottom"/>
            <w:gridSpan w:val="2"/>
          </w:tcPr>
          <w:p>
            <w:pPr>
              <w:spacing w:after="0"/>
              <w:rPr>
                <w:sz w:val="20"/>
                <w:szCs w:val="20"/>
                <w:color w:val="auto"/>
              </w:rPr>
            </w:pPr>
            <w:r>
              <w:rPr>
                <w:rFonts w:ascii="Arial" w:cs="Arial" w:eastAsia="Arial" w:hAnsi="Arial"/>
                <w:sz w:val="18"/>
                <w:szCs w:val="18"/>
                <w:b w:val="1"/>
                <w:bCs w:val="1"/>
                <w:color w:val="4C4C4C"/>
              </w:rPr>
              <w:t>Ratio</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4C4C4C"/>
              </w:rPr>
              <w:t>dividing expenses by direct premiums,</w:t>
            </w:r>
          </w:p>
        </w:tc>
      </w:tr>
      <w:tr>
        <w:trPr>
          <w:trHeight w:val="203"/>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ind w:left="100"/>
              <w:spacing w:after="0" w:line="202" w:lineRule="exact"/>
              <w:rPr>
                <w:sz w:val="20"/>
                <w:szCs w:val="20"/>
                <w:color w:val="auto"/>
              </w:rPr>
            </w:pPr>
            <w:r>
              <w:rPr>
                <w:rFonts w:ascii="Arial" w:cs="Arial" w:eastAsia="Arial" w:hAnsi="Arial"/>
                <w:sz w:val="18"/>
                <w:szCs w:val="18"/>
                <w:color w:val="4C4C4C"/>
              </w:rPr>
              <w:t>assumed premiums (from sales of our fixed</w:t>
            </w:r>
          </w:p>
        </w:tc>
      </w:tr>
      <w:tr>
        <w:trPr>
          <w:trHeight w:val="203"/>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ind w:left="100"/>
              <w:spacing w:after="0" w:line="202" w:lineRule="exact"/>
              <w:rPr>
                <w:sz w:val="20"/>
                <w:szCs w:val="20"/>
                <w:color w:val="auto"/>
              </w:rPr>
            </w:pPr>
            <w:r>
              <w:rPr>
                <w:rFonts w:ascii="Arial" w:cs="Arial" w:eastAsia="Arial" w:hAnsi="Arial"/>
                <w:sz w:val="18"/>
                <w:szCs w:val="18"/>
                <w:color w:val="4C4C4C"/>
              </w:rPr>
              <w:t>indexed annuities sold by MassMutual) and</w:t>
            </w:r>
          </w:p>
        </w:tc>
      </w:tr>
      <w:tr>
        <w:trPr>
          <w:trHeight w:val="203"/>
        </w:trPr>
        <w:tc>
          <w:tcPr>
            <w:tcW w:w="1740" w:type="dxa"/>
            <w:vAlign w:val="bottom"/>
            <w:tcBorders>
              <w:bottom w:val="single" w:sz="8" w:color="4C4C4C"/>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4C4C4C"/>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bottom w:val="single" w:sz="8" w:color="4C4C4C"/>
            </w:tcBorders>
          </w:tcPr>
          <w:p>
            <w:pPr>
              <w:ind w:left="100"/>
              <w:spacing w:after="0" w:line="203" w:lineRule="exact"/>
              <w:rPr>
                <w:sz w:val="20"/>
                <w:szCs w:val="20"/>
                <w:color w:val="auto"/>
              </w:rPr>
            </w:pPr>
            <w:r>
              <w:rPr>
                <w:rFonts w:ascii="Arial" w:cs="Arial" w:eastAsia="Arial" w:hAnsi="Arial"/>
                <w:sz w:val="18"/>
                <w:szCs w:val="18"/>
                <w:color w:val="4C4C4C"/>
              </w:rPr>
              <w:t>fee income.</w:t>
            </w:r>
          </w:p>
        </w:tc>
      </w:tr>
      <w:tr>
        <w:trPr>
          <w:trHeight w:val="227"/>
        </w:trPr>
        <w:tc>
          <w:tcPr>
            <w:tcW w:w="1900" w:type="dxa"/>
            <w:vAlign w:val="bottom"/>
            <w:gridSpan w:val="2"/>
          </w:tcPr>
          <w:p>
            <w:pPr>
              <w:spacing w:after="0"/>
              <w:rPr>
                <w:sz w:val="20"/>
                <w:szCs w:val="20"/>
                <w:color w:val="auto"/>
              </w:rPr>
            </w:pPr>
            <w:r>
              <w:rPr>
                <w:rFonts w:ascii="Arial" w:cs="Arial" w:eastAsia="Arial" w:hAnsi="Arial"/>
                <w:sz w:val="18"/>
                <w:szCs w:val="18"/>
                <w:b w:val="1"/>
                <w:bCs w:val="1"/>
                <w:color w:val="4C4C4C"/>
              </w:rPr>
              <w:t>Net Cash Flow to</w:t>
            </w:r>
          </w:p>
        </w:tc>
        <w:tc>
          <w:tcPr>
            <w:tcW w:w="1040" w:type="dxa"/>
            <w:vAlign w:val="bottom"/>
          </w:tcPr>
          <w:p>
            <w:pPr>
              <w:jc w:val="right"/>
              <w:ind w:right="230"/>
              <w:spacing w:after="0"/>
              <w:rPr>
                <w:sz w:val="20"/>
                <w:szCs w:val="20"/>
                <w:color w:val="auto"/>
              </w:rPr>
            </w:pPr>
            <w:r>
              <w:rPr>
                <w:rFonts w:ascii="Arial" w:cs="Arial" w:eastAsia="Arial" w:hAnsi="Arial"/>
                <w:sz w:val="18"/>
                <w:szCs w:val="18"/>
                <w:color w:val="4C4C4C"/>
              </w:rPr>
              <w:t>40%</w:t>
            </w:r>
          </w:p>
        </w:tc>
        <w:tc>
          <w:tcPr>
            <w:tcW w:w="16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4C4C4C"/>
              </w:rPr>
              <w:t>Net cash flow to the holding company</w:t>
            </w:r>
          </w:p>
        </w:tc>
      </w:tr>
      <w:tr>
        <w:trPr>
          <w:trHeight w:val="203"/>
        </w:trPr>
        <w:tc>
          <w:tcPr>
            <w:tcW w:w="1900" w:type="dxa"/>
            <w:vAlign w:val="bottom"/>
            <w:gridSpan w:val="2"/>
          </w:tcPr>
          <w:p>
            <w:pPr>
              <w:spacing w:after="0" w:line="202" w:lineRule="exact"/>
              <w:rPr>
                <w:sz w:val="20"/>
                <w:szCs w:val="20"/>
                <w:color w:val="auto"/>
              </w:rPr>
            </w:pPr>
            <w:r>
              <w:rPr>
                <w:rFonts w:ascii="Arial" w:cs="Arial" w:eastAsia="Arial" w:hAnsi="Arial"/>
                <w:sz w:val="18"/>
                <w:szCs w:val="18"/>
                <w:b w:val="1"/>
                <w:bCs w:val="1"/>
                <w:color w:val="4C4C4C"/>
              </w:rPr>
              <w:t>the Holding</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ind w:left="100"/>
              <w:spacing w:after="0" w:line="202" w:lineRule="exact"/>
              <w:rPr>
                <w:sz w:val="20"/>
                <w:szCs w:val="20"/>
                <w:color w:val="auto"/>
              </w:rPr>
            </w:pPr>
            <w:r>
              <w:rPr>
                <w:rFonts w:ascii="Arial" w:cs="Arial" w:eastAsia="Arial" w:hAnsi="Arial"/>
                <w:sz w:val="18"/>
                <w:szCs w:val="18"/>
                <w:color w:val="4C4C4C"/>
              </w:rPr>
              <w:t>measures capital distributions from</w:t>
            </w:r>
          </w:p>
        </w:tc>
      </w:tr>
      <w:tr>
        <w:trPr>
          <w:trHeight w:val="206"/>
        </w:trPr>
        <w:tc>
          <w:tcPr>
            <w:tcW w:w="1900" w:type="dxa"/>
            <w:vAlign w:val="bottom"/>
            <w:gridSpan w:val="2"/>
          </w:tcPr>
          <w:p>
            <w:pPr>
              <w:spacing w:after="0"/>
              <w:rPr>
                <w:sz w:val="20"/>
                <w:szCs w:val="20"/>
                <w:color w:val="auto"/>
              </w:rPr>
            </w:pPr>
            <w:r>
              <w:rPr>
                <w:rFonts w:ascii="Arial" w:cs="Arial" w:eastAsia="Arial" w:hAnsi="Arial"/>
                <w:sz w:val="18"/>
                <w:szCs w:val="18"/>
                <w:b w:val="1"/>
                <w:bCs w:val="1"/>
                <w:color w:val="4C4C4C"/>
              </w:rPr>
              <w:t>Company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ind w:left="100"/>
              <w:spacing w:after="0"/>
              <w:rPr>
                <w:sz w:val="20"/>
                <w:szCs w:val="20"/>
                <w:color w:val="auto"/>
              </w:rPr>
            </w:pPr>
            <w:r>
              <w:rPr>
                <w:rFonts w:ascii="Arial" w:cs="Arial" w:eastAsia="Arial" w:hAnsi="Arial"/>
                <w:sz w:val="18"/>
                <w:szCs w:val="18"/>
                <w:color w:val="4C4C4C"/>
              </w:rPr>
              <w:t>Brighthouse’s operating companies.</w:t>
            </w:r>
          </w:p>
        </w:tc>
      </w:tr>
      <w:tr>
        <w:trPr>
          <w:trHeight w:val="235"/>
        </w:trPr>
        <w:tc>
          <w:tcPr>
            <w:tcW w:w="1900" w:type="dxa"/>
            <w:vAlign w:val="bottom"/>
            <w:gridSpan w:val="2"/>
          </w:tcPr>
          <w:p>
            <w:pPr>
              <w:spacing w:after="0"/>
              <w:rPr>
                <w:sz w:val="20"/>
                <w:szCs w:val="20"/>
                <w:color w:val="auto"/>
              </w:rPr>
            </w:pPr>
            <w:r>
              <w:rPr>
                <w:rFonts w:ascii="Arial" w:cs="Arial" w:eastAsia="Arial" w:hAnsi="Arial"/>
                <w:sz w:val="18"/>
                <w:szCs w:val="18"/>
                <w:i w:val="1"/>
                <w:iCs w:val="1"/>
                <w:color w:val="4C4C4C"/>
              </w:rPr>
              <w:t>(new for 2020)</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43973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24942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4C4C4C"/>
        </w:rPr>
        <w:t>Measures both expense management and sales growth, two of our key strategic drivers, as presented in our statutory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24942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4C4C4C"/>
        </w:rPr>
        <w:t>Key metric that measures our cash flow, which strengthens our balance sheet and provides management with flexibility to deploy our capital for various purposes, including return of capital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24942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280"/>
            <w:col w:w="3820"/>
          </w:cols>
          <w:pgMar w:left="320" w:top="459" w:right="439" w:bottom="1440" w:gutter="0" w:footer="0" w:header="0"/>
          <w:type w:val="continuous"/>
        </w:sectPr>
      </w:pPr>
    </w:p>
    <w:p>
      <w:pPr>
        <w:spacing w:after="0" w:line="16"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4C4C4C"/>
        </w:rPr>
        <w:t>The treatment of outstanding equity awards upon a termination of employment or a change of control is described below under the heading “</w:t>
      </w:r>
      <w:r>
        <w:rPr>
          <w:rFonts w:ascii="Arial" w:cs="Arial" w:eastAsia="Arial" w:hAnsi="Arial"/>
          <w:sz w:val="18"/>
          <w:szCs w:val="18"/>
          <w:color w:val="00ADBB"/>
        </w:rPr>
        <w:t>Potential Payments Upon Termination or Change in Control</w:t>
      </w:r>
      <w:r>
        <w:rPr>
          <w:rFonts w:ascii="Arial" w:cs="Arial" w:eastAsia="Arial" w:hAnsi="Arial"/>
          <w:sz w:val="18"/>
          <w:szCs w:val="18"/>
          <w:color w:val="4C4C4C"/>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2018 PSU Payouts</w:t>
      </w:r>
    </w:p>
    <w:p>
      <w:pPr>
        <w:spacing w:after="0" w:line="13" w:lineRule="exact"/>
        <w:rPr>
          <w:sz w:val="20"/>
          <w:szCs w:val="20"/>
          <w:color w:val="auto"/>
        </w:rPr>
      </w:pPr>
    </w:p>
    <w:p>
      <w:pPr>
        <w:ind w:left="120" w:right="200"/>
        <w:spacing w:after="0"/>
        <w:rPr>
          <w:sz w:val="20"/>
          <w:szCs w:val="20"/>
          <w:color w:val="auto"/>
        </w:rPr>
      </w:pPr>
      <w:r>
        <w:rPr>
          <w:rFonts w:ascii="Arial" w:cs="Arial" w:eastAsia="Arial" w:hAnsi="Arial"/>
          <w:sz w:val="18"/>
          <w:szCs w:val="18"/>
          <w:color w:val="4C4C4C"/>
        </w:rPr>
        <w:t>In February 2021, the NEOs received payouts with respect to PSUs granted in 2018 as part of the 2018 LTI program. The value of these PSUs was based on the Company’s performance for the 2018-2020 performance period against PSU metrics approved by the Compensation and Human Capital Committee, as described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120" w:type="dxa"/>
            <w:vAlign w:val="bottom"/>
            <w:shd w:val="clear" w:color="auto" w:fill="00ADBB"/>
          </w:tcPr>
          <w:p>
            <w:pPr>
              <w:spacing w:after="0"/>
              <w:rPr>
                <w:sz w:val="18"/>
                <w:szCs w:val="18"/>
                <w:color w:val="auto"/>
              </w:rPr>
            </w:pPr>
          </w:p>
        </w:tc>
        <w:tc>
          <w:tcPr>
            <w:tcW w:w="120" w:type="dxa"/>
            <w:vAlign w:val="bottom"/>
            <w:shd w:val="clear" w:color="auto" w:fill="00ADBB"/>
          </w:tcPr>
          <w:p>
            <w:pPr>
              <w:spacing w:after="0"/>
              <w:rPr>
                <w:sz w:val="18"/>
                <w:szCs w:val="18"/>
                <w:color w:val="auto"/>
              </w:rPr>
            </w:pPr>
          </w:p>
        </w:tc>
        <w:tc>
          <w:tcPr>
            <w:tcW w:w="2900" w:type="dxa"/>
            <w:vAlign w:val="bottom"/>
            <w:gridSpan w:val="3"/>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Payout Level</w:t>
            </w:r>
          </w:p>
        </w:tc>
        <w:tc>
          <w:tcPr>
            <w:tcW w:w="120" w:type="dxa"/>
            <w:vAlign w:val="bottom"/>
            <w:shd w:val="clear" w:color="auto" w:fill="00ADBB"/>
          </w:tcPr>
          <w:p>
            <w:pPr>
              <w:spacing w:after="0"/>
              <w:rPr>
                <w:sz w:val="18"/>
                <w:szCs w:val="18"/>
                <w:color w:val="auto"/>
              </w:rPr>
            </w:pPr>
          </w:p>
        </w:tc>
        <w:tc>
          <w:tcPr>
            <w:tcW w:w="280" w:type="dxa"/>
            <w:vAlign w:val="bottom"/>
            <w:shd w:val="clear" w:color="auto" w:fill="00ADBB"/>
          </w:tcPr>
          <w:p>
            <w:pPr>
              <w:spacing w:after="0"/>
              <w:rPr>
                <w:sz w:val="18"/>
                <w:szCs w:val="18"/>
                <w:color w:val="auto"/>
              </w:rPr>
            </w:pPr>
          </w:p>
        </w:tc>
        <w:tc>
          <w:tcPr>
            <w:tcW w:w="780" w:type="dxa"/>
            <w:vAlign w:val="bottom"/>
            <w:shd w:val="clear" w:color="auto" w:fill="00ADBB"/>
          </w:tcPr>
          <w:p>
            <w:pPr>
              <w:spacing w:after="0"/>
              <w:rPr>
                <w:sz w:val="18"/>
                <w:szCs w:val="18"/>
                <w:color w:val="auto"/>
              </w:rPr>
            </w:pPr>
          </w:p>
        </w:tc>
        <w:tc>
          <w:tcPr>
            <w:tcW w:w="120" w:type="dxa"/>
            <w:vAlign w:val="bottom"/>
            <w:shd w:val="clear" w:color="auto" w:fill="00ADBB"/>
          </w:tcPr>
          <w:p>
            <w:pPr>
              <w:spacing w:after="0"/>
              <w:rPr>
                <w:sz w:val="18"/>
                <w:szCs w:val="18"/>
                <w:color w:val="auto"/>
              </w:rPr>
            </w:pPr>
          </w:p>
        </w:tc>
        <w:tc>
          <w:tcPr>
            <w:tcW w:w="2080" w:type="dxa"/>
            <w:vAlign w:val="bottom"/>
            <w:shd w:val="clear" w:color="auto" w:fill="00ADBB"/>
          </w:tcPr>
          <w:p>
            <w:pPr>
              <w:spacing w:after="0"/>
              <w:rPr>
                <w:sz w:val="18"/>
                <w:szCs w:val="18"/>
                <w:color w:val="auto"/>
              </w:rPr>
            </w:pPr>
          </w:p>
        </w:tc>
        <w:tc>
          <w:tcPr>
            <w:tcW w:w="120" w:type="dxa"/>
            <w:vAlign w:val="bottom"/>
            <w:shd w:val="clear" w:color="auto" w:fill="00ADBB"/>
          </w:tcPr>
          <w:p>
            <w:pPr>
              <w:spacing w:after="0"/>
              <w:rPr>
                <w:sz w:val="18"/>
                <w:szCs w:val="18"/>
                <w:color w:val="auto"/>
              </w:rPr>
            </w:pPr>
          </w:p>
        </w:tc>
        <w:tc>
          <w:tcPr>
            <w:tcW w:w="1380" w:type="dxa"/>
            <w:vAlign w:val="bottom"/>
            <w:shd w:val="clear" w:color="auto" w:fill="00ADBB"/>
          </w:tcPr>
          <w:p>
            <w:pPr>
              <w:spacing w:after="0"/>
              <w:rPr>
                <w:sz w:val="18"/>
                <w:szCs w:val="18"/>
                <w:color w:val="auto"/>
              </w:rPr>
            </w:pPr>
          </w:p>
        </w:tc>
      </w:tr>
      <w:tr>
        <w:trPr>
          <w:trHeight w:val="193"/>
        </w:trPr>
        <w:tc>
          <w:tcPr>
            <w:tcW w:w="3120" w:type="dxa"/>
            <w:vAlign w:val="bottom"/>
            <w:shd w:val="clear" w:color="auto" w:fill="00ADBB"/>
          </w:tcPr>
          <w:p>
            <w:pPr>
              <w:spacing w:after="0"/>
              <w:rPr>
                <w:sz w:val="16"/>
                <w:szCs w:val="16"/>
                <w:color w:val="auto"/>
              </w:rPr>
            </w:pPr>
          </w:p>
        </w:tc>
        <w:tc>
          <w:tcPr>
            <w:tcW w:w="120" w:type="dxa"/>
            <w:vAlign w:val="bottom"/>
            <w:shd w:val="clear" w:color="auto" w:fill="00ADBB"/>
          </w:tcPr>
          <w:p>
            <w:pPr>
              <w:spacing w:after="0"/>
              <w:rPr>
                <w:sz w:val="16"/>
                <w:szCs w:val="16"/>
                <w:color w:val="auto"/>
              </w:rPr>
            </w:pPr>
          </w:p>
        </w:tc>
        <w:tc>
          <w:tcPr>
            <w:tcW w:w="1060" w:type="dxa"/>
            <w:vAlign w:val="bottom"/>
            <w:shd w:val="clear" w:color="auto" w:fill="00ADBB"/>
          </w:tcPr>
          <w:p>
            <w:pPr>
              <w:jc w:val="center"/>
              <w:spacing w:after="0" w:line="193" w:lineRule="exact"/>
              <w:rPr>
                <w:sz w:val="20"/>
                <w:szCs w:val="20"/>
                <w:color w:val="auto"/>
              </w:rPr>
            </w:pPr>
            <w:r>
              <w:rPr>
                <w:rFonts w:ascii="Arial" w:cs="Arial" w:eastAsia="Arial" w:hAnsi="Arial"/>
                <w:sz w:val="18"/>
                <w:szCs w:val="18"/>
                <w:b w:val="1"/>
                <w:bCs w:val="1"/>
                <w:color w:val="FFFFFF"/>
                <w:w w:val="98"/>
              </w:rPr>
              <w:t>Threshold</w:t>
            </w:r>
          </w:p>
        </w:tc>
        <w:tc>
          <w:tcPr>
            <w:tcW w:w="820" w:type="dxa"/>
            <w:vAlign w:val="bottom"/>
            <w:shd w:val="clear" w:color="auto" w:fill="00ADBB"/>
          </w:tcPr>
          <w:p>
            <w:pPr>
              <w:jc w:val="center"/>
              <w:spacing w:after="0" w:line="193" w:lineRule="exact"/>
              <w:rPr>
                <w:sz w:val="20"/>
                <w:szCs w:val="20"/>
                <w:color w:val="auto"/>
              </w:rPr>
            </w:pPr>
            <w:r>
              <w:rPr>
                <w:rFonts w:ascii="Arial" w:cs="Arial" w:eastAsia="Arial" w:hAnsi="Arial"/>
                <w:sz w:val="18"/>
                <w:szCs w:val="18"/>
                <w:b w:val="1"/>
                <w:bCs w:val="1"/>
                <w:color w:val="FFFFFF"/>
                <w:w w:val="98"/>
              </w:rPr>
              <w:t>Target</w:t>
            </w:r>
          </w:p>
        </w:tc>
        <w:tc>
          <w:tcPr>
            <w:tcW w:w="1020" w:type="dxa"/>
            <w:vAlign w:val="bottom"/>
            <w:shd w:val="clear" w:color="auto" w:fill="00ADBB"/>
          </w:tcPr>
          <w:p>
            <w:pPr>
              <w:jc w:val="center"/>
              <w:spacing w:after="0" w:line="193" w:lineRule="exact"/>
              <w:rPr>
                <w:sz w:val="20"/>
                <w:szCs w:val="20"/>
                <w:color w:val="auto"/>
              </w:rPr>
            </w:pPr>
            <w:r>
              <w:rPr>
                <w:rFonts w:ascii="Arial" w:cs="Arial" w:eastAsia="Arial" w:hAnsi="Arial"/>
                <w:sz w:val="18"/>
                <w:szCs w:val="18"/>
                <w:b w:val="1"/>
                <w:bCs w:val="1"/>
                <w:color w:val="FFFFFF"/>
              </w:rPr>
              <w:t>Maximum</w:t>
            </w:r>
          </w:p>
        </w:tc>
        <w:tc>
          <w:tcPr>
            <w:tcW w:w="120" w:type="dxa"/>
            <w:vAlign w:val="bottom"/>
            <w:shd w:val="clear" w:color="auto" w:fill="00ADBB"/>
          </w:tcPr>
          <w:p>
            <w:pPr>
              <w:spacing w:after="0"/>
              <w:rPr>
                <w:sz w:val="16"/>
                <w:szCs w:val="16"/>
                <w:color w:val="auto"/>
              </w:rPr>
            </w:pPr>
          </w:p>
        </w:tc>
        <w:tc>
          <w:tcPr>
            <w:tcW w:w="280" w:type="dxa"/>
            <w:vAlign w:val="bottom"/>
            <w:shd w:val="clear" w:color="auto" w:fill="00ADBB"/>
          </w:tcPr>
          <w:p>
            <w:pPr>
              <w:spacing w:after="0"/>
              <w:rPr>
                <w:sz w:val="16"/>
                <w:szCs w:val="16"/>
                <w:color w:val="auto"/>
              </w:rPr>
            </w:pPr>
          </w:p>
        </w:tc>
        <w:tc>
          <w:tcPr>
            <w:tcW w:w="780" w:type="dxa"/>
            <w:vAlign w:val="bottom"/>
            <w:shd w:val="clear" w:color="auto" w:fill="00ADBB"/>
          </w:tcPr>
          <w:p>
            <w:pPr>
              <w:spacing w:after="0"/>
              <w:rPr>
                <w:sz w:val="16"/>
                <w:szCs w:val="16"/>
                <w:color w:val="auto"/>
              </w:rPr>
            </w:pPr>
          </w:p>
        </w:tc>
        <w:tc>
          <w:tcPr>
            <w:tcW w:w="120" w:type="dxa"/>
            <w:vAlign w:val="bottom"/>
            <w:shd w:val="clear" w:color="auto" w:fill="00ADBB"/>
          </w:tcPr>
          <w:p>
            <w:pPr>
              <w:spacing w:after="0"/>
              <w:rPr>
                <w:sz w:val="16"/>
                <w:szCs w:val="16"/>
                <w:color w:val="auto"/>
              </w:rPr>
            </w:pPr>
          </w:p>
        </w:tc>
        <w:tc>
          <w:tcPr>
            <w:tcW w:w="2080" w:type="dxa"/>
            <w:vAlign w:val="bottom"/>
            <w:shd w:val="clear" w:color="auto" w:fill="00ADBB"/>
          </w:tcPr>
          <w:p>
            <w:pPr>
              <w:spacing w:after="0"/>
              <w:rPr>
                <w:sz w:val="16"/>
                <w:szCs w:val="16"/>
                <w:color w:val="auto"/>
              </w:rPr>
            </w:pPr>
          </w:p>
        </w:tc>
        <w:tc>
          <w:tcPr>
            <w:tcW w:w="120" w:type="dxa"/>
            <w:vAlign w:val="bottom"/>
            <w:shd w:val="clear" w:color="auto" w:fill="00ADBB"/>
          </w:tcPr>
          <w:p>
            <w:pPr>
              <w:spacing w:after="0"/>
              <w:rPr>
                <w:sz w:val="16"/>
                <w:szCs w:val="16"/>
                <w:color w:val="auto"/>
              </w:rPr>
            </w:pPr>
          </w:p>
        </w:tc>
        <w:tc>
          <w:tcPr>
            <w:tcW w:w="1380" w:type="dxa"/>
            <w:vAlign w:val="bottom"/>
            <w:shd w:val="clear" w:color="auto" w:fill="00ADBB"/>
          </w:tcPr>
          <w:p>
            <w:pPr>
              <w:spacing w:after="0"/>
              <w:rPr>
                <w:sz w:val="16"/>
                <w:szCs w:val="16"/>
                <w:color w:val="auto"/>
              </w:rPr>
            </w:pPr>
          </w:p>
        </w:tc>
      </w:tr>
      <w:tr>
        <w:trPr>
          <w:trHeight w:val="203"/>
        </w:trPr>
        <w:tc>
          <w:tcPr>
            <w:tcW w:w="3120" w:type="dxa"/>
            <w:vAlign w:val="bottom"/>
            <w:shd w:val="clear" w:color="auto" w:fill="00ADBB"/>
          </w:tcPr>
          <w:p>
            <w:pPr>
              <w:spacing w:after="0"/>
              <w:rPr>
                <w:sz w:val="17"/>
                <w:szCs w:val="17"/>
                <w:color w:val="auto"/>
              </w:rPr>
            </w:pPr>
          </w:p>
        </w:tc>
        <w:tc>
          <w:tcPr>
            <w:tcW w:w="120" w:type="dxa"/>
            <w:vAlign w:val="bottom"/>
            <w:shd w:val="clear" w:color="auto" w:fill="00ADBB"/>
          </w:tcPr>
          <w:p>
            <w:pPr>
              <w:spacing w:after="0"/>
              <w:rPr>
                <w:sz w:val="17"/>
                <w:szCs w:val="17"/>
                <w:color w:val="auto"/>
              </w:rPr>
            </w:pPr>
          </w:p>
        </w:tc>
        <w:tc>
          <w:tcPr>
            <w:tcW w:w="1060" w:type="dxa"/>
            <w:vAlign w:val="bottom"/>
            <w:shd w:val="clear" w:color="auto" w:fill="00ADBB"/>
          </w:tcPr>
          <w:p>
            <w:pPr>
              <w:jc w:val="center"/>
              <w:spacing w:after="0" w:line="202" w:lineRule="exact"/>
              <w:rPr>
                <w:sz w:val="20"/>
                <w:szCs w:val="20"/>
                <w:color w:val="auto"/>
              </w:rPr>
            </w:pPr>
            <w:r>
              <w:rPr>
                <w:rFonts w:ascii="Arial" w:cs="Arial" w:eastAsia="Arial" w:hAnsi="Arial"/>
                <w:sz w:val="18"/>
                <w:szCs w:val="18"/>
                <w:b w:val="1"/>
                <w:bCs w:val="1"/>
                <w:color w:val="FFFFFF"/>
                <w:w w:val="99"/>
              </w:rPr>
              <w:t>(50%</w:t>
            </w:r>
          </w:p>
        </w:tc>
        <w:tc>
          <w:tcPr>
            <w:tcW w:w="820" w:type="dxa"/>
            <w:vAlign w:val="bottom"/>
            <w:shd w:val="clear" w:color="auto" w:fill="00ADBB"/>
          </w:tcPr>
          <w:p>
            <w:pPr>
              <w:jc w:val="center"/>
              <w:spacing w:after="0" w:line="202" w:lineRule="exact"/>
              <w:rPr>
                <w:sz w:val="20"/>
                <w:szCs w:val="20"/>
                <w:color w:val="auto"/>
              </w:rPr>
            </w:pPr>
            <w:r>
              <w:rPr>
                <w:rFonts w:ascii="Arial" w:cs="Arial" w:eastAsia="Arial" w:hAnsi="Arial"/>
                <w:sz w:val="18"/>
                <w:szCs w:val="18"/>
                <w:b w:val="1"/>
                <w:bCs w:val="1"/>
                <w:color w:val="FFFFFF"/>
                <w:w w:val="99"/>
              </w:rPr>
              <w:t>(100%</w:t>
            </w:r>
          </w:p>
        </w:tc>
        <w:tc>
          <w:tcPr>
            <w:tcW w:w="1020" w:type="dxa"/>
            <w:vAlign w:val="bottom"/>
            <w:shd w:val="clear" w:color="auto" w:fill="00ADBB"/>
          </w:tcPr>
          <w:p>
            <w:pPr>
              <w:jc w:val="center"/>
              <w:spacing w:after="0" w:line="202" w:lineRule="exact"/>
              <w:rPr>
                <w:sz w:val="20"/>
                <w:szCs w:val="20"/>
                <w:color w:val="auto"/>
              </w:rPr>
            </w:pPr>
            <w:r>
              <w:rPr>
                <w:rFonts w:ascii="Arial" w:cs="Arial" w:eastAsia="Arial" w:hAnsi="Arial"/>
                <w:sz w:val="18"/>
                <w:szCs w:val="18"/>
                <w:b w:val="1"/>
                <w:bCs w:val="1"/>
                <w:color w:val="FFFFFF"/>
                <w:w w:val="99"/>
              </w:rPr>
              <w:t>(150%</w:t>
            </w:r>
          </w:p>
        </w:tc>
        <w:tc>
          <w:tcPr>
            <w:tcW w:w="120" w:type="dxa"/>
            <w:vAlign w:val="bottom"/>
            <w:shd w:val="clear" w:color="auto" w:fill="00ADBB"/>
          </w:tcPr>
          <w:p>
            <w:pPr>
              <w:spacing w:after="0"/>
              <w:rPr>
                <w:sz w:val="17"/>
                <w:szCs w:val="17"/>
                <w:color w:val="auto"/>
              </w:rPr>
            </w:pPr>
          </w:p>
        </w:tc>
        <w:tc>
          <w:tcPr>
            <w:tcW w:w="1180" w:type="dxa"/>
            <w:vAlign w:val="bottom"/>
            <w:gridSpan w:val="3"/>
            <w:shd w:val="clear" w:color="auto" w:fill="00ADBB"/>
          </w:tcPr>
          <w:p>
            <w:pPr>
              <w:jc w:val="center"/>
              <w:ind w:right="120"/>
              <w:spacing w:after="0" w:line="202" w:lineRule="exact"/>
              <w:rPr>
                <w:sz w:val="20"/>
                <w:szCs w:val="20"/>
                <w:color w:val="auto"/>
              </w:rPr>
            </w:pPr>
            <w:r>
              <w:rPr>
                <w:rFonts w:ascii="Arial" w:cs="Arial" w:eastAsia="Arial" w:hAnsi="Arial"/>
                <w:sz w:val="18"/>
                <w:szCs w:val="18"/>
                <w:b w:val="1"/>
                <w:bCs w:val="1"/>
                <w:color w:val="FFFFFF"/>
                <w:w w:val="98"/>
              </w:rPr>
              <w:t>Actual</w:t>
            </w:r>
          </w:p>
        </w:tc>
        <w:tc>
          <w:tcPr>
            <w:tcW w:w="2080" w:type="dxa"/>
            <w:vAlign w:val="bottom"/>
            <w:shd w:val="clear" w:color="auto" w:fill="00ADBB"/>
          </w:tcPr>
          <w:p>
            <w:pPr>
              <w:spacing w:after="0"/>
              <w:rPr>
                <w:sz w:val="17"/>
                <w:szCs w:val="17"/>
                <w:color w:val="auto"/>
              </w:rPr>
            </w:pPr>
          </w:p>
        </w:tc>
        <w:tc>
          <w:tcPr>
            <w:tcW w:w="120" w:type="dxa"/>
            <w:vAlign w:val="bottom"/>
            <w:shd w:val="clear" w:color="auto" w:fill="00ADBB"/>
          </w:tcPr>
          <w:p>
            <w:pPr>
              <w:spacing w:after="0"/>
              <w:rPr>
                <w:sz w:val="17"/>
                <w:szCs w:val="17"/>
                <w:color w:val="auto"/>
              </w:rPr>
            </w:pPr>
          </w:p>
        </w:tc>
        <w:tc>
          <w:tcPr>
            <w:tcW w:w="1380" w:type="dxa"/>
            <w:vAlign w:val="bottom"/>
            <w:shd w:val="clear" w:color="auto" w:fill="00ADBB"/>
          </w:tcPr>
          <w:p>
            <w:pPr>
              <w:jc w:val="right"/>
              <w:ind w:right="290"/>
              <w:spacing w:after="0" w:line="202" w:lineRule="exact"/>
              <w:rPr>
                <w:sz w:val="20"/>
                <w:szCs w:val="20"/>
                <w:color w:val="auto"/>
              </w:rPr>
            </w:pPr>
            <w:r>
              <w:rPr>
                <w:rFonts w:ascii="Arial" w:cs="Arial" w:eastAsia="Arial" w:hAnsi="Arial"/>
                <w:sz w:val="18"/>
                <w:szCs w:val="18"/>
                <w:b w:val="1"/>
                <w:bCs w:val="1"/>
                <w:color w:val="FFFFFF"/>
              </w:rPr>
              <w:t>Payout</w:t>
            </w:r>
          </w:p>
        </w:tc>
      </w:tr>
      <w:tr>
        <w:trPr>
          <w:trHeight w:val="239"/>
        </w:trPr>
        <w:tc>
          <w:tcPr>
            <w:tcW w:w="3120" w:type="dxa"/>
            <w:vAlign w:val="bottom"/>
            <w:shd w:val="clear" w:color="auto" w:fill="00ADBB"/>
          </w:tcPr>
          <w:p>
            <w:pPr>
              <w:ind w:left="40"/>
              <w:spacing w:after="0"/>
              <w:rPr>
                <w:sz w:val="20"/>
                <w:szCs w:val="20"/>
                <w:color w:val="auto"/>
              </w:rPr>
            </w:pPr>
            <w:r>
              <w:rPr>
                <w:rFonts w:ascii="Arial" w:cs="Arial" w:eastAsia="Arial" w:hAnsi="Arial"/>
                <w:sz w:val="18"/>
                <w:szCs w:val="18"/>
                <w:b w:val="1"/>
                <w:bCs w:val="1"/>
                <w:color w:val="FFFFFF"/>
              </w:rPr>
              <w:t>2018 PSU Metric (weighting)</w:t>
            </w:r>
          </w:p>
        </w:tc>
        <w:tc>
          <w:tcPr>
            <w:tcW w:w="120" w:type="dxa"/>
            <w:vAlign w:val="bottom"/>
            <w:shd w:val="clear" w:color="auto" w:fill="00ADBB"/>
          </w:tcPr>
          <w:p>
            <w:pPr>
              <w:spacing w:after="0"/>
              <w:rPr>
                <w:sz w:val="20"/>
                <w:szCs w:val="20"/>
                <w:color w:val="auto"/>
              </w:rPr>
            </w:pPr>
          </w:p>
        </w:tc>
        <w:tc>
          <w:tcPr>
            <w:tcW w:w="106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8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102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120" w:type="dxa"/>
            <w:vAlign w:val="bottom"/>
            <w:shd w:val="clear" w:color="auto" w:fill="00ADBB"/>
          </w:tcPr>
          <w:p>
            <w:pPr>
              <w:spacing w:after="0"/>
              <w:rPr>
                <w:sz w:val="20"/>
                <w:szCs w:val="20"/>
                <w:color w:val="auto"/>
              </w:rPr>
            </w:pPr>
          </w:p>
        </w:tc>
        <w:tc>
          <w:tcPr>
            <w:tcW w:w="1180" w:type="dxa"/>
            <w:vAlign w:val="bottom"/>
            <w:gridSpan w:val="3"/>
            <w:shd w:val="clear" w:color="auto" w:fill="00ADBB"/>
          </w:tcPr>
          <w:p>
            <w:pPr>
              <w:jc w:val="center"/>
              <w:ind w:right="120"/>
              <w:spacing w:after="0"/>
              <w:rPr>
                <w:sz w:val="20"/>
                <w:szCs w:val="20"/>
                <w:color w:val="auto"/>
              </w:rPr>
            </w:pPr>
            <w:r>
              <w:rPr>
                <w:rFonts w:ascii="Arial" w:cs="Arial" w:eastAsia="Arial" w:hAnsi="Arial"/>
                <w:sz w:val="18"/>
                <w:szCs w:val="18"/>
                <w:b w:val="1"/>
                <w:bCs w:val="1"/>
                <w:color w:val="FFFFFF"/>
              </w:rPr>
              <w:t>Results</w:t>
            </w:r>
          </w:p>
        </w:tc>
        <w:tc>
          <w:tcPr>
            <w:tcW w:w="2200" w:type="dxa"/>
            <w:vAlign w:val="bottom"/>
            <w:gridSpan w:val="2"/>
            <w:shd w:val="clear" w:color="auto" w:fill="00ADBB"/>
          </w:tcPr>
          <w:p>
            <w:pPr>
              <w:jc w:val="center"/>
              <w:ind w:right="100"/>
              <w:spacing w:after="0"/>
              <w:rPr>
                <w:sz w:val="20"/>
                <w:szCs w:val="20"/>
                <w:color w:val="auto"/>
              </w:rPr>
            </w:pPr>
            <w:r>
              <w:rPr>
                <w:rFonts w:ascii="Arial" w:cs="Arial" w:eastAsia="Arial" w:hAnsi="Arial"/>
                <w:sz w:val="18"/>
                <w:szCs w:val="18"/>
                <w:b w:val="1"/>
                <w:bCs w:val="1"/>
                <w:color w:val="FFFFFF"/>
                <w:w w:val="99"/>
              </w:rPr>
              <w:t>Performance</w:t>
            </w:r>
          </w:p>
        </w:tc>
        <w:tc>
          <w:tcPr>
            <w:tcW w:w="1380" w:type="dxa"/>
            <w:vAlign w:val="bottom"/>
            <w:shd w:val="clear" w:color="auto" w:fill="00ADBB"/>
          </w:tcPr>
          <w:p>
            <w:pPr>
              <w:jc w:val="right"/>
              <w:spacing w:after="0"/>
              <w:rPr>
                <w:sz w:val="20"/>
                <w:szCs w:val="20"/>
                <w:color w:val="auto"/>
              </w:rPr>
            </w:pPr>
            <w:r>
              <w:rPr>
                <w:rFonts w:ascii="Arial" w:cs="Arial" w:eastAsia="Arial" w:hAnsi="Arial"/>
                <w:sz w:val="18"/>
                <w:szCs w:val="18"/>
                <w:b w:val="1"/>
                <w:bCs w:val="1"/>
                <w:color w:val="FFFFFF"/>
              </w:rPr>
              <w:t xml:space="preserve">Percentage </w:t>
            </w:r>
            <w:r>
              <w:rPr>
                <w:rFonts w:ascii="Arial" w:cs="Arial" w:eastAsia="Arial" w:hAnsi="Arial"/>
                <w:sz w:val="15"/>
                <w:szCs w:val="15"/>
                <w:b w:val="1"/>
                <w:bCs w:val="1"/>
                <w:color w:val="FFFFFF"/>
              </w:rPr>
              <w:t>(1)</w:t>
            </w:r>
          </w:p>
        </w:tc>
      </w:tr>
      <w:tr>
        <w:trPr>
          <w:trHeight w:val="247"/>
        </w:trPr>
        <w:tc>
          <w:tcPr>
            <w:tcW w:w="3120" w:type="dxa"/>
            <w:vAlign w:val="bottom"/>
          </w:tcPr>
          <w:p>
            <w:pPr>
              <w:ind w:left="40"/>
              <w:spacing w:after="0"/>
              <w:rPr>
                <w:sz w:val="20"/>
                <w:szCs w:val="20"/>
                <w:color w:val="auto"/>
              </w:rPr>
            </w:pPr>
            <w:r>
              <w:rPr>
                <w:rFonts w:ascii="Arial" w:cs="Arial" w:eastAsia="Arial" w:hAnsi="Arial"/>
                <w:sz w:val="18"/>
                <w:szCs w:val="18"/>
                <w:b w:val="1"/>
                <w:bCs w:val="1"/>
                <w:color w:val="4C4C4C"/>
              </w:rPr>
              <w:t>Corporate Expense Reduction</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4C4C4C"/>
                <w:w w:val="98"/>
              </w:rPr>
              <w:t>$125M</w:t>
            </w:r>
          </w:p>
        </w:tc>
        <w:tc>
          <w:tcPr>
            <w:tcW w:w="820" w:type="dxa"/>
            <w:vAlign w:val="bottom"/>
          </w:tcPr>
          <w:p>
            <w:pPr>
              <w:jc w:val="center"/>
              <w:spacing w:after="0"/>
              <w:rPr>
                <w:sz w:val="20"/>
                <w:szCs w:val="20"/>
                <w:color w:val="auto"/>
              </w:rPr>
            </w:pPr>
            <w:r>
              <w:rPr>
                <w:rFonts w:ascii="Arial" w:cs="Arial" w:eastAsia="Arial" w:hAnsi="Arial"/>
                <w:sz w:val="18"/>
                <w:szCs w:val="18"/>
                <w:color w:val="4C4C4C"/>
                <w:w w:val="98"/>
              </w:rPr>
              <w:t>$150M</w:t>
            </w:r>
          </w:p>
        </w:tc>
        <w:tc>
          <w:tcPr>
            <w:tcW w:w="1020" w:type="dxa"/>
            <w:vAlign w:val="bottom"/>
          </w:tcPr>
          <w:p>
            <w:pPr>
              <w:jc w:val="center"/>
              <w:spacing w:after="0"/>
              <w:rPr>
                <w:sz w:val="20"/>
                <w:szCs w:val="20"/>
                <w:color w:val="auto"/>
              </w:rPr>
            </w:pPr>
            <w:r>
              <w:rPr>
                <w:rFonts w:ascii="Arial" w:cs="Arial" w:eastAsia="Arial" w:hAnsi="Arial"/>
                <w:sz w:val="18"/>
                <w:szCs w:val="18"/>
                <w:color w:val="4C4C4C"/>
              </w:rPr>
              <w:t>$200M</w:t>
            </w:r>
          </w:p>
        </w:tc>
        <w:tc>
          <w:tcPr>
            <w:tcW w:w="400" w:type="dxa"/>
            <w:vAlign w:val="bottom"/>
            <w:gridSpan w:val="2"/>
          </w:tcPr>
          <w:p>
            <w:pPr>
              <w:jc w:val="right"/>
              <w:spacing w:after="0"/>
              <w:rPr>
                <w:sz w:val="20"/>
                <w:szCs w:val="20"/>
                <w:color w:val="auto"/>
              </w:rPr>
            </w:pPr>
            <w:r>
              <w:rPr>
                <w:rFonts w:ascii="Arial" w:cs="Arial" w:eastAsia="Arial" w:hAnsi="Arial"/>
                <w:sz w:val="18"/>
                <w:szCs w:val="18"/>
                <w:color w:val="4C4C4C"/>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4C4C4C"/>
              </w:rPr>
              <w:t>166M</w:t>
            </w:r>
          </w:p>
        </w:tc>
        <w:tc>
          <w:tcPr>
            <w:tcW w:w="2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4C4C4C"/>
                <w:w w:val="98"/>
              </w:rPr>
              <w:t>Exceeded Target</w:t>
            </w:r>
          </w:p>
        </w:tc>
        <w:tc>
          <w:tcPr>
            <w:tcW w:w="1380" w:type="dxa"/>
            <w:vAlign w:val="bottom"/>
          </w:tcPr>
          <w:p>
            <w:pPr>
              <w:jc w:val="right"/>
              <w:ind w:right="250"/>
              <w:spacing w:after="0"/>
              <w:rPr>
                <w:sz w:val="20"/>
                <w:szCs w:val="20"/>
                <w:color w:val="auto"/>
              </w:rPr>
            </w:pPr>
            <w:r>
              <w:rPr>
                <w:rFonts w:ascii="Arial" w:cs="Arial" w:eastAsia="Arial" w:hAnsi="Arial"/>
                <w:sz w:val="18"/>
                <w:szCs w:val="18"/>
                <w:color w:val="4C4C4C"/>
              </w:rPr>
              <w:t>116%</w:t>
            </w:r>
          </w:p>
        </w:tc>
      </w:tr>
      <w:tr>
        <w:trPr>
          <w:trHeight w:val="239"/>
        </w:trPr>
        <w:tc>
          <w:tcPr>
            <w:tcW w:w="3120" w:type="dxa"/>
            <w:vAlign w:val="bottom"/>
          </w:tcPr>
          <w:p>
            <w:pPr>
              <w:ind w:left="180"/>
              <w:spacing w:after="0"/>
              <w:rPr>
                <w:sz w:val="20"/>
                <w:szCs w:val="20"/>
                <w:color w:val="auto"/>
              </w:rPr>
            </w:pPr>
            <w:r>
              <w:rPr>
                <w:rFonts w:ascii="Arial" w:cs="Arial" w:eastAsia="Arial" w:hAnsi="Arial"/>
                <w:sz w:val="18"/>
                <w:szCs w:val="18"/>
                <w:b w:val="1"/>
                <w:bCs w:val="1"/>
                <w:color w:val="4C4C4C"/>
              </w:rPr>
              <w:t>(60%)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
        </w:trPr>
        <w:tc>
          <w:tcPr>
            <w:tcW w:w="3120" w:type="dxa"/>
            <w:vAlign w:val="bottom"/>
            <w:tcBorders>
              <w:bottom w:val="single" w:sz="8" w:color="4C4C4C"/>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820" w:type="dxa"/>
            <w:vAlign w:val="bottom"/>
            <w:tcBorders>
              <w:bottom w:val="single" w:sz="8" w:color="4C4C4C"/>
            </w:tcBorders>
          </w:tcPr>
          <w:p>
            <w:pPr>
              <w:spacing w:after="0"/>
              <w:rPr>
                <w:sz w:val="3"/>
                <w:szCs w:val="3"/>
                <w:color w:val="auto"/>
              </w:rPr>
            </w:pPr>
          </w:p>
        </w:tc>
        <w:tc>
          <w:tcPr>
            <w:tcW w:w="1020" w:type="dxa"/>
            <w:vAlign w:val="bottom"/>
            <w:tcBorders>
              <w:bottom w:val="single" w:sz="8" w:color="4C4C4C"/>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780" w:type="dxa"/>
            <w:vAlign w:val="bottom"/>
            <w:tcBorders>
              <w:bottom w:val="single" w:sz="8" w:color="4C4C4C"/>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4C4C4C"/>
            </w:tcBorders>
          </w:tcPr>
          <w:p>
            <w:pPr>
              <w:spacing w:after="0"/>
              <w:rPr>
                <w:sz w:val="3"/>
                <w:szCs w:val="3"/>
                <w:color w:val="auto"/>
              </w:rPr>
            </w:pPr>
          </w:p>
        </w:tc>
      </w:tr>
      <w:tr>
        <w:trPr>
          <w:trHeight w:val="263"/>
        </w:trPr>
        <w:tc>
          <w:tcPr>
            <w:tcW w:w="3120" w:type="dxa"/>
            <w:vAlign w:val="bottom"/>
          </w:tcPr>
          <w:p>
            <w:pPr>
              <w:ind w:left="40"/>
              <w:spacing w:after="0"/>
              <w:rPr>
                <w:sz w:val="20"/>
                <w:szCs w:val="20"/>
                <w:color w:val="auto"/>
              </w:rPr>
            </w:pPr>
            <w:r>
              <w:rPr>
                <w:rFonts w:ascii="Arial" w:cs="Arial" w:eastAsia="Arial" w:hAnsi="Arial"/>
                <w:sz w:val="18"/>
                <w:szCs w:val="18"/>
                <w:b w:val="1"/>
                <w:bCs w:val="1"/>
                <w:color w:val="4C4C4C"/>
              </w:rPr>
              <w:t>Capital Return (40%)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4C4C4C"/>
                <w:w w:val="98"/>
              </w:rPr>
              <w:t>$250M</w:t>
            </w:r>
          </w:p>
        </w:tc>
        <w:tc>
          <w:tcPr>
            <w:tcW w:w="820" w:type="dxa"/>
            <w:vAlign w:val="bottom"/>
          </w:tcPr>
          <w:p>
            <w:pPr>
              <w:jc w:val="center"/>
              <w:spacing w:after="0"/>
              <w:rPr>
                <w:sz w:val="20"/>
                <w:szCs w:val="20"/>
                <w:color w:val="auto"/>
              </w:rPr>
            </w:pPr>
            <w:r>
              <w:rPr>
                <w:rFonts w:ascii="Arial" w:cs="Arial" w:eastAsia="Arial" w:hAnsi="Arial"/>
                <w:sz w:val="18"/>
                <w:szCs w:val="18"/>
                <w:color w:val="4C4C4C"/>
                <w:w w:val="98"/>
              </w:rPr>
              <w:t>$500M</w:t>
            </w:r>
          </w:p>
        </w:tc>
        <w:tc>
          <w:tcPr>
            <w:tcW w:w="1020" w:type="dxa"/>
            <w:vAlign w:val="bottom"/>
          </w:tcPr>
          <w:p>
            <w:pPr>
              <w:jc w:val="center"/>
              <w:spacing w:after="0"/>
              <w:rPr>
                <w:sz w:val="20"/>
                <w:szCs w:val="20"/>
                <w:color w:val="auto"/>
              </w:rPr>
            </w:pPr>
            <w:r>
              <w:rPr>
                <w:rFonts w:ascii="Arial" w:cs="Arial" w:eastAsia="Arial" w:hAnsi="Arial"/>
                <w:sz w:val="18"/>
                <w:szCs w:val="18"/>
                <w:color w:val="4C4C4C"/>
                <w:w w:val="99"/>
              </w:rPr>
              <w:t>$1,000M</w:t>
            </w:r>
          </w:p>
        </w:tc>
        <w:tc>
          <w:tcPr>
            <w:tcW w:w="400" w:type="dxa"/>
            <w:vAlign w:val="bottom"/>
            <w:gridSpan w:val="2"/>
          </w:tcPr>
          <w:p>
            <w:pPr>
              <w:jc w:val="right"/>
              <w:spacing w:after="0"/>
              <w:rPr>
                <w:sz w:val="20"/>
                <w:szCs w:val="20"/>
                <w:color w:val="auto"/>
              </w:rPr>
            </w:pPr>
            <w:r>
              <w:rPr>
                <w:rFonts w:ascii="Arial" w:cs="Arial" w:eastAsia="Arial" w:hAnsi="Arial"/>
                <w:sz w:val="18"/>
                <w:szCs w:val="18"/>
                <w:color w:val="4C4C4C"/>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4C4C4C"/>
                <w:w w:val="99"/>
              </w:rPr>
              <w:t>1,020M</w:t>
            </w:r>
          </w:p>
        </w:tc>
        <w:tc>
          <w:tcPr>
            <w:tcW w:w="2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4C4C4C"/>
                <w:w w:val="99"/>
              </w:rPr>
              <w:t>Maximum Achieved</w:t>
            </w:r>
          </w:p>
        </w:tc>
        <w:tc>
          <w:tcPr>
            <w:tcW w:w="1380" w:type="dxa"/>
            <w:vAlign w:val="bottom"/>
          </w:tcPr>
          <w:p>
            <w:pPr>
              <w:jc w:val="right"/>
              <w:ind w:right="250"/>
              <w:spacing w:after="0"/>
              <w:rPr>
                <w:sz w:val="20"/>
                <w:szCs w:val="20"/>
                <w:color w:val="auto"/>
              </w:rPr>
            </w:pPr>
            <w:r>
              <w:rPr>
                <w:rFonts w:ascii="Arial" w:cs="Arial" w:eastAsia="Arial" w:hAnsi="Arial"/>
                <w:sz w:val="18"/>
                <w:szCs w:val="18"/>
                <w:color w:val="4C4C4C"/>
              </w:rPr>
              <w:t>150%</w:t>
            </w:r>
          </w:p>
        </w:tc>
      </w:tr>
      <w:tr>
        <w:trPr>
          <w:trHeight w:val="40"/>
        </w:trPr>
        <w:tc>
          <w:tcPr>
            <w:tcW w:w="3120" w:type="dxa"/>
            <w:vAlign w:val="bottom"/>
            <w:tcBorders>
              <w:bottom w:val="single" w:sz="8" w:color="4C4C4C"/>
            </w:tcBorders>
          </w:tcPr>
          <w:p>
            <w:pPr>
              <w:spacing w:after="0"/>
              <w:rPr>
                <w:sz w:val="3"/>
                <w:szCs w:val="3"/>
                <w:color w:val="auto"/>
              </w:rPr>
            </w:pPr>
          </w:p>
        </w:tc>
        <w:tc>
          <w:tcPr>
            <w:tcW w:w="12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820" w:type="dxa"/>
            <w:vAlign w:val="bottom"/>
            <w:tcBorders>
              <w:bottom w:val="single" w:sz="8" w:color="4C4C4C"/>
            </w:tcBorders>
          </w:tcPr>
          <w:p>
            <w:pPr>
              <w:spacing w:after="0"/>
              <w:rPr>
                <w:sz w:val="3"/>
                <w:szCs w:val="3"/>
                <w:color w:val="auto"/>
              </w:rPr>
            </w:pPr>
          </w:p>
        </w:tc>
        <w:tc>
          <w:tcPr>
            <w:tcW w:w="1020" w:type="dxa"/>
            <w:vAlign w:val="bottom"/>
            <w:tcBorders>
              <w:bottom w:val="single" w:sz="8" w:color="4C4C4C"/>
            </w:tcBorders>
          </w:tcPr>
          <w:p>
            <w:pPr>
              <w:spacing w:after="0"/>
              <w:rPr>
                <w:sz w:val="3"/>
                <w:szCs w:val="3"/>
                <w:color w:val="auto"/>
              </w:rPr>
            </w:pPr>
          </w:p>
        </w:tc>
        <w:tc>
          <w:tcPr>
            <w:tcW w:w="120" w:type="dxa"/>
            <w:vAlign w:val="bottom"/>
            <w:tcBorders>
              <w:bottom w:val="single" w:sz="8" w:color="4C4C4C"/>
            </w:tcBorders>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780" w:type="dxa"/>
            <w:vAlign w:val="bottom"/>
            <w:tcBorders>
              <w:bottom w:val="single" w:sz="8" w:color="4C4C4C"/>
            </w:tcBorders>
          </w:tcPr>
          <w:p>
            <w:pPr>
              <w:spacing w:after="0"/>
              <w:rPr>
                <w:sz w:val="3"/>
                <w:szCs w:val="3"/>
                <w:color w:val="auto"/>
              </w:rPr>
            </w:pPr>
          </w:p>
        </w:tc>
        <w:tc>
          <w:tcPr>
            <w:tcW w:w="12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c>
          <w:tcPr>
            <w:tcW w:w="120" w:type="dxa"/>
            <w:vAlign w:val="bottom"/>
            <w:tcBorders>
              <w:bottom w:val="single" w:sz="8" w:color="E5F6F8"/>
            </w:tcBorders>
          </w:tcPr>
          <w:p>
            <w:pPr>
              <w:spacing w:after="0"/>
              <w:rPr>
                <w:sz w:val="3"/>
                <w:szCs w:val="3"/>
                <w:color w:val="auto"/>
              </w:rPr>
            </w:pPr>
          </w:p>
        </w:tc>
        <w:tc>
          <w:tcPr>
            <w:tcW w:w="1380" w:type="dxa"/>
            <w:vAlign w:val="bottom"/>
            <w:tcBorders>
              <w:bottom w:val="single" w:sz="8" w:color="4C4C4C"/>
            </w:tcBorders>
          </w:tcPr>
          <w:p>
            <w:pPr>
              <w:spacing w:after="0"/>
              <w:rPr>
                <w:sz w:val="3"/>
                <w:szCs w:val="3"/>
                <w:color w:val="auto"/>
              </w:rPr>
            </w:pPr>
          </w:p>
        </w:tc>
      </w:tr>
      <w:tr>
        <w:trPr>
          <w:trHeight w:val="284"/>
        </w:trPr>
        <w:tc>
          <w:tcPr>
            <w:tcW w:w="3120" w:type="dxa"/>
            <w:vAlign w:val="bottom"/>
            <w:tcBorders>
              <w:bottom w:val="single" w:sz="8" w:color="E5F6F8"/>
            </w:tcBorders>
            <w:shd w:val="clear" w:color="auto" w:fill="E5F6F8"/>
          </w:tcPr>
          <w:p>
            <w:pPr>
              <w:ind w:left="40"/>
              <w:spacing w:after="0"/>
              <w:rPr>
                <w:sz w:val="20"/>
                <w:szCs w:val="20"/>
                <w:color w:val="auto"/>
              </w:rPr>
            </w:pPr>
            <w:r>
              <w:rPr>
                <w:rFonts w:ascii="Arial" w:cs="Arial" w:eastAsia="Arial" w:hAnsi="Arial"/>
                <w:sz w:val="18"/>
                <w:szCs w:val="18"/>
                <w:b w:val="1"/>
                <w:bCs w:val="1"/>
                <w:color w:val="4CC5CF"/>
              </w:rPr>
              <w:t>2018 PSU Payout</w:t>
            </w:r>
          </w:p>
        </w:tc>
        <w:tc>
          <w:tcPr>
            <w:tcW w:w="120" w:type="dxa"/>
            <w:vAlign w:val="bottom"/>
            <w:tcBorders>
              <w:bottom w:val="single" w:sz="8" w:color="E5F6F8"/>
            </w:tcBorders>
            <w:shd w:val="clear" w:color="auto" w:fill="E5F6F8"/>
          </w:tcPr>
          <w:p>
            <w:pPr>
              <w:spacing w:after="0"/>
              <w:rPr>
                <w:sz w:val="24"/>
                <w:szCs w:val="24"/>
                <w:color w:val="auto"/>
              </w:rPr>
            </w:pPr>
          </w:p>
        </w:tc>
        <w:tc>
          <w:tcPr>
            <w:tcW w:w="1060" w:type="dxa"/>
            <w:vAlign w:val="bottom"/>
            <w:tcBorders>
              <w:bottom w:val="single" w:sz="8" w:color="E5F6F8"/>
            </w:tcBorders>
            <w:shd w:val="clear" w:color="auto" w:fill="E5F6F8"/>
          </w:tcPr>
          <w:p>
            <w:pPr>
              <w:spacing w:after="0"/>
              <w:rPr>
                <w:sz w:val="24"/>
                <w:szCs w:val="24"/>
                <w:color w:val="auto"/>
              </w:rPr>
            </w:pPr>
          </w:p>
        </w:tc>
        <w:tc>
          <w:tcPr>
            <w:tcW w:w="820" w:type="dxa"/>
            <w:vAlign w:val="bottom"/>
            <w:tcBorders>
              <w:bottom w:val="single" w:sz="8" w:color="E5F6F8"/>
            </w:tcBorders>
            <w:shd w:val="clear" w:color="auto" w:fill="E5F6F8"/>
          </w:tcPr>
          <w:p>
            <w:pPr>
              <w:spacing w:after="0"/>
              <w:rPr>
                <w:sz w:val="24"/>
                <w:szCs w:val="24"/>
                <w:color w:val="auto"/>
              </w:rPr>
            </w:pPr>
          </w:p>
        </w:tc>
        <w:tc>
          <w:tcPr>
            <w:tcW w:w="1020" w:type="dxa"/>
            <w:vAlign w:val="bottom"/>
            <w:tcBorders>
              <w:bottom w:val="single" w:sz="8" w:color="E5F6F8"/>
            </w:tcBorders>
            <w:shd w:val="clear" w:color="auto" w:fill="E5F6F8"/>
          </w:tcPr>
          <w:p>
            <w:pPr>
              <w:spacing w:after="0"/>
              <w:rPr>
                <w:sz w:val="24"/>
                <w:szCs w:val="24"/>
                <w:color w:val="auto"/>
              </w:rPr>
            </w:pPr>
          </w:p>
        </w:tc>
        <w:tc>
          <w:tcPr>
            <w:tcW w:w="120" w:type="dxa"/>
            <w:vAlign w:val="bottom"/>
            <w:tcBorders>
              <w:bottom w:val="single" w:sz="8" w:color="E5F6F8"/>
            </w:tcBorders>
            <w:shd w:val="clear" w:color="auto" w:fill="E5F6F8"/>
          </w:tcPr>
          <w:p>
            <w:pPr>
              <w:spacing w:after="0"/>
              <w:rPr>
                <w:sz w:val="24"/>
                <w:szCs w:val="24"/>
                <w:color w:val="auto"/>
              </w:rPr>
            </w:pPr>
          </w:p>
        </w:tc>
        <w:tc>
          <w:tcPr>
            <w:tcW w:w="280" w:type="dxa"/>
            <w:vAlign w:val="bottom"/>
            <w:tcBorders>
              <w:bottom w:val="single" w:sz="8" w:color="E5F6F8"/>
            </w:tcBorders>
            <w:shd w:val="clear" w:color="auto" w:fill="E5F6F8"/>
          </w:tcPr>
          <w:p>
            <w:pPr>
              <w:spacing w:after="0"/>
              <w:rPr>
                <w:sz w:val="24"/>
                <w:szCs w:val="24"/>
                <w:color w:val="auto"/>
              </w:rPr>
            </w:pPr>
          </w:p>
        </w:tc>
        <w:tc>
          <w:tcPr>
            <w:tcW w:w="780" w:type="dxa"/>
            <w:vAlign w:val="bottom"/>
            <w:tcBorders>
              <w:bottom w:val="single" w:sz="8" w:color="E5F6F8"/>
            </w:tcBorders>
            <w:shd w:val="clear" w:color="auto" w:fill="E5F6F8"/>
          </w:tcPr>
          <w:p>
            <w:pPr>
              <w:spacing w:after="0"/>
              <w:rPr>
                <w:sz w:val="24"/>
                <w:szCs w:val="24"/>
                <w:color w:val="auto"/>
              </w:rPr>
            </w:pPr>
          </w:p>
        </w:tc>
        <w:tc>
          <w:tcPr>
            <w:tcW w:w="120" w:type="dxa"/>
            <w:vAlign w:val="bottom"/>
            <w:tcBorders>
              <w:bottom w:val="single" w:sz="8" w:color="E5F6F8"/>
            </w:tcBorders>
            <w:shd w:val="clear" w:color="auto" w:fill="E5F6F8"/>
          </w:tcPr>
          <w:p>
            <w:pPr>
              <w:spacing w:after="0"/>
              <w:rPr>
                <w:sz w:val="24"/>
                <w:szCs w:val="24"/>
                <w:color w:val="auto"/>
              </w:rPr>
            </w:pPr>
          </w:p>
        </w:tc>
        <w:tc>
          <w:tcPr>
            <w:tcW w:w="2080" w:type="dxa"/>
            <w:vAlign w:val="bottom"/>
            <w:tcBorders>
              <w:bottom w:val="single" w:sz="8" w:color="E5F6F8"/>
            </w:tcBorders>
            <w:shd w:val="clear" w:color="auto" w:fill="E5F6F8"/>
          </w:tcPr>
          <w:p>
            <w:pPr>
              <w:spacing w:after="0"/>
              <w:rPr>
                <w:sz w:val="24"/>
                <w:szCs w:val="24"/>
                <w:color w:val="auto"/>
              </w:rPr>
            </w:pPr>
          </w:p>
        </w:tc>
        <w:tc>
          <w:tcPr>
            <w:tcW w:w="120" w:type="dxa"/>
            <w:vAlign w:val="bottom"/>
            <w:tcBorders>
              <w:bottom w:val="single" w:sz="8" w:color="E5F6F8"/>
            </w:tcBorders>
            <w:shd w:val="clear" w:color="auto" w:fill="E5F6F8"/>
          </w:tcPr>
          <w:p>
            <w:pPr>
              <w:spacing w:after="0"/>
              <w:rPr>
                <w:sz w:val="24"/>
                <w:szCs w:val="24"/>
                <w:color w:val="auto"/>
              </w:rPr>
            </w:pPr>
          </w:p>
        </w:tc>
        <w:tc>
          <w:tcPr>
            <w:tcW w:w="1380" w:type="dxa"/>
            <w:vAlign w:val="bottom"/>
            <w:tcBorders>
              <w:bottom w:val="single" w:sz="8" w:color="E5F6F8"/>
            </w:tcBorders>
            <w:shd w:val="clear" w:color="auto" w:fill="E5F6F8"/>
          </w:tcPr>
          <w:p>
            <w:pPr>
              <w:jc w:val="right"/>
              <w:ind w:right="250"/>
              <w:spacing w:after="0"/>
              <w:rPr>
                <w:sz w:val="20"/>
                <w:szCs w:val="20"/>
                <w:color w:val="auto"/>
              </w:rPr>
            </w:pPr>
            <w:r>
              <w:rPr>
                <w:rFonts w:ascii="Arial" w:cs="Arial" w:eastAsia="Arial" w:hAnsi="Arial"/>
                <w:sz w:val="18"/>
                <w:szCs w:val="18"/>
                <w:b w:val="1"/>
                <w:bCs w:val="1"/>
                <w:color w:val="4CC5CF"/>
              </w:rPr>
              <w:t>130%</w:t>
            </w:r>
          </w:p>
        </w:tc>
      </w:tr>
      <w:tr>
        <w:trPr>
          <w:trHeight w:val="20"/>
        </w:trPr>
        <w:tc>
          <w:tcPr>
            <w:tcW w:w="3120" w:type="dxa"/>
            <w:vAlign w:val="bottom"/>
            <w:shd w:val="clear" w:color="auto" w:fill="4C4C4C"/>
          </w:tcPr>
          <w:p>
            <w:pPr>
              <w:spacing w:after="0" w:line="20" w:lineRule="exact"/>
              <w:rPr>
                <w:sz w:val="1"/>
                <w:szCs w:val="1"/>
                <w:color w:val="auto"/>
              </w:rPr>
            </w:pPr>
          </w:p>
        </w:tc>
        <w:tc>
          <w:tcPr>
            <w:tcW w:w="120" w:type="dxa"/>
            <w:vAlign w:val="bottom"/>
            <w:shd w:val="clear" w:color="auto" w:fill="4C4C4C"/>
          </w:tcPr>
          <w:p>
            <w:pPr>
              <w:spacing w:after="0" w:line="20" w:lineRule="exact"/>
              <w:rPr>
                <w:sz w:val="1"/>
                <w:szCs w:val="1"/>
                <w:color w:val="auto"/>
              </w:rPr>
            </w:pPr>
          </w:p>
        </w:tc>
        <w:tc>
          <w:tcPr>
            <w:tcW w:w="1060" w:type="dxa"/>
            <w:vAlign w:val="bottom"/>
            <w:shd w:val="clear" w:color="auto" w:fill="4C4C4C"/>
          </w:tcPr>
          <w:p>
            <w:pPr>
              <w:spacing w:after="0" w:line="20" w:lineRule="exact"/>
              <w:rPr>
                <w:sz w:val="1"/>
                <w:szCs w:val="1"/>
                <w:color w:val="auto"/>
              </w:rPr>
            </w:pPr>
          </w:p>
        </w:tc>
        <w:tc>
          <w:tcPr>
            <w:tcW w:w="820" w:type="dxa"/>
            <w:vAlign w:val="bottom"/>
            <w:shd w:val="clear" w:color="auto" w:fill="4C4C4C"/>
          </w:tcPr>
          <w:p>
            <w:pPr>
              <w:spacing w:after="0" w:line="20" w:lineRule="exact"/>
              <w:rPr>
                <w:sz w:val="1"/>
                <w:szCs w:val="1"/>
                <w:color w:val="auto"/>
              </w:rPr>
            </w:pPr>
          </w:p>
        </w:tc>
        <w:tc>
          <w:tcPr>
            <w:tcW w:w="1020" w:type="dxa"/>
            <w:vAlign w:val="bottom"/>
            <w:shd w:val="clear" w:color="auto" w:fill="4C4C4C"/>
          </w:tcPr>
          <w:p>
            <w:pPr>
              <w:spacing w:after="0" w:line="20" w:lineRule="exact"/>
              <w:rPr>
                <w:sz w:val="1"/>
                <w:szCs w:val="1"/>
                <w:color w:val="auto"/>
              </w:rPr>
            </w:pPr>
          </w:p>
        </w:tc>
        <w:tc>
          <w:tcPr>
            <w:tcW w:w="120" w:type="dxa"/>
            <w:vAlign w:val="bottom"/>
            <w:shd w:val="clear" w:color="auto" w:fill="4C4C4C"/>
          </w:tcPr>
          <w:p>
            <w:pPr>
              <w:spacing w:after="0" w:line="20" w:lineRule="exact"/>
              <w:rPr>
                <w:sz w:val="1"/>
                <w:szCs w:val="1"/>
                <w:color w:val="auto"/>
              </w:rPr>
            </w:pPr>
          </w:p>
        </w:tc>
        <w:tc>
          <w:tcPr>
            <w:tcW w:w="280" w:type="dxa"/>
            <w:vAlign w:val="bottom"/>
            <w:shd w:val="clear" w:color="auto" w:fill="4C4C4C"/>
          </w:tcPr>
          <w:p>
            <w:pPr>
              <w:spacing w:after="0" w:line="20" w:lineRule="exact"/>
              <w:rPr>
                <w:sz w:val="1"/>
                <w:szCs w:val="1"/>
                <w:color w:val="auto"/>
              </w:rPr>
            </w:pPr>
          </w:p>
        </w:tc>
        <w:tc>
          <w:tcPr>
            <w:tcW w:w="780" w:type="dxa"/>
            <w:vAlign w:val="bottom"/>
            <w:shd w:val="clear" w:color="auto" w:fill="4C4C4C"/>
          </w:tcPr>
          <w:p>
            <w:pPr>
              <w:spacing w:after="0" w:line="20" w:lineRule="exact"/>
              <w:rPr>
                <w:sz w:val="1"/>
                <w:szCs w:val="1"/>
                <w:color w:val="auto"/>
              </w:rPr>
            </w:pPr>
          </w:p>
        </w:tc>
        <w:tc>
          <w:tcPr>
            <w:tcW w:w="120" w:type="dxa"/>
            <w:vAlign w:val="bottom"/>
            <w:shd w:val="clear" w:color="auto" w:fill="4C4C4C"/>
          </w:tcPr>
          <w:p>
            <w:pPr>
              <w:spacing w:after="0" w:line="20" w:lineRule="exact"/>
              <w:rPr>
                <w:sz w:val="1"/>
                <w:szCs w:val="1"/>
                <w:color w:val="auto"/>
              </w:rPr>
            </w:pPr>
          </w:p>
        </w:tc>
        <w:tc>
          <w:tcPr>
            <w:tcW w:w="2080" w:type="dxa"/>
            <w:vAlign w:val="bottom"/>
            <w:shd w:val="clear" w:color="auto" w:fill="4C4C4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4C4C4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-1285240</wp:posOffset>
            </wp:positionV>
            <wp:extent cx="8255" cy="5314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5314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-1285240</wp:posOffset>
            </wp:positionV>
            <wp:extent cx="8890" cy="5314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53149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-1285240</wp:posOffset>
            </wp:positionV>
            <wp:extent cx="1851660" cy="5314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101"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color w:val="4C4C4C"/>
        </w:rPr>
      </w:pPr>
      <w:r>
        <w:rPr>
          <w:rFonts w:ascii="Arial" w:cs="Arial" w:eastAsia="Arial" w:hAnsi="Arial"/>
          <w:sz w:val="18"/>
          <w:szCs w:val="18"/>
          <w:color w:val="4C4C4C"/>
        </w:rPr>
        <w:t>Rounded to the nearest whole number.</w:t>
      </w:r>
    </w:p>
    <w:p>
      <w:pPr>
        <w:spacing w:after="0" w:line="123"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00ADBB"/>
        </w:rPr>
        <w:t>2021 Proxy Statement | 57</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Section 3 – Additional Compensation Practices and Policies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Section 3 – Additional Compensation Practices and Policies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Stock Ownership and Retention Guidelines</w:t>
      </w:r>
    </w:p>
    <w:p>
      <w:pPr>
        <w:spacing w:after="0" w:line="18" w:lineRule="exact"/>
        <w:rPr>
          <w:sz w:val="20"/>
          <w:szCs w:val="20"/>
          <w:color w:val="auto"/>
        </w:rPr>
      </w:pPr>
    </w:p>
    <w:p>
      <w:pPr>
        <w:ind w:left="280" w:right="180"/>
        <w:spacing w:after="0" w:line="236" w:lineRule="auto"/>
        <w:rPr>
          <w:sz w:val="20"/>
          <w:szCs w:val="20"/>
          <w:color w:val="auto"/>
        </w:rPr>
      </w:pPr>
      <w:r>
        <w:rPr>
          <w:rFonts w:ascii="Arial" w:cs="Arial" w:eastAsia="Arial" w:hAnsi="Arial"/>
          <w:sz w:val="18"/>
          <w:szCs w:val="18"/>
          <w:color w:val="4C4C4C"/>
        </w:rPr>
        <w:t>We have established stock ownership and retention guidelines for all members of the SLMG, which includes our NEOs, effective January 1, 2018. The guidelines are intended to align the interests of SLMG members with those of our stockholders and call for the officers subject to the guidelines to obtain and maintain significant ownership in our stock. The ownership guidelines were set as a multiple of the officer’s base salary in effect on January 1, 2018 (for all NEOs other than Mr. Spehar), converted into a number of Shares based upon the closing price of our common stock on January 2, 2018, which was $57.67, and then rounded up to the nearest hundred. With respect to Mr. Spehar, the number of Shares he is expected to own was set on September 3, 2019, the grant date of his sign-on RSUs, based on the closing price of a Share on that date of $34.57. Officers are expected to meet the applicable stock ownership guideline within five years of becoming subject to the guidelines. All of our NEOs are in compliance with the Company’s stock ownership and retention guidelines, and no currently serving NEO has sold any vested Shares.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The ownership guidelines applicable to our current NEOs are described in the following table.</w:t>
      </w: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700" w:type="dxa"/>
            <w:vAlign w:val="bottom"/>
            <w:shd w:val="clear" w:color="auto" w:fill="00ADBB"/>
          </w:tcPr>
          <w:p>
            <w:pPr>
              <w:spacing w:after="0"/>
              <w:rPr>
                <w:sz w:val="17"/>
                <w:szCs w:val="17"/>
                <w:color w:val="auto"/>
              </w:rPr>
            </w:pPr>
          </w:p>
        </w:tc>
        <w:tc>
          <w:tcPr>
            <w:tcW w:w="3680" w:type="dxa"/>
            <w:vAlign w:val="bottom"/>
            <w:gridSpan w:val="2"/>
            <w:shd w:val="clear" w:color="auto" w:fill="00ADBB"/>
          </w:tcPr>
          <w:p>
            <w:pPr>
              <w:ind w:left="900"/>
              <w:spacing w:after="0"/>
              <w:rPr>
                <w:sz w:val="20"/>
                <w:szCs w:val="20"/>
                <w:color w:val="auto"/>
              </w:rPr>
            </w:pPr>
            <w:r>
              <w:rPr>
                <w:rFonts w:ascii="Arial" w:cs="Arial" w:eastAsia="Arial" w:hAnsi="Arial"/>
                <w:sz w:val="18"/>
                <w:szCs w:val="18"/>
                <w:b w:val="1"/>
                <w:bCs w:val="1"/>
                <w:color w:val="FFFFFF"/>
              </w:rPr>
              <w:t>Ownership Guideline</w:t>
            </w:r>
          </w:p>
        </w:tc>
        <w:tc>
          <w:tcPr>
            <w:tcW w:w="2300" w:type="dxa"/>
            <w:vAlign w:val="bottom"/>
            <w:shd w:val="clear" w:color="auto" w:fill="00ADBB"/>
          </w:tcPr>
          <w:p>
            <w:pPr>
              <w:spacing w:after="0"/>
              <w:rPr>
                <w:sz w:val="17"/>
                <w:szCs w:val="17"/>
                <w:color w:val="auto"/>
              </w:rPr>
            </w:pPr>
          </w:p>
        </w:tc>
      </w:tr>
      <w:tr>
        <w:trPr>
          <w:trHeight w:val="216"/>
        </w:trPr>
        <w:tc>
          <w:tcPr>
            <w:tcW w:w="4700" w:type="dxa"/>
            <w:vAlign w:val="bottom"/>
            <w:shd w:val="clear" w:color="auto" w:fill="00ADBB"/>
          </w:tcPr>
          <w:p>
            <w:pPr>
              <w:ind w:left="60"/>
              <w:spacing w:after="0"/>
              <w:rPr>
                <w:sz w:val="20"/>
                <w:szCs w:val="20"/>
                <w:color w:val="auto"/>
              </w:rPr>
            </w:pPr>
            <w:r>
              <w:rPr>
                <w:rFonts w:ascii="Arial" w:cs="Arial" w:eastAsia="Arial" w:hAnsi="Arial"/>
                <w:sz w:val="18"/>
                <w:szCs w:val="18"/>
                <w:b w:val="1"/>
                <w:bCs w:val="1"/>
                <w:color w:val="FFFFFF"/>
              </w:rPr>
              <w:t>Name</w:t>
            </w:r>
          </w:p>
        </w:tc>
        <w:tc>
          <w:tcPr>
            <w:tcW w:w="3680" w:type="dxa"/>
            <w:vAlign w:val="bottom"/>
            <w:gridSpan w:val="2"/>
            <w:shd w:val="clear" w:color="auto" w:fill="00ADBB"/>
          </w:tcPr>
          <w:p>
            <w:pPr>
              <w:ind w:left="20"/>
              <w:spacing w:after="0"/>
              <w:rPr>
                <w:sz w:val="20"/>
                <w:szCs w:val="20"/>
                <w:color w:val="auto"/>
              </w:rPr>
            </w:pPr>
            <w:r>
              <w:rPr>
                <w:rFonts w:ascii="Arial" w:cs="Arial" w:eastAsia="Arial" w:hAnsi="Arial"/>
                <w:sz w:val="18"/>
                <w:szCs w:val="18"/>
                <w:b w:val="1"/>
                <w:bCs w:val="1"/>
                <w:color w:val="FFFFFF"/>
                <w:shd w:val="clear" w:color="auto" w:fill="00ADBB"/>
              </w:rPr>
              <w:t>Multiple of Base Salary Number of Shares</w:t>
            </w:r>
          </w:p>
        </w:tc>
        <w:tc>
          <w:tcPr>
            <w:tcW w:w="2300" w:type="dxa"/>
            <w:vAlign w:val="bottom"/>
            <w:shd w:val="clear" w:color="auto" w:fill="00ADBB"/>
          </w:tcPr>
          <w:p>
            <w:pPr>
              <w:jc w:val="right"/>
              <w:ind w:right="370"/>
              <w:spacing w:after="0"/>
              <w:rPr>
                <w:sz w:val="20"/>
                <w:szCs w:val="20"/>
                <w:color w:val="auto"/>
              </w:rPr>
            </w:pPr>
            <w:r>
              <w:rPr>
                <w:rFonts w:ascii="Arial" w:cs="Arial" w:eastAsia="Arial" w:hAnsi="Arial"/>
                <w:sz w:val="18"/>
                <w:szCs w:val="18"/>
                <w:b w:val="1"/>
                <w:bCs w:val="1"/>
                <w:color w:val="FFFFFF"/>
              </w:rPr>
              <w:t xml:space="preserve">Shares Owned </w:t>
            </w:r>
            <w:r>
              <w:rPr>
                <w:rFonts w:ascii="Arial" w:cs="Arial" w:eastAsia="Arial" w:hAnsi="Arial"/>
                <w:sz w:val="15"/>
                <w:szCs w:val="15"/>
                <w:b w:val="1"/>
                <w:bCs w:val="1"/>
                <w:color w:val="FFFFFF"/>
              </w:rPr>
              <w:t>(1)</w:t>
            </w:r>
          </w:p>
        </w:tc>
      </w:tr>
      <w:tr>
        <w:trPr>
          <w:trHeight w:val="257"/>
        </w:trPr>
        <w:tc>
          <w:tcPr>
            <w:tcW w:w="470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Eric Steigerwalt</w:t>
            </w:r>
          </w:p>
        </w:tc>
        <w:tc>
          <w:tcPr>
            <w:tcW w:w="1800" w:type="dxa"/>
            <w:vAlign w:val="bottom"/>
            <w:tcBorders>
              <w:bottom w:val="single" w:sz="8" w:color="4C4C4C"/>
            </w:tcBorders>
          </w:tcPr>
          <w:p>
            <w:pPr>
              <w:ind w:left="900"/>
              <w:spacing w:after="0"/>
              <w:rPr>
                <w:sz w:val="20"/>
                <w:szCs w:val="20"/>
                <w:color w:val="auto"/>
              </w:rPr>
            </w:pPr>
            <w:r>
              <w:rPr>
                <w:rFonts w:ascii="Arial" w:cs="Arial" w:eastAsia="Arial" w:hAnsi="Arial"/>
                <w:sz w:val="18"/>
                <w:szCs w:val="18"/>
                <w:color w:val="4C4C4C"/>
              </w:rPr>
              <w:t>6x</w:t>
            </w:r>
          </w:p>
        </w:tc>
        <w:tc>
          <w:tcPr>
            <w:tcW w:w="1880" w:type="dxa"/>
            <w:vAlign w:val="bottom"/>
            <w:tcBorders>
              <w:bottom w:val="single" w:sz="8" w:color="4C4C4C"/>
            </w:tcBorders>
          </w:tcPr>
          <w:p>
            <w:pPr>
              <w:jc w:val="right"/>
              <w:ind w:right="530"/>
              <w:spacing w:after="0"/>
              <w:rPr>
                <w:sz w:val="20"/>
                <w:szCs w:val="20"/>
                <w:color w:val="auto"/>
              </w:rPr>
            </w:pPr>
            <w:r>
              <w:rPr>
                <w:rFonts w:ascii="Arial" w:cs="Arial" w:eastAsia="Arial" w:hAnsi="Arial"/>
                <w:sz w:val="18"/>
                <w:szCs w:val="18"/>
                <w:color w:val="4C4C4C"/>
              </w:rPr>
              <w:t>93,700</w:t>
            </w:r>
          </w:p>
        </w:tc>
        <w:tc>
          <w:tcPr>
            <w:tcW w:w="2300" w:type="dxa"/>
            <w:vAlign w:val="bottom"/>
            <w:tcBorders>
              <w:bottom w:val="single" w:sz="8" w:color="4C4C4C"/>
            </w:tcBorders>
          </w:tcPr>
          <w:p>
            <w:pPr>
              <w:jc w:val="right"/>
              <w:ind w:right="90"/>
              <w:spacing w:after="0"/>
              <w:rPr>
                <w:sz w:val="20"/>
                <w:szCs w:val="20"/>
                <w:color w:val="auto"/>
              </w:rPr>
            </w:pPr>
            <w:r>
              <w:rPr>
                <w:rFonts w:ascii="Arial" w:cs="Arial" w:eastAsia="Arial" w:hAnsi="Arial"/>
                <w:sz w:val="18"/>
                <w:szCs w:val="18"/>
                <w:color w:val="4C4C4C"/>
              </w:rPr>
              <w:t>178,743</w:t>
            </w:r>
          </w:p>
        </w:tc>
      </w:tr>
      <w:tr>
        <w:trPr>
          <w:trHeight w:val="236"/>
        </w:trPr>
        <w:tc>
          <w:tcPr>
            <w:tcW w:w="470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Ed Spehar</w:t>
            </w:r>
          </w:p>
        </w:tc>
        <w:tc>
          <w:tcPr>
            <w:tcW w:w="1800" w:type="dxa"/>
            <w:vAlign w:val="bottom"/>
            <w:tcBorders>
              <w:bottom w:val="single" w:sz="8" w:color="4C4C4C"/>
            </w:tcBorders>
            <w:shd w:val="clear" w:color="auto" w:fill="E5F6F8"/>
          </w:tcPr>
          <w:p>
            <w:pPr>
              <w:ind w:left="900"/>
              <w:spacing w:after="0"/>
              <w:rPr>
                <w:sz w:val="20"/>
                <w:szCs w:val="20"/>
                <w:color w:val="auto"/>
              </w:rPr>
            </w:pPr>
            <w:r>
              <w:rPr>
                <w:rFonts w:ascii="Arial" w:cs="Arial" w:eastAsia="Arial" w:hAnsi="Arial"/>
                <w:sz w:val="18"/>
                <w:szCs w:val="18"/>
                <w:color w:val="4C4C4C"/>
              </w:rPr>
              <w:t>3x</w:t>
            </w:r>
          </w:p>
        </w:tc>
        <w:tc>
          <w:tcPr>
            <w:tcW w:w="1880" w:type="dxa"/>
            <w:vAlign w:val="bottom"/>
            <w:tcBorders>
              <w:bottom w:val="single" w:sz="8" w:color="4C4C4C"/>
            </w:tcBorders>
            <w:shd w:val="clear" w:color="auto" w:fill="E5F6F8"/>
          </w:tcPr>
          <w:p>
            <w:pPr>
              <w:jc w:val="right"/>
              <w:ind w:right="530"/>
              <w:spacing w:after="0"/>
              <w:rPr>
                <w:sz w:val="20"/>
                <w:szCs w:val="20"/>
                <w:color w:val="auto"/>
              </w:rPr>
            </w:pPr>
            <w:r>
              <w:rPr>
                <w:rFonts w:ascii="Arial" w:cs="Arial" w:eastAsia="Arial" w:hAnsi="Arial"/>
                <w:sz w:val="18"/>
                <w:szCs w:val="18"/>
                <w:color w:val="4C4C4C"/>
              </w:rPr>
              <w:t>53,400</w:t>
            </w:r>
          </w:p>
        </w:tc>
        <w:tc>
          <w:tcPr>
            <w:tcW w:w="2300" w:type="dxa"/>
            <w:vAlign w:val="bottom"/>
            <w:tcBorders>
              <w:bottom w:val="single" w:sz="8" w:color="4C4C4C"/>
            </w:tcBorders>
            <w:shd w:val="clear" w:color="auto" w:fill="E5F6F8"/>
          </w:tcPr>
          <w:p>
            <w:pPr>
              <w:jc w:val="right"/>
              <w:ind w:right="90"/>
              <w:spacing w:after="0"/>
              <w:rPr>
                <w:sz w:val="20"/>
                <w:szCs w:val="20"/>
                <w:color w:val="auto"/>
              </w:rPr>
            </w:pPr>
            <w:r>
              <w:rPr>
                <w:rFonts w:ascii="Arial" w:cs="Arial" w:eastAsia="Arial" w:hAnsi="Arial"/>
                <w:sz w:val="18"/>
                <w:szCs w:val="18"/>
                <w:color w:val="4C4C4C"/>
              </w:rPr>
              <w:t>11,699</w:t>
            </w:r>
          </w:p>
        </w:tc>
      </w:tr>
      <w:tr>
        <w:trPr>
          <w:trHeight w:val="237"/>
        </w:trPr>
        <w:tc>
          <w:tcPr>
            <w:tcW w:w="470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Christine DeBiase</w:t>
            </w:r>
          </w:p>
        </w:tc>
        <w:tc>
          <w:tcPr>
            <w:tcW w:w="1800" w:type="dxa"/>
            <w:vAlign w:val="bottom"/>
            <w:tcBorders>
              <w:bottom w:val="single" w:sz="8" w:color="4C4C4C"/>
            </w:tcBorders>
          </w:tcPr>
          <w:p>
            <w:pPr>
              <w:ind w:left="900"/>
              <w:spacing w:after="0"/>
              <w:rPr>
                <w:sz w:val="20"/>
                <w:szCs w:val="20"/>
                <w:color w:val="auto"/>
              </w:rPr>
            </w:pPr>
            <w:r>
              <w:rPr>
                <w:rFonts w:ascii="Arial" w:cs="Arial" w:eastAsia="Arial" w:hAnsi="Arial"/>
                <w:sz w:val="18"/>
                <w:szCs w:val="18"/>
                <w:color w:val="4C4C4C"/>
              </w:rPr>
              <w:t>3x</w:t>
            </w:r>
          </w:p>
        </w:tc>
        <w:tc>
          <w:tcPr>
            <w:tcW w:w="1880" w:type="dxa"/>
            <w:vAlign w:val="bottom"/>
            <w:tcBorders>
              <w:bottom w:val="single" w:sz="8" w:color="4C4C4C"/>
            </w:tcBorders>
          </w:tcPr>
          <w:p>
            <w:pPr>
              <w:jc w:val="right"/>
              <w:ind w:right="530"/>
              <w:spacing w:after="0"/>
              <w:rPr>
                <w:sz w:val="20"/>
                <w:szCs w:val="20"/>
                <w:color w:val="auto"/>
              </w:rPr>
            </w:pPr>
            <w:r>
              <w:rPr>
                <w:rFonts w:ascii="Arial" w:cs="Arial" w:eastAsia="Arial" w:hAnsi="Arial"/>
                <w:sz w:val="18"/>
                <w:szCs w:val="18"/>
                <w:color w:val="4C4C4C"/>
              </w:rPr>
              <w:t>30,000</w:t>
            </w:r>
          </w:p>
        </w:tc>
        <w:tc>
          <w:tcPr>
            <w:tcW w:w="2300" w:type="dxa"/>
            <w:vAlign w:val="bottom"/>
            <w:tcBorders>
              <w:bottom w:val="single" w:sz="8" w:color="4C4C4C"/>
            </w:tcBorders>
          </w:tcPr>
          <w:p>
            <w:pPr>
              <w:jc w:val="right"/>
              <w:ind w:right="90"/>
              <w:spacing w:after="0"/>
              <w:rPr>
                <w:sz w:val="20"/>
                <w:szCs w:val="20"/>
                <w:color w:val="auto"/>
              </w:rPr>
            </w:pPr>
            <w:r>
              <w:rPr>
                <w:rFonts w:ascii="Arial" w:cs="Arial" w:eastAsia="Arial" w:hAnsi="Arial"/>
                <w:sz w:val="18"/>
                <w:szCs w:val="18"/>
                <w:color w:val="4C4C4C"/>
              </w:rPr>
              <w:t>43,489</w:t>
            </w:r>
          </w:p>
        </w:tc>
      </w:tr>
      <w:tr>
        <w:trPr>
          <w:trHeight w:val="237"/>
        </w:trPr>
        <w:tc>
          <w:tcPr>
            <w:tcW w:w="4700" w:type="dxa"/>
            <w:vAlign w:val="bottom"/>
            <w:tcBorders>
              <w:bottom w:val="single" w:sz="8" w:color="4C4C4C"/>
            </w:tcBorders>
            <w:shd w:val="clear" w:color="auto" w:fill="E5F6F8"/>
          </w:tcPr>
          <w:p>
            <w:pPr>
              <w:ind w:left="60"/>
              <w:spacing w:after="0"/>
              <w:rPr>
                <w:sz w:val="20"/>
                <w:szCs w:val="20"/>
                <w:color w:val="auto"/>
              </w:rPr>
            </w:pPr>
            <w:r>
              <w:rPr>
                <w:rFonts w:ascii="Arial" w:cs="Arial" w:eastAsia="Arial" w:hAnsi="Arial"/>
                <w:sz w:val="18"/>
                <w:szCs w:val="18"/>
                <w:color w:val="4C4C4C"/>
              </w:rPr>
              <w:t>Conor Murphy</w:t>
            </w:r>
          </w:p>
        </w:tc>
        <w:tc>
          <w:tcPr>
            <w:tcW w:w="1800" w:type="dxa"/>
            <w:vAlign w:val="bottom"/>
            <w:tcBorders>
              <w:bottom w:val="single" w:sz="8" w:color="4C4C4C"/>
            </w:tcBorders>
            <w:shd w:val="clear" w:color="auto" w:fill="E5F6F8"/>
          </w:tcPr>
          <w:p>
            <w:pPr>
              <w:ind w:left="900"/>
              <w:spacing w:after="0"/>
              <w:rPr>
                <w:sz w:val="20"/>
                <w:szCs w:val="20"/>
                <w:color w:val="auto"/>
              </w:rPr>
            </w:pPr>
            <w:r>
              <w:rPr>
                <w:rFonts w:ascii="Arial" w:cs="Arial" w:eastAsia="Arial" w:hAnsi="Arial"/>
                <w:sz w:val="18"/>
                <w:szCs w:val="18"/>
                <w:color w:val="4C4C4C"/>
              </w:rPr>
              <w:t>3x</w:t>
            </w:r>
          </w:p>
        </w:tc>
        <w:tc>
          <w:tcPr>
            <w:tcW w:w="1880" w:type="dxa"/>
            <w:vAlign w:val="bottom"/>
            <w:tcBorders>
              <w:bottom w:val="single" w:sz="8" w:color="4C4C4C"/>
            </w:tcBorders>
            <w:shd w:val="clear" w:color="auto" w:fill="E5F6F8"/>
          </w:tcPr>
          <w:p>
            <w:pPr>
              <w:jc w:val="right"/>
              <w:ind w:right="530"/>
              <w:spacing w:after="0"/>
              <w:rPr>
                <w:sz w:val="20"/>
                <w:szCs w:val="20"/>
                <w:color w:val="auto"/>
              </w:rPr>
            </w:pPr>
            <w:r>
              <w:rPr>
                <w:rFonts w:ascii="Arial" w:cs="Arial" w:eastAsia="Arial" w:hAnsi="Arial"/>
                <w:sz w:val="18"/>
                <w:szCs w:val="18"/>
                <w:color w:val="4C4C4C"/>
              </w:rPr>
              <w:t>26,800</w:t>
            </w:r>
          </w:p>
        </w:tc>
        <w:tc>
          <w:tcPr>
            <w:tcW w:w="2300" w:type="dxa"/>
            <w:vAlign w:val="bottom"/>
            <w:tcBorders>
              <w:bottom w:val="single" w:sz="8" w:color="4C4C4C"/>
            </w:tcBorders>
            <w:shd w:val="clear" w:color="auto" w:fill="E5F6F8"/>
          </w:tcPr>
          <w:p>
            <w:pPr>
              <w:jc w:val="right"/>
              <w:ind w:right="90"/>
              <w:spacing w:after="0"/>
              <w:rPr>
                <w:sz w:val="20"/>
                <w:szCs w:val="20"/>
                <w:color w:val="auto"/>
              </w:rPr>
            </w:pPr>
            <w:r>
              <w:rPr>
                <w:rFonts w:ascii="Arial" w:cs="Arial" w:eastAsia="Arial" w:hAnsi="Arial"/>
                <w:sz w:val="18"/>
                <w:szCs w:val="18"/>
                <w:color w:val="4C4C4C"/>
              </w:rPr>
              <w:t>35,914</w:t>
            </w:r>
          </w:p>
        </w:tc>
      </w:tr>
      <w:tr>
        <w:trPr>
          <w:trHeight w:val="237"/>
        </w:trPr>
        <w:tc>
          <w:tcPr>
            <w:tcW w:w="4700" w:type="dxa"/>
            <w:vAlign w:val="bottom"/>
            <w:tcBorders>
              <w:bottom w:val="single" w:sz="8" w:color="4C4C4C"/>
            </w:tcBorders>
          </w:tcPr>
          <w:p>
            <w:pPr>
              <w:ind w:left="60"/>
              <w:spacing w:after="0"/>
              <w:rPr>
                <w:sz w:val="20"/>
                <w:szCs w:val="20"/>
                <w:color w:val="auto"/>
              </w:rPr>
            </w:pPr>
            <w:r>
              <w:rPr>
                <w:rFonts w:ascii="Arial" w:cs="Arial" w:eastAsia="Arial" w:hAnsi="Arial"/>
                <w:sz w:val="18"/>
                <w:szCs w:val="18"/>
                <w:color w:val="4C4C4C"/>
              </w:rPr>
              <w:t>John Rosenthal</w:t>
            </w:r>
          </w:p>
        </w:tc>
        <w:tc>
          <w:tcPr>
            <w:tcW w:w="1800" w:type="dxa"/>
            <w:vAlign w:val="bottom"/>
            <w:tcBorders>
              <w:bottom w:val="single" w:sz="8" w:color="4C4C4C"/>
            </w:tcBorders>
          </w:tcPr>
          <w:p>
            <w:pPr>
              <w:ind w:left="900"/>
              <w:spacing w:after="0"/>
              <w:rPr>
                <w:sz w:val="20"/>
                <w:szCs w:val="20"/>
                <w:color w:val="auto"/>
              </w:rPr>
            </w:pPr>
            <w:r>
              <w:rPr>
                <w:rFonts w:ascii="Arial" w:cs="Arial" w:eastAsia="Arial" w:hAnsi="Arial"/>
                <w:sz w:val="18"/>
                <w:szCs w:val="18"/>
                <w:color w:val="4C4C4C"/>
              </w:rPr>
              <w:t>3x</w:t>
            </w:r>
          </w:p>
        </w:tc>
        <w:tc>
          <w:tcPr>
            <w:tcW w:w="1880" w:type="dxa"/>
            <w:vAlign w:val="bottom"/>
            <w:tcBorders>
              <w:bottom w:val="single" w:sz="8" w:color="4C4C4C"/>
            </w:tcBorders>
          </w:tcPr>
          <w:p>
            <w:pPr>
              <w:jc w:val="right"/>
              <w:ind w:right="530"/>
              <w:spacing w:after="0"/>
              <w:rPr>
                <w:sz w:val="20"/>
                <w:szCs w:val="20"/>
                <w:color w:val="auto"/>
              </w:rPr>
            </w:pPr>
            <w:r>
              <w:rPr>
                <w:rFonts w:ascii="Arial" w:cs="Arial" w:eastAsia="Arial" w:hAnsi="Arial"/>
                <w:sz w:val="18"/>
                <w:szCs w:val="18"/>
                <w:color w:val="4C4C4C"/>
              </w:rPr>
              <w:t>28,700</w:t>
            </w:r>
          </w:p>
        </w:tc>
        <w:tc>
          <w:tcPr>
            <w:tcW w:w="2300" w:type="dxa"/>
            <w:vAlign w:val="bottom"/>
            <w:tcBorders>
              <w:bottom w:val="single" w:sz="8" w:color="4C4C4C"/>
            </w:tcBorders>
          </w:tcPr>
          <w:p>
            <w:pPr>
              <w:jc w:val="right"/>
              <w:ind w:right="90"/>
              <w:spacing w:after="0"/>
              <w:rPr>
                <w:sz w:val="20"/>
                <w:szCs w:val="20"/>
                <w:color w:val="auto"/>
              </w:rPr>
            </w:pPr>
            <w:r>
              <w:rPr>
                <w:rFonts w:ascii="Arial" w:cs="Arial" w:eastAsia="Arial" w:hAnsi="Arial"/>
                <w:sz w:val="18"/>
                <w:szCs w:val="18"/>
                <w:color w:val="4C4C4C"/>
              </w:rPr>
              <w:t>65,642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-1087755</wp:posOffset>
            </wp:positionV>
            <wp:extent cx="2272030" cy="265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72030" cy="265430"/>
                    </a:xfrm>
                    <a:prstGeom prst="rect">
                      <a:avLst/>
                    </a:prstGeom>
                    <a:noFill/>
                  </pic:spPr>
                </pic:pic>
              </a:graphicData>
            </a:graphic>
          </wp:anchor>
        </w:drawing>
      </w:r>
    </w:p>
    <w:p>
      <w:pPr>
        <w:spacing w:after="0" w:line="101" w:lineRule="exact"/>
        <w:rPr>
          <w:sz w:val="20"/>
          <w:szCs w:val="20"/>
          <w:color w:val="auto"/>
        </w:rPr>
      </w:pPr>
    </w:p>
    <w:p>
      <w:pPr>
        <w:ind w:left="700" w:hanging="419"/>
        <w:spacing w:after="0"/>
        <w:tabs>
          <w:tab w:leader="none" w:pos="700" w:val="left"/>
        </w:tabs>
        <w:numPr>
          <w:ilvl w:val="0"/>
          <w:numId w:val="140"/>
        </w:numPr>
        <w:rPr>
          <w:rFonts w:ascii="Arial" w:cs="Arial" w:eastAsia="Arial" w:hAnsi="Arial"/>
          <w:sz w:val="18"/>
          <w:szCs w:val="18"/>
          <w:color w:val="4C4C4C"/>
        </w:rPr>
      </w:pPr>
      <w:r>
        <w:rPr>
          <w:rFonts w:ascii="Arial" w:cs="Arial" w:eastAsia="Arial" w:hAnsi="Arial"/>
          <w:sz w:val="18"/>
          <w:szCs w:val="18"/>
          <w:color w:val="4C4C4C"/>
        </w:rPr>
        <w:t>Ownership is as of April 13, 2021.</w:t>
      </w:r>
    </w:p>
    <w:p>
      <w:pPr>
        <w:spacing w:after="0" w:line="104" w:lineRule="exact"/>
        <w:rPr>
          <w:sz w:val="20"/>
          <w:szCs w:val="20"/>
          <w:color w:val="auto"/>
        </w:rPr>
      </w:pPr>
    </w:p>
    <w:p>
      <w:pPr>
        <w:ind w:left="280" w:right="200"/>
        <w:spacing w:after="0" w:line="238" w:lineRule="auto"/>
        <w:rPr>
          <w:sz w:val="20"/>
          <w:szCs w:val="20"/>
          <w:color w:val="auto"/>
        </w:rPr>
      </w:pPr>
      <w:r>
        <w:rPr>
          <w:rFonts w:ascii="Arial" w:cs="Arial" w:eastAsia="Arial" w:hAnsi="Arial"/>
          <w:sz w:val="18"/>
          <w:szCs w:val="18"/>
          <w:color w:val="4C4C4C"/>
        </w:rPr>
        <w:t>Officers subject to the guidelines must retain at least 50% of the net after-tax Shares acquired from settlement or exercise of stock-based awards until the applicable ownership level is achieved. Shares that are included in determining an officer’s stock ownership level include Shares owned outright (or jointly with a spouse or in a trust over which an executive has investment control) and net Shares received from exercise and/or settlement of stock-based awards under the Employee Plan. Shares underlying unvested equity awards are not included in determining an officer’s ownership level.</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Benefit Plans</w:t>
      </w:r>
    </w:p>
    <w:p>
      <w:pPr>
        <w:spacing w:after="0" w:line="18" w:lineRule="exact"/>
        <w:rPr>
          <w:sz w:val="20"/>
          <w:szCs w:val="20"/>
          <w:color w:val="auto"/>
        </w:rPr>
      </w:pPr>
    </w:p>
    <w:p>
      <w:pPr>
        <w:ind w:left="280" w:right="200"/>
        <w:spacing w:after="0" w:line="236" w:lineRule="auto"/>
        <w:rPr>
          <w:sz w:val="20"/>
          <w:szCs w:val="20"/>
          <w:color w:val="auto"/>
        </w:rPr>
      </w:pPr>
      <w:r>
        <w:rPr>
          <w:rFonts w:ascii="Arial" w:cs="Arial" w:eastAsia="Arial" w:hAnsi="Arial"/>
          <w:sz w:val="18"/>
          <w:szCs w:val="18"/>
          <w:i w:val="1"/>
          <w:iCs w:val="1"/>
          <w:color w:val="4C4C4C"/>
        </w:rPr>
        <w:t>Brighthouse Savings Plan and Auxiliary Savings Plan</w:t>
      </w:r>
      <w:r>
        <w:rPr>
          <w:rFonts w:ascii="Arial" w:cs="Arial" w:eastAsia="Arial" w:hAnsi="Arial"/>
          <w:sz w:val="18"/>
          <w:szCs w:val="18"/>
          <w:color w:val="4C4C4C"/>
        </w:rPr>
        <w:t>. Our employees, including our NEOs, are eligible to participate in the</w:t>
      </w:r>
      <w:r>
        <w:rPr>
          <w:rFonts w:ascii="Arial" w:cs="Arial" w:eastAsia="Arial" w:hAnsi="Arial"/>
          <w:sz w:val="18"/>
          <w:szCs w:val="18"/>
          <w:i w:val="1"/>
          <w:iCs w:val="1"/>
          <w:color w:val="4C4C4C"/>
        </w:rPr>
        <w:t xml:space="preserve"> </w:t>
      </w:r>
      <w:r>
        <w:rPr>
          <w:rFonts w:ascii="Arial" w:cs="Arial" w:eastAsia="Arial" w:hAnsi="Arial"/>
          <w:sz w:val="18"/>
          <w:szCs w:val="18"/>
          <w:color w:val="4C4C4C"/>
        </w:rPr>
        <w:t>Brighthouse Services, LLC Savings Plan and Trust (the “</w:t>
      </w:r>
      <w:r>
        <w:rPr>
          <w:rFonts w:ascii="Arial" w:cs="Arial" w:eastAsia="Arial" w:hAnsi="Arial"/>
          <w:sz w:val="18"/>
          <w:szCs w:val="18"/>
          <w:b w:val="1"/>
          <w:bCs w:val="1"/>
          <w:color w:val="00ADBB"/>
        </w:rPr>
        <w:t>Brighthouse Savings Plan</w:t>
      </w:r>
      <w:r>
        <w:rPr>
          <w:rFonts w:ascii="Arial" w:cs="Arial" w:eastAsia="Arial" w:hAnsi="Arial"/>
          <w:sz w:val="18"/>
          <w:szCs w:val="18"/>
          <w:color w:val="4C4C4C"/>
        </w:rPr>
        <w:t>”), which is a tax-qualified 401(k) plan. In addition, certain employees, including our NEOs, are eligible to participate in the Brighthouse Services, LLC Auxiliary Savings Plan (the “</w:t>
      </w:r>
      <w:r>
        <w:rPr>
          <w:rFonts w:ascii="Arial" w:cs="Arial" w:eastAsia="Arial" w:hAnsi="Arial"/>
          <w:sz w:val="18"/>
          <w:szCs w:val="18"/>
          <w:b w:val="1"/>
          <w:bCs w:val="1"/>
          <w:color w:val="00ADBB"/>
        </w:rPr>
        <w:t>Auxiliary Plan</w:t>
      </w:r>
      <w:r>
        <w:rPr>
          <w:rFonts w:ascii="Arial" w:cs="Arial" w:eastAsia="Arial" w:hAnsi="Arial"/>
          <w:sz w:val="18"/>
          <w:szCs w:val="18"/>
          <w:color w:val="4C4C4C"/>
        </w:rPr>
        <w:t>”). Participants in the Auxiliary Plan receive Company matching and Company non-discretionary contributions that cannot be made to the Brighthouse Savings Plan because a participant’s compensation exceeds certain tax qualified plan contribution limits imposed under the Code. For the Company matching and Company non-discretionary contributions under the Brighthouse Savings Plan and Auxiliary Plan earned in 2020, see the “</w:t>
      </w:r>
      <w:r>
        <w:rPr>
          <w:rFonts w:ascii="Arial" w:cs="Arial" w:eastAsia="Arial" w:hAnsi="Arial"/>
          <w:sz w:val="18"/>
          <w:szCs w:val="18"/>
          <w:color w:val="4CC5CF"/>
        </w:rPr>
        <w:t>All Other Compensation</w:t>
      </w:r>
      <w:r>
        <w:rPr>
          <w:rFonts w:ascii="Arial" w:cs="Arial" w:eastAsia="Arial" w:hAnsi="Arial"/>
          <w:sz w:val="18"/>
          <w:szCs w:val="18"/>
          <w:color w:val="4C4C4C"/>
        </w:rPr>
        <w:t xml:space="preserve">” column in the </w:t>
      </w:r>
      <w:r>
        <w:rPr>
          <w:rFonts w:ascii="Arial" w:cs="Arial" w:eastAsia="Arial" w:hAnsi="Arial"/>
          <w:sz w:val="18"/>
          <w:szCs w:val="18"/>
          <w:color w:val="4CC5CF"/>
        </w:rPr>
        <w:t>Summary Compensation Table</w:t>
      </w:r>
      <w:r>
        <w:rPr>
          <w:rFonts w:ascii="Arial" w:cs="Arial" w:eastAsia="Arial" w:hAnsi="Arial"/>
          <w:sz w:val="18"/>
          <w:szCs w:val="18"/>
          <w:color w:val="4C4C4C"/>
        </w:rPr>
        <w:t>. Company matching and Company non-discretionary contributions in the Brighthouse Savings Plan and the Auxiliary Plan become 100% vested after the participant completes two years of service. Under the Auxiliary Plan, in the event of a change of control, all participants will be fully vested in all contributions, including earnings, under the Auxiliary Plan. In addition, no amendments can be made to the Auxiliary Plan after a change of control that would decrease the value of benefits accrued to any participant under the Auxiliary Plan as of the date of the change of control or change the time or form of distribution under the Auxiliary Plan to eliminate lump sum distributions or further defer the timing of</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58 | 2021 Proxy Statement</w:t>
      </w:r>
    </w:p>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Section 3 – Additional Compensation Practices and Policies</w:t>
      </w:r>
    </w:p>
    <w:p>
      <w:pPr>
        <w:spacing w:after="0" w:line="200" w:lineRule="exact"/>
        <w:rPr>
          <w:sz w:val="20"/>
          <w:szCs w:val="20"/>
          <w:color w:val="auto"/>
        </w:rPr>
      </w:pPr>
    </w:p>
    <w:p>
      <w:pPr>
        <w:sectPr>
          <w:pgSz w:w="11900" w:h="16838" w:orient="portrait"/>
          <w:cols w:equalWidth="0" w:num="2">
            <w:col w:w="6820" w:space="720"/>
            <w:col w:w="3600"/>
          </w:cols>
          <w:pgMar w:left="320" w:top="459" w:right="439" w:bottom="1440" w:gutter="0" w:footer="0" w:header="0"/>
          <w:type w:val="continuous"/>
        </w:sectPr>
      </w:pPr>
    </w:p>
    <w:p>
      <w:pPr>
        <w:spacing w:after="0" w:line="5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4C4C4C"/>
        </w:rPr>
        <w:t>payment. See the narrative following the “Nonqualified Deferred Compensation in 2020” table for additional information about the Auxiliary Plan.</w:t>
      </w:r>
    </w:p>
    <w:p>
      <w:pPr>
        <w:spacing w:after="0" w:line="6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color w:val="4C4C4C"/>
        </w:rPr>
        <w:t>Voluntary Deferred Compensation Plan</w:t>
      </w:r>
      <w:r>
        <w:rPr>
          <w:rFonts w:ascii="Arial" w:cs="Arial" w:eastAsia="Arial" w:hAnsi="Arial"/>
          <w:sz w:val="18"/>
          <w:szCs w:val="18"/>
          <w:color w:val="4C4C4C"/>
        </w:rPr>
        <w:t>. The Brighthouse Services, LLC Voluntary Deferred Compensation Plan (“</w:t>
      </w:r>
      <w:r>
        <w:rPr>
          <w:rFonts w:ascii="Arial" w:cs="Arial" w:eastAsia="Arial" w:hAnsi="Arial"/>
          <w:sz w:val="18"/>
          <w:szCs w:val="18"/>
          <w:b w:val="1"/>
          <w:bCs w:val="1"/>
          <w:color w:val="00ADBB"/>
        </w:rPr>
        <w:t>VDCP</w:t>
      </w:r>
      <w:r>
        <w:rPr>
          <w:rFonts w:ascii="Arial" w:cs="Arial" w:eastAsia="Arial" w:hAnsi="Arial"/>
          <w:sz w:val="18"/>
          <w:szCs w:val="18"/>
          <w:color w:val="4C4C4C"/>
        </w:rPr>
        <w:t>”), a nonqualified</w:t>
      </w:r>
      <w:r>
        <w:rPr>
          <w:rFonts w:ascii="Arial" w:cs="Arial" w:eastAsia="Arial" w:hAnsi="Arial"/>
          <w:sz w:val="18"/>
          <w:szCs w:val="18"/>
          <w:i w:val="1"/>
          <w:iCs w:val="1"/>
          <w:color w:val="4C4C4C"/>
        </w:rPr>
        <w:t xml:space="preserve"> </w:t>
      </w:r>
      <w:r>
        <w:rPr>
          <w:rFonts w:ascii="Arial" w:cs="Arial" w:eastAsia="Arial" w:hAnsi="Arial"/>
          <w:sz w:val="18"/>
          <w:szCs w:val="18"/>
          <w:color w:val="4C4C4C"/>
        </w:rPr>
        <w:t>deferred compensation plan, allows a select group of highly compensated employees the opportunity to defer between 10% and 50% of eligible base salary and from 10% to 80% of STI awards. Amounts deferred are notionally invested in investment tracking funds selected by the participant. Participants can elect to have deferred compensation accounts paid, or begin to be paid, in a specific year, which cannot be earlier than May of the third calendar year following the year the compensation was earned and may elect to receive distributions in either a single lump sum or up to 15 annual installments. In the event of a participant’s death before distributions commence or are completed, the participant’s account balance will be paid in a single lump sum to the participant’s beneficiary. In the event of a change of control, no amendments can be made to the VDCP after a change of control that would decrease the amount in a participant’s deferred compensation account accrued under the VDCP as of the date of the change of control or modify the time or form of distributions under the VDCP.</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C4C4C"/>
        </w:rPr>
        <w:t>Limited Death Benefit Plan</w:t>
      </w:r>
      <w:r>
        <w:rPr>
          <w:rFonts w:ascii="Arial" w:cs="Arial" w:eastAsia="Arial" w:hAnsi="Arial"/>
          <w:sz w:val="18"/>
          <w:szCs w:val="18"/>
          <w:color w:val="4C4C4C"/>
        </w:rPr>
        <w:t>. Brighthouse’s subsidiary, Brighthouse Services, LLC (“</w:t>
      </w:r>
      <w:r>
        <w:rPr>
          <w:rFonts w:ascii="Arial" w:cs="Arial" w:eastAsia="Arial" w:hAnsi="Arial"/>
          <w:sz w:val="18"/>
          <w:szCs w:val="18"/>
          <w:b w:val="1"/>
          <w:bCs w:val="1"/>
          <w:color w:val="00ADBB"/>
        </w:rPr>
        <w:t>Brighthouse Services</w:t>
      </w:r>
      <w:r>
        <w:rPr>
          <w:rFonts w:ascii="Arial" w:cs="Arial" w:eastAsia="Arial" w:hAnsi="Arial"/>
          <w:sz w:val="18"/>
          <w:szCs w:val="18"/>
          <w:color w:val="4C4C4C"/>
        </w:rPr>
        <w:t>”) maintains the Brighthouse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Services, LLC Limited Death Benefit Plan (the “</w:t>
      </w:r>
      <w:r>
        <w:rPr>
          <w:rFonts w:ascii="Arial" w:cs="Arial" w:eastAsia="Arial" w:hAnsi="Arial"/>
          <w:sz w:val="18"/>
          <w:szCs w:val="18"/>
          <w:b w:val="1"/>
          <w:bCs w:val="1"/>
          <w:color w:val="00ADBB"/>
        </w:rPr>
        <w:t>Limited Death Benefit Plan</w:t>
      </w:r>
      <w:r>
        <w:rPr>
          <w:rFonts w:ascii="Arial" w:cs="Arial" w:eastAsia="Arial" w:hAnsi="Arial"/>
          <w:sz w:val="18"/>
          <w:szCs w:val="18"/>
          <w:color w:val="4C4C4C"/>
        </w:rPr>
        <w:t>”) to provide a benefit to the participants who die while</w:t>
      </w:r>
    </w:p>
    <w:p>
      <w:pPr>
        <w:ind w:left="120"/>
        <w:spacing w:after="0" w:line="234" w:lineRule="auto"/>
        <w:rPr>
          <w:sz w:val="20"/>
          <w:szCs w:val="20"/>
          <w:color w:val="auto"/>
        </w:rPr>
      </w:pPr>
      <w:r>
        <w:rPr>
          <w:rFonts w:ascii="Arial" w:cs="Arial" w:eastAsia="Arial" w:hAnsi="Arial"/>
          <w:sz w:val="18"/>
          <w:szCs w:val="18"/>
          <w:color w:val="4C4C4C"/>
        </w:rPr>
        <w:t>employed by Brighthouse Services or its designated affiliates. The participants are employees of Brighthouse who are entitled to a</w:t>
      </w:r>
    </w:p>
    <w:p>
      <w:pPr>
        <w:ind w:left="120"/>
        <w:spacing w:after="0" w:line="235" w:lineRule="auto"/>
        <w:rPr>
          <w:sz w:val="20"/>
          <w:szCs w:val="20"/>
          <w:color w:val="auto"/>
        </w:rPr>
      </w:pPr>
      <w:r>
        <w:rPr>
          <w:rFonts w:ascii="Arial" w:cs="Arial" w:eastAsia="Arial" w:hAnsi="Arial"/>
          <w:sz w:val="18"/>
          <w:szCs w:val="18"/>
          <w:color w:val="4C4C4C"/>
        </w:rPr>
        <w:t>“traditional formula” benefit upon retirement under the MetLife, Inc. Auxiliary Retirement Plan (the “</w:t>
      </w:r>
      <w:r>
        <w:rPr>
          <w:rFonts w:ascii="Arial" w:cs="Arial" w:eastAsia="Arial" w:hAnsi="Arial"/>
          <w:sz w:val="18"/>
          <w:szCs w:val="18"/>
          <w:b w:val="1"/>
          <w:bCs w:val="1"/>
          <w:color w:val="00ADBB"/>
        </w:rPr>
        <w:t>MetLife ARP</w:t>
      </w:r>
      <w:r>
        <w:rPr>
          <w:rFonts w:ascii="Arial" w:cs="Arial" w:eastAsia="Arial" w:hAnsi="Arial"/>
          <w:sz w:val="18"/>
          <w:szCs w:val="18"/>
          <w:color w:val="4C4C4C"/>
        </w:rPr>
        <w:t>”) and whose employment</w:t>
      </w:r>
    </w:p>
    <w:p>
      <w:pPr>
        <w:ind w:left="120"/>
        <w:spacing w:after="0" w:line="235" w:lineRule="auto"/>
        <w:rPr>
          <w:sz w:val="20"/>
          <w:szCs w:val="20"/>
          <w:color w:val="auto"/>
        </w:rPr>
      </w:pPr>
      <w:r>
        <w:rPr>
          <w:rFonts w:ascii="Arial" w:cs="Arial" w:eastAsia="Arial" w:hAnsi="Arial"/>
          <w:sz w:val="18"/>
          <w:szCs w:val="18"/>
          <w:color w:val="4C4C4C"/>
        </w:rPr>
        <w:t>transferred from MetLife Group, Inc. to Brighthouse Services in connection with the Separation from MetLife, Inc. Under the MetLife ARP,</w:t>
      </w:r>
    </w:p>
    <w:p>
      <w:pPr>
        <w:ind w:left="120"/>
        <w:spacing w:after="0" w:line="235" w:lineRule="auto"/>
        <w:rPr>
          <w:sz w:val="20"/>
          <w:szCs w:val="20"/>
          <w:color w:val="auto"/>
        </w:rPr>
      </w:pPr>
      <w:r>
        <w:rPr>
          <w:rFonts w:ascii="Arial" w:cs="Arial" w:eastAsia="Arial" w:hAnsi="Arial"/>
          <w:sz w:val="18"/>
          <w:szCs w:val="18"/>
          <w:color w:val="4C4C4C"/>
        </w:rPr>
        <w:t>participants are not entitled to a traditional formula benefit if they die while employed by Brighthouse. The Limited Death Benefit Plan</w:t>
      </w:r>
    </w:p>
    <w:p>
      <w:pPr>
        <w:ind w:left="120"/>
        <w:spacing w:after="0" w:line="235" w:lineRule="auto"/>
        <w:rPr>
          <w:sz w:val="20"/>
          <w:szCs w:val="20"/>
          <w:color w:val="auto"/>
        </w:rPr>
      </w:pPr>
      <w:r>
        <w:rPr>
          <w:rFonts w:ascii="Arial" w:cs="Arial" w:eastAsia="Arial" w:hAnsi="Arial"/>
          <w:sz w:val="18"/>
          <w:szCs w:val="18"/>
          <w:color w:val="4C4C4C"/>
        </w:rPr>
        <w:t>provides the participants with a benefit in the form of a final wage payment that approximates the MetLife ARP benefit that would be lost</w:t>
      </w:r>
    </w:p>
    <w:p>
      <w:pPr>
        <w:ind w:left="120"/>
        <w:spacing w:after="0" w:line="234" w:lineRule="auto"/>
        <w:rPr>
          <w:sz w:val="20"/>
          <w:szCs w:val="20"/>
          <w:color w:val="auto"/>
        </w:rPr>
      </w:pPr>
      <w:r>
        <w:rPr>
          <w:rFonts w:ascii="Arial" w:cs="Arial" w:eastAsia="Arial" w:hAnsi="Arial"/>
          <w:sz w:val="18"/>
          <w:szCs w:val="18"/>
          <w:color w:val="4C4C4C"/>
        </w:rPr>
        <w:t>should they die while employed by Brighthouse. The Limited Death Benefit Plan currently has 12 participants, of whom two, John</w:t>
      </w:r>
    </w:p>
    <w:p>
      <w:pPr>
        <w:ind w:left="120"/>
        <w:spacing w:after="0" w:line="235" w:lineRule="auto"/>
        <w:rPr>
          <w:sz w:val="20"/>
          <w:szCs w:val="20"/>
          <w:color w:val="auto"/>
        </w:rPr>
      </w:pPr>
      <w:r>
        <w:rPr>
          <w:rFonts w:ascii="Arial" w:cs="Arial" w:eastAsia="Arial" w:hAnsi="Arial"/>
          <w:sz w:val="18"/>
          <w:szCs w:val="18"/>
          <w:color w:val="4C4C4C"/>
        </w:rPr>
        <w:t>Rosenthal and Christine M. DeBiase, are NEOs. The potential amount of the benefit to be paid to these NEOs is described in the</w:t>
      </w:r>
    </w:p>
    <w:p>
      <w:pPr>
        <w:ind w:left="120"/>
        <w:spacing w:after="0" w:line="235" w:lineRule="auto"/>
        <w:rPr>
          <w:sz w:val="20"/>
          <w:szCs w:val="20"/>
          <w:color w:val="auto"/>
        </w:rPr>
      </w:pPr>
      <w:r>
        <w:rPr>
          <w:rFonts w:ascii="Arial" w:cs="Arial" w:eastAsia="Arial" w:hAnsi="Arial"/>
          <w:sz w:val="18"/>
          <w:szCs w:val="18"/>
          <w:color w:val="4C4C4C"/>
        </w:rPr>
        <w:t>“</w:t>
      </w:r>
      <w:r>
        <w:rPr>
          <w:rFonts w:ascii="Arial" w:cs="Arial" w:eastAsia="Arial" w:hAnsi="Arial"/>
          <w:sz w:val="18"/>
          <w:szCs w:val="18"/>
          <w:color w:val="00ADBB"/>
        </w:rPr>
        <w:t>Potential Payments Upon Termination or Change in Control</w:t>
      </w:r>
      <w:r>
        <w:rPr>
          <w:rFonts w:ascii="Arial" w:cs="Arial" w:eastAsia="Arial" w:hAnsi="Arial"/>
          <w:sz w:val="18"/>
          <w:szCs w:val="18"/>
          <w:color w:val="4C4C4C"/>
        </w:rPr>
        <w:t>” table. As an offset to Brighthouse Services’ potential liabilities under the</w:t>
      </w:r>
    </w:p>
    <w:p>
      <w:pPr>
        <w:ind w:left="120"/>
        <w:spacing w:after="0" w:line="235" w:lineRule="auto"/>
        <w:rPr>
          <w:sz w:val="20"/>
          <w:szCs w:val="20"/>
          <w:color w:val="auto"/>
        </w:rPr>
      </w:pPr>
      <w:r>
        <w:rPr>
          <w:rFonts w:ascii="Arial" w:cs="Arial" w:eastAsia="Arial" w:hAnsi="Arial"/>
          <w:sz w:val="18"/>
          <w:szCs w:val="18"/>
          <w:color w:val="4C4C4C"/>
        </w:rPr>
        <w:t>Limited Death Benefit Plan, Brighthouse Services has purchased company-owned life insurance (“</w:t>
      </w:r>
      <w:r>
        <w:rPr>
          <w:rFonts w:ascii="Arial" w:cs="Arial" w:eastAsia="Arial" w:hAnsi="Arial"/>
          <w:sz w:val="18"/>
          <w:szCs w:val="18"/>
          <w:b w:val="1"/>
          <w:bCs w:val="1"/>
          <w:color w:val="00ADBB"/>
        </w:rPr>
        <w:t>COLI</w:t>
      </w:r>
      <w:r>
        <w:rPr>
          <w:rFonts w:ascii="Arial" w:cs="Arial" w:eastAsia="Arial" w:hAnsi="Arial"/>
          <w:sz w:val="18"/>
          <w:szCs w:val="18"/>
          <w:color w:val="4C4C4C"/>
        </w:rPr>
        <w:t>”) policies on the lives of two</w:t>
      </w:r>
    </w:p>
    <w:p>
      <w:pPr>
        <w:ind w:left="120"/>
        <w:spacing w:after="0"/>
        <w:rPr>
          <w:sz w:val="20"/>
          <w:szCs w:val="20"/>
          <w:color w:val="auto"/>
        </w:rPr>
      </w:pPr>
      <w:r>
        <w:rPr>
          <w:rFonts w:ascii="Arial" w:cs="Arial" w:eastAsia="Arial" w:hAnsi="Arial"/>
          <w:sz w:val="18"/>
          <w:szCs w:val="18"/>
          <w:color w:val="4C4C4C"/>
        </w:rPr>
        <w:t>participants. Brighthouse Services is the beneficiary under the policies and will receive the COLI proceeds upon an insured’s death.</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C4C4C"/>
        </w:rPr>
        <w:t>Termination and Change of Control Benefits</w:t>
      </w:r>
    </w:p>
    <w:p>
      <w:pPr>
        <w:spacing w:after="0" w:line="1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4C4C4C"/>
        </w:rPr>
        <w:t>The Brighthouse Services, LLC Executive Severance Pay Plan, as amended and restated in November 2019 (the “</w:t>
      </w:r>
      <w:r>
        <w:rPr>
          <w:rFonts w:ascii="Arial" w:cs="Arial" w:eastAsia="Arial" w:hAnsi="Arial"/>
          <w:sz w:val="18"/>
          <w:szCs w:val="18"/>
          <w:b w:val="1"/>
          <w:bCs w:val="1"/>
          <w:color w:val="00ADBB"/>
        </w:rPr>
        <w:t>Severance Plan</w:t>
      </w:r>
      <w:r>
        <w:rPr>
          <w:rFonts w:ascii="Arial" w:cs="Arial" w:eastAsia="Arial" w:hAnsi="Arial"/>
          <w:sz w:val="18"/>
          <w:szCs w:val="18"/>
          <w:color w:val="4C4C4C"/>
        </w:rPr>
        <w:t>”), provides severance pay and related benefits to certain terminated executive officers in consideration of a release of employment-related claims and subject to compliance with a covenant not-to-compete and other restrictive covenants. See the “</w:t>
      </w:r>
      <w:r>
        <w:rPr>
          <w:rFonts w:ascii="Arial" w:cs="Arial" w:eastAsia="Arial" w:hAnsi="Arial"/>
          <w:sz w:val="18"/>
          <w:szCs w:val="18"/>
          <w:color w:val="00ADBB"/>
        </w:rPr>
        <w:t>Potential Payments Upon</w:t>
      </w:r>
      <w:r>
        <w:rPr>
          <w:rFonts w:ascii="Arial" w:cs="Arial" w:eastAsia="Arial" w:hAnsi="Arial"/>
          <w:sz w:val="18"/>
          <w:szCs w:val="18"/>
          <w:color w:val="4C4C4C"/>
        </w:rPr>
        <w:t xml:space="preserve"> </w:t>
      </w:r>
      <w:r>
        <w:rPr>
          <w:rFonts w:ascii="Arial" w:cs="Arial" w:eastAsia="Arial" w:hAnsi="Arial"/>
          <w:sz w:val="18"/>
          <w:szCs w:val="18"/>
          <w:color w:val="00ADBB"/>
        </w:rPr>
        <w:t>Termination or Change in Control</w:t>
      </w:r>
      <w:r>
        <w:rPr>
          <w:rFonts w:ascii="Arial" w:cs="Arial" w:eastAsia="Arial" w:hAnsi="Arial"/>
          <w:sz w:val="18"/>
          <w:szCs w:val="18"/>
          <w:color w:val="4C4C4C"/>
        </w:rPr>
        <w:t>” table for additional information about amounts that would be payable to our NEOs under the Severance</w:t>
      </w:r>
      <w:r>
        <w:rPr>
          <w:rFonts w:ascii="Arial" w:cs="Arial" w:eastAsia="Arial" w:hAnsi="Arial"/>
          <w:sz w:val="18"/>
          <w:szCs w:val="18"/>
          <w:color w:val="00ADBB"/>
        </w:rPr>
        <w:t xml:space="preserve"> </w:t>
      </w:r>
      <w:r>
        <w:rPr>
          <w:rFonts w:ascii="Arial" w:cs="Arial" w:eastAsia="Arial" w:hAnsi="Arial"/>
          <w:sz w:val="18"/>
          <w:szCs w:val="18"/>
          <w:color w:val="4C4C4C"/>
        </w:rPr>
        <w:t>Plan.</w:t>
      </w:r>
    </w:p>
    <w:p>
      <w:pPr>
        <w:spacing w:after="0" w:line="7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4C4C4C"/>
        </w:rPr>
        <w:t>The Brighthouse Services, LLC Change of Control Severance Pay Plan (the “</w:t>
      </w:r>
      <w:r>
        <w:rPr>
          <w:rFonts w:ascii="Arial" w:cs="Arial" w:eastAsia="Arial" w:hAnsi="Arial"/>
          <w:sz w:val="18"/>
          <w:szCs w:val="18"/>
          <w:b w:val="1"/>
          <w:bCs w:val="1"/>
          <w:color w:val="00ADBB"/>
        </w:rPr>
        <w:t>Change of Control Plan</w:t>
      </w:r>
      <w:r>
        <w:rPr>
          <w:rFonts w:ascii="Arial" w:cs="Arial" w:eastAsia="Arial" w:hAnsi="Arial"/>
          <w:sz w:val="18"/>
          <w:szCs w:val="18"/>
          <w:color w:val="4C4C4C"/>
        </w:rPr>
        <w:t>”) provides a means to help us retain our senior executive officers while a transaction is pending or during the two-year transition period following the close of a transaction and the alignment of their interests with those of our stockholders, promoting maximum stockholder value without impinging on Brighthouse’s flexibility to engage in or successfully transition after a transaction. Under the terms of the Change of Control Plan, a covered participant is eligible to receive severance payments if within two years following a change of control the participant is terminated involuntarily without cause or the participant discontinues employment for “good reason,” or if following the occurrence of a potential change of control, the participant is terminated involuntarily without cause within six months prior to a change of control. See the “</w:t>
      </w:r>
      <w:r>
        <w:rPr>
          <w:rFonts w:ascii="Arial" w:cs="Arial" w:eastAsia="Arial" w:hAnsi="Arial"/>
          <w:sz w:val="18"/>
          <w:szCs w:val="18"/>
          <w:color w:val="00ADBB"/>
        </w:rPr>
        <w:t>Potential</w:t>
      </w:r>
      <w:r>
        <w:rPr>
          <w:rFonts w:ascii="Arial" w:cs="Arial" w:eastAsia="Arial" w:hAnsi="Arial"/>
          <w:sz w:val="18"/>
          <w:szCs w:val="18"/>
          <w:color w:val="4C4C4C"/>
        </w:rPr>
        <w:t xml:space="preserve"> </w:t>
      </w:r>
      <w:r>
        <w:rPr>
          <w:rFonts w:ascii="Arial" w:cs="Arial" w:eastAsia="Arial" w:hAnsi="Arial"/>
          <w:sz w:val="18"/>
          <w:szCs w:val="18"/>
          <w:color w:val="00ADBB"/>
        </w:rPr>
        <w:t>Payments Upon Termination or Change in Control</w:t>
      </w:r>
      <w:r>
        <w:rPr>
          <w:rFonts w:ascii="Arial" w:cs="Arial" w:eastAsia="Arial" w:hAnsi="Arial"/>
          <w:sz w:val="18"/>
          <w:szCs w:val="18"/>
          <w:color w:val="4C4C4C"/>
        </w:rPr>
        <w:t>” table for additional information about amounts that would be payable to our NEOs</w:t>
      </w:r>
      <w:r>
        <w:rPr>
          <w:rFonts w:ascii="Arial" w:cs="Arial" w:eastAsia="Arial" w:hAnsi="Arial"/>
          <w:sz w:val="18"/>
          <w:szCs w:val="18"/>
          <w:color w:val="00ADBB"/>
        </w:rPr>
        <w:t xml:space="preserve"> </w:t>
      </w:r>
      <w:r>
        <w:rPr>
          <w:rFonts w:ascii="Arial" w:cs="Arial" w:eastAsia="Arial" w:hAnsi="Arial"/>
          <w:sz w:val="18"/>
          <w:szCs w:val="18"/>
          <w:color w:val="4C4C4C"/>
        </w:rPr>
        <w:t>under the Change of Control Plan.</w:t>
      </w:r>
    </w:p>
    <w:p>
      <w:pPr>
        <w:spacing w:after="0" w:line="97"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4C4C4C"/>
        </w:rPr>
        <w:t>As of December 31, 2020, we had no employment agreements or offer letters with any of our NEOs that provide for individual severance or change of control benefits. Equity awards held by our NEOs may vest and become payable in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59</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Compensation Discussion and Analysis</w:t>
      </w:r>
      <w:r>
        <w:rPr>
          <w:sz w:val="20"/>
          <w:szCs w:val="20"/>
          <w:color w:val="auto"/>
        </w:rPr>
        <w:tab/>
      </w:r>
      <w:r>
        <w:rPr>
          <w:rFonts w:ascii="Arial" w:cs="Arial" w:eastAsia="Arial" w:hAnsi="Arial"/>
          <w:sz w:val="12"/>
          <w:szCs w:val="12"/>
          <w:b w:val="1"/>
          <w:bCs w:val="1"/>
          <w:color w:val="00ADBB"/>
        </w:rPr>
        <w:t>Brighthouse Financial, Inc.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3 – Additional Compensation Practices and Policies</w:t>
      </w:r>
    </w:p>
    <w:p>
      <w:pPr>
        <w:spacing w:after="0" w:line="328" w:lineRule="exact"/>
        <w:rPr>
          <w:sz w:val="20"/>
          <w:szCs w:val="20"/>
          <w:color w:val="auto"/>
        </w:rPr>
      </w:pPr>
    </w:p>
    <w:p>
      <w:pPr>
        <w:ind w:left="280" w:right="1040"/>
        <w:spacing w:after="0" w:line="246" w:lineRule="auto"/>
        <w:rPr>
          <w:sz w:val="20"/>
          <w:szCs w:val="20"/>
          <w:color w:val="auto"/>
        </w:rPr>
      </w:pPr>
      <w:r>
        <w:rPr>
          <w:rFonts w:ascii="Arial" w:cs="Arial" w:eastAsia="Arial" w:hAnsi="Arial"/>
          <w:sz w:val="18"/>
          <w:szCs w:val="18"/>
          <w:color w:val="4C4C4C"/>
        </w:rPr>
        <w:t>the event of termination or a change of control in accordance with the terms of the Employee Plan and the applicable award agreement (including the award agreement supplement).</w:t>
      </w:r>
    </w:p>
    <w:p>
      <w:pPr>
        <w:spacing w:after="0" w:line="89" w:lineRule="exact"/>
        <w:rPr>
          <w:sz w:val="20"/>
          <w:szCs w:val="20"/>
          <w:color w:val="auto"/>
        </w:rPr>
      </w:pPr>
    </w:p>
    <w:p>
      <w:pPr>
        <w:ind w:left="280" w:right="280"/>
        <w:spacing w:after="0" w:line="238" w:lineRule="auto"/>
        <w:rPr>
          <w:sz w:val="20"/>
          <w:szCs w:val="20"/>
          <w:color w:val="auto"/>
        </w:rPr>
      </w:pPr>
      <w:r>
        <w:rPr>
          <w:rFonts w:ascii="Arial" w:cs="Arial" w:eastAsia="Arial" w:hAnsi="Arial"/>
          <w:sz w:val="18"/>
          <w:szCs w:val="18"/>
          <w:color w:val="4C4C4C"/>
        </w:rPr>
        <w:t>In addition, certain amounts credited to our NEOs under the Employee Plan may vest and become payable in the event of the NEO’s death or termination on or following the NEO’s “</w:t>
      </w:r>
      <w:r>
        <w:rPr>
          <w:rFonts w:ascii="Arial" w:cs="Arial" w:eastAsia="Arial" w:hAnsi="Arial"/>
          <w:sz w:val="18"/>
          <w:szCs w:val="18"/>
          <w:b w:val="1"/>
          <w:bCs w:val="1"/>
          <w:color w:val="00ADBB"/>
        </w:rPr>
        <w:t>Rule of 65 Date</w:t>
      </w:r>
      <w:r>
        <w:rPr>
          <w:rFonts w:ascii="Arial" w:cs="Arial" w:eastAsia="Arial" w:hAnsi="Arial"/>
          <w:sz w:val="18"/>
          <w:szCs w:val="18"/>
          <w:color w:val="4C4C4C"/>
        </w:rPr>
        <w:t>,” which is the date that the sum of a participant’s age plus years of service (which for Brighthouse employees at the time of the Separation, includes MetLife service) equals or exceeds 65, provided the participant has at least five years of service. See the “</w:t>
      </w:r>
      <w:r>
        <w:rPr>
          <w:rFonts w:ascii="Arial" w:cs="Arial" w:eastAsia="Arial" w:hAnsi="Arial"/>
          <w:sz w:val="18"/>
          <w:szCs w:val="18"/>
          <w:color w:val="00ADBB"/>
        </w:rPr>
        <w:t>Potential Payments Upon Termination or Change in Control</w:t>
      </w:r>
      <w:r>
        <w:rPr>
          <w:rFonts w:ascii="Arial" w:cs="Arial" w:eastAsia="Arial" w:hAnsi="Arial"/>
          <w:sz w:val="18"/>
          <w:szCs w:val="18"/>
          <w:color w:val="4C4C4C"/>
        </w:rPr>
        <w:t>” table for additional information about amounts that would be payable to our NEOs under the Employee Plan.</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Stock-Based Award Timing Practices</w:t>
      </w:r>
    </w:p>
    <w:p>
      <w:pPr>
        <w:spacing w:after="0" w:line="18" w:lineRule="exact"/>
        <w:rPr>
          <w:sz w:val="20"/>
          <w:szCs w:val="20"/>
          <w:color w:val="auto"/>
        </w:rPr>
      </w:pPr>
    </w:p>
    <w:p>
      <w:pPr>
        <w:ind w:left="280" w:right="420"/>
        <w:spacing w:after="0" w:line="261" w:lineRule="auto"/>
        <w:rPr>
          <w:sz w:val="20"/>
          <w:szCs w:val="20"/>
          <w:color w:val="auto"/>
        </w:rPr>
      </w:pPr>
      <w:r>
        <w:rPr>
          <w:rFonts w:ascii="Arial" w:cs="Arial" w:eastAsia="Arial" w:hAnsi="Arial"/>
          <w:sz w:val="17"/>
          <w:szCs w:val="17"/>
          <w:color w:val="4C4C4C"/>
        </w:rPr>
        <w:t>Stock-based LTI awards are expected to be granted on an annual basis to our executive officers, including the NEOs, in connection with Board and Compensation and Human Capital Committee meetings occurring in the first quarter of each year, although stock-based awards may be granted from time-to-time in connection with the hiring or change of responsibilities of an executive officer.</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Tax Deductibility of Executive Compensation</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Section 162(m) of the Code generally provides that compensation payable to any of our NEOs in excess of $1 million will not be</w:t>
      </w:r>
    </w:p>
    <w:p>
      <w:pPr>
        <w:ind w:left="280"/>
        <w:spacing w:after="0" w:line="234" w:lineRule="auto"/>
        <w:rPr>
          <w:sz w:val="20"/>
          <w:szCs w:val="20"/>
          <w:color w:val="auto"/>
        </w:rPr>
      </w:pPr>
      <w:r>
        <w:rPr>
          <w:rFonts w:ascii="Arial" w:cs="Arial" w:eastAsia="Arial" w:hAnsi="Arial"/>
          <w:sz w:val="18"/>
          <w:szCs w:val="18"/>
          <w:color w:val="4C4C4C"/>
        </w:rPr>
        <w:t>deductible, except to the extent paid pursuant to a grandfathered “performance-based compensation” arrangement in place as of</w:t>
      </w:r>
    </w:p>
    <w:p>
      <w:pPr>
        <w:ind w:left="280"/>
        <w:spacing w:after="0" w:line="235" w:lineRule="auto"/>
        <w:rPr>
          <w:sz w:val="20"/>
          <w:szCs w:val="20"/>
          <w:color w:val="auto"/>
        </w:rPr>
      </w:pPr>
      <w:r>
        <w:rPr>
          <w:rFonts w:ascii="Arial" w:cs="Arial" w:eastAsia="Arial" w:hAnsi="Arial"/>
          <w:sz w:val="18"/>
          <w:szCs w:val="18"/>
          <w:color w:val="4C4C4C"/>
        </w:rPr>
        <w:t>November 2, 2017. While the Company and the Compensation and Human Capital Committee consider the availability of</w:t>
      </w:r>
    </w:p>
    <w:p>
      <w:pPr>
        <w:ind w:left="280"/>
        <w:spacing w:after="0" w:line="235" w:lineRule="auto"/>
        <w:rPr>
          <w:sz w:val="20"/>
          <w:szCs w:val="20"/>
          <w:color w:val="auto"/>
        </w:rPr>
      </w:pPr>
      <w:r>
        <w:rPr>
          <w:rFonts w:ascii="Arial" w:cs="Arial" w:eastAsia="Arial" w:hAnsi="Arial"/>
          <w:sz w:val="18"/>
          <w:szCs w:val="18"/>
          <w:color w:val="4C4C4C"/>
        </w:rPr>
        <w:t>Section 162(m) deductions in the design of our executive compensation program, the Company and the Compensation and Human</w:t>
      </w:r>
    </w:p>
    <w:p>
      <w:pPr>
        <w:ind w:left="280"/>
        <w:spacing w:after="0" w:line="235" w:lineRule="auto"/>
        <w:rPr>
          <w:sz w:val="20"/>
          <w:szCs w:val="20"/>
          <w:color w:val="auto"/>
        </w:rPr>
      </w:pPr>
      <w:r>
        <w:rPr>
          <w:rFonts w:ascii="Arial" w:cs="Arial" w:eastAsia="Arial" w:hAnsi="Arial"/>
          <w:sz w:val="18"/>
          <w:szCs w:val="18"/>
          <w:color w:val="4C4C4C"/>
        </w:rPr>
        <w:t>Capital Committee reserves the right to pay non-deductible compensation if necessary or appropriate to retain and incent key</w:t>
      </w:r>
    </w:p>
    <w:p>
      <w:pPr>
        <w:ind w:left="280"/>
        <w:spacing w:after="0" w:line="235" w:lineRule="auto"/>
        <w:rPr>
          <w:sz w:val="20"/>
          <w:szCs w:val="20"/>
          <w:color w:val="auto"/>
        </w:rPr>
      </w:pPr>
      <w:r>
        <w:rPr>
          <w:rFonts w:ascii="Arial" w:cs="Arial" w:eastAsia="Arial" w:hAnsi="Arial"/>
          <w:sz w:val="18"/>
          <w:szCs w:val="18"/>
          <w:color w:val="4C4C4C"/>
        </w:rPr>
        <w:t>executives whose performance is important to our success. Notwithstanding the absence of the Section 162(m) exclusion for</w:t>
      </w:r>
    </w:p>
    <w:p>
      <w:pPr>
        <w:ind w:left="280"/>
        <w:spacing w:after="0" w:line="234" w:lineRule="auto"/>
        <w:rPr>
          <w:sz w:val="20"/>
          <w:szCs w:val="20"/>
          <w:color w:val="auto"/>
        </w:rPr>
      </w:pPr>
      <w:r>
        <w:rPr>
          <w:rFonts w:ascii="Arial" w:cs="Arial" w:eastAsia="Arial" w:hAnsi="Arial"/>
          <w:sz w:val="18"/>
          <w:szCs w:val="18"/>
          <w:color w:val="4C4C4C"/>
        </w:rPr>
        <w:t>performance-based compensation, the Compensation and Human Capital Committee expects to continue to place performance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conditions on our STI and LTI Awards granted to our NEOs consistent with our pay-for-performance compensation philosophy.</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4C4C4C"/>
        </w:rPr>
        <w:t>Hedging and Pledging Prohibition</w:t>
      </w:r>
    </w:p>
    <w:p>
      <w:pPr>
        <w:spacing w:after="0" w:line="18" w:lineRule="exact"/>
        <w:rPr>
          <w:sz w:val="20"/>
          <w:szCs w:val="20"/>
          <w:color w:val="auto"/>
        </w:rPr>
      </w:pPr>
    </w:p>
    <w:p>
      <w:pPr>
        <w:ind w:left="280" w:right="280"/>
        <w:spacing w:after="0"/>
        <w:rPr>
          <w:sz w:val="20"/>
          <w:szCs w:val="20"/>
          <w:color w:val="auto"/>
        </w:rPr>
      </w:pPr>
      <w:r>
        <w:rPr>
          <w:rFonts w:ascii="Arial" w:cs="Arial" w:eastAsia="Arial" w:hAnsi="Arial"/>
          <w:sz w:val="18"/>
          <w:szCs w:val="18"/>
          <w:color w:val="4C4C4C"/>
        </w:rPr>
        <w:t>Our insider trading policy prohibits all Directors and employees, including our NEOs, from engaging in speculative transactions, including short sales, hedging, and trading in put and call options, with respect to the Company’s securities. The insider trading policy also prohibits Directors and employees, including our NEOs, from pledging Company securities.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Clawback Policy</w:t>
      </w:r>
    </w:p>
    <w:p>
      <w:pPr>
        <w:spacing w:after="0" w:line="13"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4C4C4C"/>
        </w:rPr>
        <w:t>Our Board believes that it is in the best interests of the Company and its stockholders to create and maintain a culture that emphasizes integrity and accountability and that reinforces the Company’s pay-for-performance compensation philosophy. In August 2018, the Board approved and adopted a compensation recoupment policy (the “</w:t>
      </w:r>
      <w:r>
        <w:rPr>
          <w:rFonts w:ascii="Arial" w:cs="Arial" w:eastAsia="Arial" w:hAnsi="Arial"/>
          <w:sz w:val="18"/>
          <w:szCs w:val="18"/>
          <w:b w:val="1"/>
          <w:bCs w:val="1"/>
          <w:color w:val="00ADBB"/>
        </w:rPr>
        <w:t>Clawback Policy</w:t>
      </w:r>
      <w:r>
        <w:rPr>
          <w:rFonts w:ascii="Arial" w:cs="Arial" w:eastAsia="Arial" w:hAnsi="Arial"/>
          <w:sz w:val="18"/>
          <w:szCs w:val="18"/>
          <w:color w:val="4C4C4C"/>
        </w:rPr>
        <w:t>”) that allows Brighthouse to seek recoupment of incentive compensation in the circumstances described in the following table. The Board delegated to the Compensation and Human Capital Committee authority to administer the Clawback Policy, including authority to determine in its judgment and sole discretion whether to seek recoupment of any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147320</wp:posOffset>
            </wp:positionV>
            <wp:extent cx="678053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Conduct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54610</wp:posOffset>
            </wp:positionV>
            <wp:extent cx="14312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11" w:lineRule="exact"/>
        <w:rPr>
          <w:sz w:val="20"/>
          <w:szCs w:val="20"/>
          <w:color w:val="auto"/>
        </w:rPr>
      </w:pPr>
    </w:p>
    <w:p>
      <w:pPr>
        <w:ind w:left="280" w:right="60"/>
        <w:spacing w:after="0" w:line="275" w:lineRule="auto"/>
        <w:rPr>
          <w:sz w:val="20"/>
          <w:szCs w:val="20"/>
          <w:color w:val="auto"/>
        </w:rPr>
      </w:pPr>
      <w:r>
        <w:rPr>
          <w:rFonts w:ascii="Arial" w:cs="Arial" w:eastAsia="Arial" w:hAnsi="Arial"/>
          <w:sz w:val="17"/>
          <w:szCs w:val="17"/>
          <w:b w:val="1"/>
          <w:bCs w:val="1"/>
          <w:color w:val="4C4C4C"/>
        </w:rPr>
        <w:t>Fraud or misconduct causing a material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102235</wp:posOffset>
            </wp:positionV>
            <wp:extent cx="14312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00ADBB"/>
              </w:rPr>
              <w:t>Compensation Subject to</w:t>
            </w:r>
          </w:p>
        </w:tc>
        <w:tc>
          <w:tcPr>
            <w:tcW w:w="2440" w:type="dxa"/>
            <w:vAlign w:val="bottom"/>
          </w:tcPr>
          <w:p>
            <w:pPr>
              <w:spacing w:after="0"/>
              <w:rPr>
                <w:sz w:val="18"/>
                <w:szCs w:val="18"/>
                <w:color w:val="auto"/>
              </w:rPr>
            </w:pPr>
          </w:p>
        </w:tc>
      </w:tr>
      <w:tr>
        <w:trPr>
          <w:trHeight w:val="239"/>
        </w:trPr>
        <w:tc>
          <w:tcPr>
            <w:tcW w:w="2880" w:type="dxa"/>
            <w:vAlign w:val="bottom"/>
            <w:gridSpan w:val="2"/>
          </w:tcPr>
          <w:p>
            <w:pPr>
              <w:ind w:left="120"/>
              <w:spacing w:after="0"/>
              <w:rPr>
                <w:sz w:val="20"/>
                <w:szCs w:val="20"/>
                <w:color w:val="auto"/>
              </w:rPr>
            </w:pPr>
            <w:r>
              <w:rPr>
                <w:rFonts w:ascii="Arial" w:cs="Arial" w:eastAsia="Arial" w:hAnsi="Arial"/>
                <w:sz w:val="18"/>
                <w:szCs w:val="18"/>
                <w:b w:val="1"/>
                <w:bCs w:val="1"/>
                <w:color w:val="00ADBB"/>
              </w:rPr>
              <w:t>Covered Persons</w:t>
            </w:r>
          </w:p>
        </w:tc>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00ADBB"/>
              </w:rPr>
              <w:t>Recoupment</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00ADBB"/>
              </w:rPr>
              <w:t>Covered Period</w:t>
            </w:r>
          </w:p>
        </w:tc>
      </w:tr>
      <w:tr>
        <w:trPr>
          <w:trHeight w:val="54"/>
        </w:trPr>
        <w:tc>
          <w:tcPr>
            <w:tcW w:w="2560" w:type="dxa"/>
            <w:vAlign w:val="bottom"/>
            <w:tcBorders>
              <w:bottom w:val="single" w:sz="8" w:color="4C4C4C"/>
            </w:tcBorders>
          </w:tcPr>
          <w:p>
            <w:pPr>
              <w:spacing w:after="0"/>
              <w:rPr>
                <w:sz w:val="4"/>
                <w:szCs w:val="4"/>
                <w:color w:val="auto"/>
              </w:rPr>
            </w:pPr>
          </w:p>
        </w:tc>
        <w:tc>
          <w:tcPr>
            <w:tcW w:w="320" w:type="dxa"/>
            <w:vAlign w:val="bottom"/>
          </w:tcPr>
          <w:p>
            <w:pPr>
              <w:spacing w:after="0"/>
              <w:rPr>
                <w:sz w:val="4"/>
                <w:szCs w:val="4"/>
                <w:color w:val="auto"/>
              </w:rPr>
            </w:pPr>
          </w:p>
        </w:tc>
        <w:tc>
          <w:tcPr>
            <w:tcW w:w="2480" w:type="dxa"/>
            <w:vAlign w:val="bottom"/>
            <w:tcBorders>
              <w:bottom w:val="single" w:sz="8" w:color="4C4C4C"/>
            </w:tcBorders>
          </w:tcPr>
          <w:p>
            <w:pPr>
              <w:spacing w:after="0"/>
              <w:rPr>
                <w:sz w:val="4"/>
                <w:szCs w:val="4"/>
                <w:color w:val="auto"/>
              </w:rPr>
            </w:pPr>
          </w:p>
        </w:tc>
        <w:tc>
          <w:tcPr>
            <w:tcW w:w="300" w:type="dxa"/>
            <w:vAlign w:val="bottom"/>
          </w:tcPr>
          <w:p>
            <w:pPr>
              <w:spacing w:after="0"/>
              <w:rPr>
                <w:sz w:val="4"/>
                <w:szCs w:val="4"/>
                <w:color w:val="auto"/>
              </w:rPr>
            </w:pPr>
          </w:p>
        </w:tc>
        <w:tc>
          <w:tcPr>
            <w:tcW w:w="2440" w:type="dxa"/>
            <w:vAlign w:val="bottom"/>
            <w:tcBorders>
              <w:bottom w:val="single" w:sz="8" w:color="4C4C4C"/>
            </w:tcBorders>
          </w:tcPr>
          <w:p>
            <w:pPr>
              <w:spacing w:after="0"/>
              <w:rPr>
                <w:sz w:val="4"/>
                <w:szCs w:val="4"/>
                <w:color w:val="auto"/>
              </w:rPr>
            </w:pPr>
          </w:p>
        </w:tc>
      </w:tr>
      <w:tr>
        <w:trPr>
          <w:trHeight w:val="249"/>
        </w:trPr>
        <w:tc>
          <w:tcPr>
            <w:tcW w:w="2880" w:type="dxa"/>
            <w:vAlign w:val="bottom"/>
            <w:gridSpan w:val="2"/>
          </w:tcPr>
          <w:p>
            <w:pPr>
              <w:ind w:left="120"/>
              <w:spacing w:after="0"/>
              <w:rPr>
                <w:sz w:val="20"/>
                <w:szCs w:val="20"/>
                <w:color w:val="auto"/>
              </w:rPr>
            </w:pPr>
            <w:r>
              <w:rPr>
                <w:rFonts w:ascii="Arial" w:cs="Arial" w:eastAsia="Arial" w:hAnsi="Arial"/>
                <w:sz w:val="18"/>
                <w:szCs w:val="18"/>
                <w:color w:val="4C4C4C"/>
              </w:rPr>
              <w:t>CEO, CFO, Chief Accounting</w:t>
            </w:r>
          </w:p>
        </w:tc>
        <w:tc>
          <w:tcPr>
            <w:tcW w:w="2780" w:type="dxa"/>
            <w:vAlign w:val="bottom"/>
            <w:gridSpan w:val="2"/>
          </w:tcPr>
          <w:p>
            <w:pPr>
              <w:ind w:left="120"/>
              <w:spacing w:after="0"/>
              <w:rPr>
                <w:sz w:val="20"/>
                <w:szCs w:val="20"/>
                <w:color w:val="auto"/>
              </w:rPr>
            </w:pPr>
            <w:r>
              <w:rPr>
                <w:rFonts w:ascii="Arial" w:cs="Arial" w:eastAsia="Arial" w:hAnsi="Arial"/>
                <w:sz w:val="18"/>
                <w:szCs w:val="18"/>
                <w:color w:val="4C4C4C"/>
              </w:rPr>
              <w:t>Any incentive compensation</w:t>
            </w:r>
          </w:p>
        </w:tc>
        <w:tc>
          <w:tcPr>
            <w:tcW w:w="2440" w:type="dxa"/>
            <w:vAlign w:val="bottom"/>
          </w:tcPr>
          <w:p>
            <w:pPr>
              <w:ind w:left="100"/>
              <w:spacing w:after="0"/>
              <w:rPr>
                <w:sz w:val="20"/>
                <w:szCs w:val="20"/>
                <w:color w:val="auto"/>
              </w:rPr>
            </w:pPr>
            <w:r>
              <w:rPr>
                <w:rFonts w:ascii="Arial" w:cs="Arial" w:eastAsia="Arial" w:hAnsi="Arial"/>
                <w:sz w:val="18"/>
                <w:szCs w:val="18"/>
                <w:color w:val="4C4C4C"/>
              </w:rPr>
              <w:t>Three years prior to the date</w:t>
            </w:r>
          </w:p>
        </w:tc>
      </w:tr>
      <w:tr>
        <w:trPr>
          <w:trHeight w:val="202"/>
        </w:trPr>
        <w:tc>
          <w:tcPr>
            <w:tcW w:w="2880" w:type="dxa"/>
            <w:vAlign w:val="bottom"/>
            <w:gridSpan w:val="2"/>
          </w:tcPr>
          <w:p>
            <w:pPr>
              <w:ind w:left="120"/>
              <w:spacing w:after="0" w:line="202" w:lineRule="exact"/>
              <w:rPr>
                <w:sz w:val="20"/>
                <w:szCs w:val="20"/>
                <w:color w:val="auto"/>
              </w:rPr>
            </w:pPr>
            <w:r>
              <w:rPr>
                <w:rFonts w:ascii="Arial" w:cs="Arial" w:eastAsia="Arial" w:hAnsi="Arial"/>
                <w:sz w:val="18"/>
                <w:szCs w:val="18"/>
                <w:color w:val="4C4C4C"/>
              </w:rPr>
              <w:t>Officer, or any employee who</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4C4C4C"/>
              </w:rPr>
              <w:t>the Company determines a</w:t>
            </w:r>
          </w:p>
        </w:tc>
      </w:tr>
      <w:tr>
        <w:trPr>
          <w:trHeight w:val="203"/>
        </w:trPr>
        <w:tc>
          <w:tcPr>
            <w:tcW w:w="2880" w:type="dxa"/>
            <w:vAlign w:val="bottom"/>
            <w:gridSpan w:val="2"/>
          </w:tcPr>
          <w:p>
            <w:pPr>
              <w:ind w:left="120"/>
              <w:spacing w:after="0" w:line="202" w:lineRule="exact"/>
              <w:rPr>
                <w:sz w:val="20"/>
                <w:szCs w:val="20"/>
                <w:color w:val="auto"/>
              </w:rPr>
            </w:pPr>
            <w:r>
              <w:rPr>
                <w:rFonts w:ascii="Arial" w:cs="Arial" w:eastAsia="Arial" w:hAnsi="Arial"/>
                <w:sz w:val="18"/>
                <w:szCs w:val="18"/>
                <w:color w:val="4C4C4C"/>
              </w:rPr>
              <w:t>materially contributed to the</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4C4C4C"/>
              </w:rPr>
              <w:t>restatement is necessary</w:t>
            </w:r>
          </w:p>
        </w:tc>
      </w:tr>
      <w:tr>
        <w:trPr>
          <w:trHeight w:val="203"/>
        </w:trPr>
        <w:tc>
          <w:tcPr>
            <w:tcW w:w="2560" w:type="dxa"/>
            <w:vAlign w:val="bottom"/>
            <w:tcBorders>
              <w:bottom w:val="single" w:sz="8" w:color="4C4C4C"/>
            </w:tcBorders>
          </w:tcPr>
          <w:p>
            <w:pPr>
              <w:ind w:left="120"/>
              <w:spacing w:after="0" w:line="203" w:lineRule="exact"/>
              <w:rPr>
                <w:sz w:val="20"/>
                <w:szCs w:val="20"/>
                <w:color w:val="auto"/>
              </w:rPr>
            </w:pPr>
            <w:r>
              <w:rPr>
                <w:rFonts w:ascii="Arial" w:cs="Arial" w:eastAsia="Arial" w:hAnsi="Arial"/>
                <w:sz w:val="18"/>
                <w:szCs w:val="18"/>
                <w:color w:val="4C4C4C"/>
              </w:rPr>
              <w:t>fraud or misconduct</w:t>
            </w:r>
          </w:p>
        </w:tc>
        <w:tc>
          <w:tcPr>
            <w:tcW w:w="320" w:type="dxa"/>
            <w:vAlign w:val="bottom"/>
          </w:tcPr>
          <w:p>
            <w:pPr>
              <w:spacing w:after="0"/>
              <w:rPr>
                <w:sz w:val="17"/>
                <w:szCs w:val="17"/>
                <w:color w:val="auto"/>
              </w:rPr>
            </w:pPr>
          </w:p>
        </w:tc>
        <w:tc>
          <w:tcPr>
            <w:tcW w:w="2480" w:type="dxa"/>
            <w:vAlign w:val="bottom"/>
            <w:tcBorders>
              <w:bottom w:val="single" w:sz="8" w:color="4C4C4C"/>
            </w:tcBorders>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Borders>
              <w:bottom w:val="single" w:sz="8" w:color="4C4C4C"/>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2140" w:space="720"/>
            <w:col w:w="8280"/>
          </w:cols>
          <w:pgMar w:left="320" w:top="459" w:right="439" w:bottom="1440" w:gutter="0" w:footer="0" w:header="0"/>
          <w:type w:val="continuous"/>
        </w:sect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60 | 2021 Proxy Statement</w:t>
      </w:r>
    </w:p>
    <w:p>
      <w:pPr>
        <w:sectPr>
          <w:pgSz w:w="11900" w:h="16838" w:orient="portrait"/>
          <w:cols w:equalWidth="0" w:num="1">
            <w:col w:w="11140"/>
          </w:cols>
          <w:pgMar w:left="320" w:top="459" w:right="43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3377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77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00ADBB"/>
        </w:rPr>
        <w:t>Compensation Discussion and Analysis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Section 4 – 2021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164465</wp:posOffset>
            </wp:positionV>
            <wp:extent cx="341185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040"/>
          </w:cols>
          <w:pgMar w:left="320" w:top="459" w:right="439" w:bottom="1440" w:gutter="0" w:footer="0" w:header="0"/>
          <w:type w:val="continuous"/>
        </w:sect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Conduct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1474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color w:val="4C4C4C"/>
        </w:rPr>
        <w:t>Conduct, or failure to supervise, which results in material financial or reputational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14744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5" w:lineRule="exact"/>
        <w:rPr>
          <w:sz w:val="20"/>
          <w:szCs w:val="20"/>
          <w:color w:val="auto"/>
        </w:rPr>
      </w:pPr>
    </w:p>
    <w:p>
      <w:pPr>
        <w:ind w:left="120" w:right="420"/>
        <w:spacing w:after="0" w:line="301" w:lineRule="auto"/>
        <w:rPr>
          <w:sz w:val="20"/>
          <w:szCs w:val="20"/>
          <w:color w:val="auto"/>
        </w:rPr>
      </w:pPr>
      <w:r>
        <w:rPr>
          <w:rFonts w:ascii="Arial" w:cs="Arial" w:eastAsia="Arial" w:hAnsi="Arial"/>
          <w:sz w:val="17"/>
          <w:szCs w:val="17"/>
          <w:b w:val="1"/>
          <w:bCs w:val="1"/>
          <w:color w:val="4C4C4C"/>
        </w:rPr>
        <w:t>Material inaccuracy in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346075</wp:posOffset>
            </wp:positionV>
            <wp:extent cx="1474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Covered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54610</wp:posOffset>
            </wp:positionV>
            <wp:extent cx="16802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4C4C4C"/>
        </w:rPr>
        <w:t>Any employee who engaged in the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245745</wp:posOffset>
            </wp:positionV>
            <wp:extent cx="168021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4C4C4C"/>
        </w:rPr>
        <w:t>Executive officers and any employee who materially contributed to, or failed to supervise with respect to, the material inaccuracy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168021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00ADBB"/>
        </w:rPr>
        <w:t>Compensation Subject to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17780</wp:posOffset>
            </wp:positionV>
            <wp:extent cx="16033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4C4C4C"/>
        </w:rPr>
        <w:t>Any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383540</wp:posOffset>
            </wp:positionV>
            <wp:extent cx="16033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8" w:lineRule="auto"/>
        <w:rPr>
          <w:sz w:val="20"/>
          <w:szCs w:val="20"/>
          <w:color w:val="auto"/>
        </w:rPr>
      </w:pPr>
      <w:r>
        <w:rPr>
          <w:rFonts w:ascii="Arial" w:cs="Arial" w:eastAsia="Arial" w:hAnsi="Arial"/>
          <w:sz w:val="18"/>
          <w:szCs w:val="18"/>
          <w:color w:val="4C4C4C"/>
        </w:rPr>
        <w:t>Excess incentive compensation that was, or will be, paid based on the inaccurate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121920</wp:posOffset>
            </wp:positionV>
            <wp:extent cx="16033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Covered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54610</wp:posOffset>
            </wp:positionV>
            <wp:extent cx="16027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4C4C4C"/>
        </w:rPr>
        <w:t>Period of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390525</wp:posOffset>
            </wp:positionV>
            <wp:extent cx="16027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860"/>
        <w:spacing w:after="0" w:line="261" w:lineRule="auto"/>
        <w:rPr>
          <w:sz w:val="20"/>
          <w:szCs w:val="20"/>
          <w:color w:val="auto"/>
        </w:rPr>
      </w:pPr>
      <w:r>
        <w:rPr>
          <w:rFonts w:ascii="Arial" w:cs="Arial" w:eastAsia="Arial" w:hAnsi="Arial"/>
          <w:sz w:val="17"/>
          <w:szCs w:val="17"/>
          <w:color w:val="4C4C4C"/>
        </w:rPr>
        <w:t>Three years prior to achievement of the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238760</wp:posOffset>
            </wp:positionV>
            <wp:extent cx="16027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7" w:lineRule="exact"/>
        <w:rPr>
          <w:sz w:val="20"/>
          <w:szCs w:val="20"/>
          <w:color w:val="auto"/>
        </w:rPr>
      </w:pPr>
    </w:p>
    <w:p>
      <w:pPr>
        <w:sectPr>
          <w:pgSz w:w="11900" w:h="16838" w:orient="portrait"/>
          <w:cols w:equalWidth="0" w:num="4">
            <w:col w:w="2420" w:space="500"/>
            <w:col w:w="2460" w:space="480"/>
            <w:col w:w="2400" w:space="460"/>
            <w:col w:w="24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4C4C4C"/>
        </w:rPr>
        <w:t>Risk Assessment</w:t>
      </w:r>
    </w:p>
    <w:p>
      <w:pPr>
        <w:spacing w:after="0" w:line="1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4C4C4C"/>
        </w:rPr>
        <w:t>At the Compensation and Human Capital Committee’s March 2021 meeting, SBCG presented a compensation risk assessment report that it prepared and developed in consultation with Brighthouse’s management, including our Chief Risk Officer, based on its review of our compensation programs. SBCG highlighted the compensation governance policies and Board-level controls in place to manage compensation-related risk and the risk-balancing and risk-mitigating features of our 2020 compensation program, including our strong Clawback Policy, balanced pay mix, caps on incentive payouts, and the Compensation and Human Capital Committee’s ability to exercise discretion. Following a discussion of SBCG’s assessment and findings, the Compensation and Human Capital Committee concluded that the risks arising from the Company’s compensation programs are not reasonably likely to have a material adverse impact on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Section 4 – 2021 Compensation Program Overview</w:t>
      </w:r>
    </w:p>
    <w:p>
      <w:pPr>
        <w:spacing w:after="0" w:line="130" w:lineRule="exact"/>
        <w:rPr>
          <w:sz w:val="20"/>
          <w:szCs w:val="20"/>
          <w:color w:val="auto"/>
        </w:rPr>
      </w:pPr>
    </w:p>
    <w:p>
      <w:pPr>
        <w:ind w:left="120" w:right="140"/>
        <w:spacing w:after="0"/>
        <w:rPr>
          <w:sz w:val="20"/>
          <w:szCs w:val="20"/>
          <w:color w:val="auto"/>
        </w:rPr>
      </w:pPr>
      <w:r>
        <w:rPr>
          <w:rFonts w:ascii="Arial" w:cs="Arial" w:eastAsia="Arial" w:hAnsi="Arial"/>
          <w:sz w:val="18"/>
          <w:szCs w:val="18"/>
          <w:color w:val="4C4C4C"/>
        </w:rPr>
        <w:t>This section provides an overview of our 2021 executive compensation program, including changes we have made from our 2020 executive compensation program. The 2021 executive compensation program will be more fully discussed in next year’s proxy statement (in connection with our 2022 annual meeting of stockholders).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2020 Say-on-Pay Vote and Stockholder Engagement</w:t>
      </w:r>
    </w:p>
    <w:p>
      <w:pPr>
        <w:spacing w:after="0" w:line="13"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4C4C4C"/>
        </w:rPr>
        <w:t>At our 2020 Annual Meeting, more than 97% of the votes cast by our stockholders voted “FOR” our Say-on-Pay proposal to approve the compensation paid to our NEOs. The Compensation and Human Capital Committee considered the results of this vote in reviewing our 2020 executive compensation program and making compensation decisions for our NEOs. The Compensation and Human Capital Committee also considered stockholders’ views and feedback they shared during our 2020-2021 stockholder engagement program, as discussed above (see “</w:t>
      </w:r>
      <w:r>
        <w:rPr>
          <w:rFonts w:ascii="Arial" w:cs="Arial" w:eastAsia="Arial" w:hAnsi="Arial"/>
          <w:sz w:val="18"/>
          <w:szCs w:val="18"/>
          <w:color w:val="00ADBB"/>
        </w:rPr>
        <w:t>Stockholder Engagement</w:t>
      </w:r>
      <w:r>
        <w:rPr>
          <w:rFonts w:ascii="Arial" w:cs="Arial" w:eastAsia="Arial" w:hAnsi="Arial"/>
          <w:sz w:val="18"/>
          <w:szCs w:val="18"/>
          <w:color w:val="4C4C4C"/>
        </w:rPr>
        <w:t>”). During our engagements, stockholders overwhelmingly expressed approval of our 2019 compensation program and the quality of our compensation-related disclosures. Our stockholders also expressed support for our 2020 executive compensation program, including our use of quantitative compensation metrics that are aligned with the Company’s strategy to drive long-term value creation. The following table describes the feedback we received related to our compensation program and how we have addressed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ADBB"/>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20313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4C4C4C"/>
        </w:rPr>
        <w:t>Stockholders did not identify any substantive or significant concerns with our compensation program or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203136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What we’re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11430</wp:posOffset>
            </wp:positionV>
            <wp:extent cx="474916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1" w:lineRule="exact"/>
        <w:rPr>
          <w:sz w:val="20"/>
          <w:szCs w:val="20"/>
          <w:color w:val="auto"/>
        </w:rPr>
      </w:pPr>
    </w:p>
    <w:p>
      <w:pPr>
        <w:ind w:left="180" w:right="140" w:hanging="179"/>
        <w:spacing w:after="0"/>
        <w:tabs>
          <w:tab w:leader="none" w:pos="161" w:val="left"/>
        </w:tabs>
        <w:numPr>
          <w:ilvl w:val="0"/>
          <w:numId w:val="141"/>
        </w:numPr>
        <w:rPr>
          <w:rFonts w:ascii="Arial" w:cs="Arial" w:eastAsia="Arial" w:hAnsi="Arial"/>
          <w:sz w:val="18"/>
          <w:szCs w:val="18"/>
          <w:color w:val="4C4C4C"/>
        </w:rPr>
      </w:pPr>
      <w:r>
        <w:rPr>
          <w:rFonts w:ascii="Arial" w:cs="Arial" w:eastAsia="Arial" w:hAnsi="Arial"/>
          <w:sz w:val="18"/>
          <w:szCs w:val="18"/>
          <w:color w:val="4C4C4C"/>
        </w:rPr>
        <w:t>The Committee values feedback from our stockholders and considers it in its oversight of our executive compensation program. We describe certain enhancements in this “</w:t>
      </w:r>
      <w:r>
        <w:rPr>
          <w:rFonts w:ascii="Arial" w:cs="Arial" w:eastAsia="Arial" w:hAnsi="Arial"/>
          <w:sz w:val="18"/>
          <w:szCs w:val="18"/>
          <w:color w:val="00ADBB"/>
        </w:rPr>
        <w:t>Section 4</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120650</wp:posOffset>
            </wp:positionV>
            <wp:extent cx="47491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61</w:t>
      </w:r>
    </w:p>
    <w:p>
      <w:pPr>
        <w:sectPr>
          <w:pgSz w:w="11900" w:h="16838" w:orient="portrait"/>
          <w:cols w:equalWidth="0" w:num="2">
            <w:col w:w="3240" w:space="520"/>
            <w:col w:w="7380"/>
          </w:cols>
          <w:pgMar w:left="320" w:top="459" w:right="4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Discussion and Analysis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Section 4 – 2021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208915</wp:posOffset>
            </wp:positionV>
            <wp:extent cx="197167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971675" cy="17145"/>
                    </a:xfrm>
                    <a:prstGeom prst="rect">
                      <a:avLst/>
                    </a:prstGeom>
                    <a:noFill/>
                  </pic:spPr>
                </pic:pic>
              </a:graphicData>
            </a:graphic>
          </wp:anchor>
        </w:drawing>
      </w:r>
    </w:p>
    <w:p>
      <w:pPr>
        <w:spacing w:after="0" w:line="3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11430</wp:posOffset>
            </wp:positionV>
            <wp:extent cx="197167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1" w:lineRule="exact"/>
        <w:rPr>
          <w:sz w:val="20"/>
          <w:szCs w:val="20"/>
          <w:color w:val="auto"/>
        </w:rPr>
      </w:pPr>
    </w:p>
    <w:p>
      <w:pPr>
        <w:ind w:left="280" w:right="480"/>
        <w:spacing w:after="0" w:line="242" w:lineRule="auto"/>
        <w:rPr>
          <w:sz w:val="20"/>
          <w:szCs w:val="20"/>
          <w:color w:val="auto"/>
        </w:rPr>
      </w:pPr>
      <w:r>
        <w:rPr>
          <w:rFonts w:ascii="Arial" w:cs="Arial" w:eastAsia="Arial" w:hAnsi="Arial"/>
          <w:sz w:val="18"/>
          <w:szCs w:val="18"/>
          <w:color w:val="4C4C4C"/>
        </w:rPr>
        <w:t>Disclosure about compensation practices was robust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-6985</wp:posOffset>
            </wp:positionV>
            <wp:extent cx="19716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jc w:val="both"/>
        <w:ind w:left="280"/>
        <w:spacing w:after="0"/>
        <w:rPr>
          <w:sz w:val="20"/>
          <w:szCs w:val="20"/>
          <w:color w:val="auto"/>
        </w:rPr>
      </w:pPr>
      <w:r>
        <w:rPr>
          <w:rFonts w:ascii="Arial" w:cs="Arial" w:eastAsia="Arial" w:hAnsi="Arial"/>
          <w:sz w:val="18"/>
          <w:szCs w:val="18"/>
          <w:color w:val="4C4C4C"/>
        </w:rPr>
        <w:t>Provide disclosure about changes to the compensation program due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120650</wp:posOffset>
            </wp:positionV>
            <wp:extent cx="19716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83" w:lineRule="exact"/>
        <w:rPr>
          <w:sz w:val="20"/>
          <w:szCs w:val="20"/>
          <w:color w:val="auto"/>
        </w:rPr>
      </w:pPr>
    </w:p>
    <w:p>
      <w:pPr>
        <w:ind w:left="280" w:right="100"/>
        <w:spacing w:after="0" w:line="246" w:lineRule="auto"/>
        <w:rPr>
          <w:sz w:val="20"/>
          <w:szCs w:val="20"/>
          <w:color w:val="auto"/>
        </w:rPr>
      </w:pPr>
      <w:r>
        <w:rPr>
          <w:rFonts w:ascii="Arial" w:cs="Arial" w:eastAsia="Arial" w:hAnsi="Arial"/>
          <w:sz w:val="18"/>
          <w:szCs w:val="18"/>
          <w:color w:val="4C4C4C"/>
        </w:rPr>
        <w:t>Incentive Compensation metrics are aligned with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374015</wp:posOffset>
            </wp:positionV>
            <wp:extent cx="19716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Brighthouse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304800</wp:posOffset>
            </wp:positionV>
            <wp:extent cx="460311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03115" cy="17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What we’re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11430</wp:posOffset>
            </wp:positionV>
            <wp:extent cx="46031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11" w:lineRule="exact"/>
        <w:rPr>
          <w:sz w:val="20"/>
          <w:szCs w:val="20"/>
          <w:color w:val="auto"/>
        </w:rPr>
      </w:pPr>
    </w:p>
    <w:p>
      <w:pPr>
        <w:ind w:left="180" w:right="300" w:hanging="178"/>
        <w:spacing w:after="0" w:line="242" w:lineRule="auto"/>
        <w:tabs>
          <w:tab w:leader="none" w:pos="164" w:val="left"/>
        </w:tabs>
        <w:numPr>
          <w:ilvl w:val="0"/>
          <w:numId w:val="142"/>
        </w:numPr>
        <w:rPr>
          <w:rFonts w:ascii="Arial" w:cs="Arial" w:eastAsia="Arial" w:hAnsi="Arial"/>
          <w:sz w:val="18"/>
          <w:szCs w:val="18"/>
          <w:color w:val="4C4C4C"/>
        </w:rPr>
      </w:pPr>
      <w:r>
        <w:rPr>
          <w:rFonts w:ascii="Arial" w:cs="Arial" w:eastAsia="Arial" w:hAnsi="Arial"/>
          <w:sz w:val="18"/>
          <w:szCs w:val="18"/>
          <w:color w:val="4C4C4C"/>
        </w:rPr>
        <w:t>It is important for us to be transparent and clear about our compensation program. We aim to provide robust and useful disclosure about our compensation practices.</w:t>
      </w:r>
    </w:p>
    <w:p>
      <w:pPr>
        <w:spacing w:after="0" w:line="1" w:lineRule="exact"/>
        <w:rPr>
          <w:rFonts w:ascii="Arial" w:cs="Arial" w:eastAsia="Arial" w:hAnsi="Arial"/>
          <w:sz w:val="18"/>
          <w:szCs w:val="18"/>
          <w:color w:val="4C4C4C"/>
        </w:rPr>
      </w:pPr>
    </w:p>
    <w:p>
      <w:pPr>
        <w:ind w:left="180" w:right="620" w:hanging="178"/>
        <w:spacing w:after="0" w:line="238" w:lineRule="auto"/>
        <w:tabs>
          <w:tab w:leader="none" w:pos="164" w:val="left"/>
        </w:tabs>
        <w:numPr>
          <w:ilvl w:val="0"/>
          <w:numId w:val="142"/>
        </w:numPr>
        <w:rPr>
          <w:rFonts w:ascii="Arial" w:cs="Arial" w:eastAsia="Arial" w:hAnsi="Arial"/>
          <w:sz w:val="18"/>
          <w:szCs w:val="18"/>
          <w:color w:val="4C4C4C"/>
        </w:rPr>
      </w:pPr>
      <w:r>
        <w:rPr>
          <w:rFonts w:ascii="Arial" w:cs="Arial" w:eastAsia="Arial" w:hAnsi="Arial"/>
          <w:sz w:val="18"/>
          <w:szCs w:val="18"/>
          <w:color w:val="4C4C4C"/>
        </w:rPr>
        <w:t>We did not make any COVID-driven changes to our 2020 executive compensation program, including our compensation metrics or targets. See “</w:t>
      </w:r>
      <w:r>
        <w:rPr>
          <w:rFonts w:ascii="Arial" w:cs="Arial" w:eastAsia="Arial" w:hAnsi="Arial"/>
          <w:sz w:val="18"/>
          <w:szCs w:val="18"/>
          <w:color w:val="00ADBB"/>
        </w:rPr>
        <w:t>Compensation</w:t>
      </w:r>
      <w:r>
        <w:rPr>
          <w:rFonts w:ascii="Arial" w:cs="Arial" w:eastAsia="Arial" w:hAnsi="Arial"/>
          <w:sz w:val="18"/>
          <w:szCs w:val="18"/>
          <w:color w:val="4C4C4C"/>
        </w:rPr>
        <w:t xml:space="preserve"> </w:t>
      </w:r>
      <w:r>
        <w:rPr>
          <w:rFonts w:ascii="Arial" w:cs="Arial" w:eastAsia="Arial" w:hAnsi="Arial"/>
          <w:sz w:val="18"/>
          <w:szCs w:val="18"/>
          <w:color w:val="00ADBB"/>
        </w:rPr>
        <w:t>Discussion and Analysis – Section 1 – Executive Summary – Responding to the COVID-19 Pandemic</w:t>
      </w:r>
      <w:r>
        <w:rPr>
          <w:rFonts w:ascii="Arial" w:cs="Arial" w:eastAsia="Arial" w:hAnsi="Arial"/>
          <w:sz w:val="18"/>
          <w:szCs w:val="18"/>
          <w:color w:val="4C4C4C"/>
        </w:rPr>
        <w:t>.”</w:t>
      </w:r>
    </w:p>
    <w:p>
      <w:pPr>
        <w:spacing w:after="0" w:line="2" w:lineRule="exact"/>
        <w:rPr>
          <w:rFonts w:ascii="Arial" w:cs="Arial" w:eastAsia="Arial" w:hAnsi="Arial"/>
          <w:sz w:val="18"/>
          <w:szCs w:val="18"/>
          <w:color w:val="4C4C4C"/>
        </w:rPr>
      </w:pPr>
    </w:p>
    <w:p>
      <w:pPr>
        <w:ind w:left="180" w:right="340" w:hanging="178"/>
        <w:spacing w:after="0" w:line="238" w:lineRule="auto"/>
        <w:tabs>
          <w:tab w:leader="none" w:pos="164" w:val="left"/>
        </w:tabs>
        <w:numPr>
          <w:ilvl w:val="0"/>
          <w:numId w:val="142"/>
        </w:numPr>
        <w:rPr>
          <w:rFonts w:ascii="Arial" w:cs="Arial" w:eastAsia="Arial" w:hAnsi="Arial"/>
          <w:sz w:val="18"/>
          <w:szCs w:val="18"/>
          <w:color w:val="4C4C4C"/>
        </w:rPr>
      </w:pPr>
      <w:r>
        <w:rPr>
          <w:rFonts w:ascii="Arial" w:cs="Arial" w:eastAsia="Arial" w:hAnsi="Arial"/>
          <w:sz w:val="18"/>
          <w:szCs w:val="18"/>
          <w:color w:val="4C4C4C"/>
        </w:rPr>
        <w:t>Our Compensation and Human Capital Committee annually reviews our incentive compensation metrics to ensure that they align with our strategy and incentivize behaviors that we believe will create long-term value for our stockholders. See “</w:t>
      </w:r>
      <w:r>
        <w:rPr>
          <w:rFonts w:ascii="Arial" w:cs="Arial" w:eastAsia="Arial" w:hAnsi="Arial"/>
          <w:sz w:val="18"/>
          <w:szCs w:val="18"/>
          <w:color w:val="00ADBB"/>
        </w:rPr>
        <w:t>Proxy</w:t>
      </w:r>
      <w:r>
        <w:rPr>
          <w:rFonts w:ascii="Arial" w:cs="Arial" w:eastAsia="Arial" w:hAnsi="Arial"/>
          <w:sz w:val="18"/>
          <w:szCs w:val="18"/>
          <w:color w:val="4C4C4C"/>
        </w:rPr>
        <w:t xml:space="preserve"> </w:t>
      </w:r>
      <w:r>
        <w:rPr>
          <w:rFonts w:ascii="Arial" w:cs="Arial" w:eastAsia="Arial" w:hAnsi="Arial"/>
          <w:sz w:val="18"/>
          <w:szCs w:val="18"/>
          <w:color w:val="00ADBB"/>
        </w:rPr>
        <w:t>Summary – the Brighthouse Story” and “Compensation Discussion and Analysis – Section 1 – Executive Summary</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-7620</wp:posOffset>
            </wp:positionV>
            <wp:extent cx="46031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-659130</wp:posOffset>
            </wp:positionV>
            <wp:extent cx="460311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0311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-1181735</wp:posOffset>
            </wp:positionV>
            <wp:extent cx="460311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540"/>
            <w:col w:w="7320"/>
          </w:cols>
          <w:pgMar w:left="320" w:top="459" w:right="439" w:bottom="1440" w:gutter="0" w:footer="0" w:header="0"/>
          <w:type w:val="continuous"/>
        </w:sectPr>
      </w:pPr>
    </w:p>
    <w:p>
      <w:pPr>
        <w:spacing w:after="0" w:line="9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2021 STI Metrics</w:t>
      </w:r>
    </w:p>
    <w:p>
      <w:pPr>
        <w:spacing w:after="0" w:line="13" w:lineRule="exact"/>
        <w:rPr>
          <w:sz w:val="20"/>
          <w:szCs w:val="20"/>
          <w:color w:val="auto"/>
        </w:rPr>
      </w:pPr>
    </w:p>
    <w:p>
      <w:pPr>
        <w:ind w:left="280" w:right="240"/>
        <w:spacing w:after="0" w:line="261" w:lineRule="auto"/>
        <w:rPr>
          <w:sz w:val="20"/>
          <w:szCs w:val="20"/>
          <w:color w:val="auto"/>
        </w:rPr>
      </w:pPr>
      <w:r>
        <w:rPr>
          <w:rFonts w:ascii="Arial" w:cs="Arial" w:eastAsia="Arial" w:hAnsi="Arial"/>
          <w:sz w:val="17"/>
          <w:szCs w:val="17"/>
          <w:color w:val="4C4C4C"/>
        </w:rPr>
        <w:t>Our 2021 STI program is generally consistent with our 2020 program. The Compensation and Human Capital Committee continues to believe that our STI metrics are linked to Brighthouse’s strategic goals and incentivize behaviors that drive the Company’s success. The following table presents a summary of each of the three metrics, their alignment with our strategy, and key changes from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135890</wp:posOffset>
            </wp:positionV>
            <wp:extent cx="313753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1140" w:type="dxa"/>
            <w:vAlign w:val="bottom"/>
            <w:tcBorders>
              <w:top w:val="single" w:sz="8" w:color="00ADBB"/>
              <w:bottom w:val="single" w:sz="8" w:color="4C4C4C"/>
            </w:tcBorders>
          </w:tcPr>
          <w:p>
            <w:pPr>
              <w:spacing w:after="0"/>
              <w:rPr>
                <w:sz w:val="20"/>
                <w:szCs w:val="20"/>
                <w:color w:val="auto"/>
              </w:rPr>
            </w:pPr>
            <w:r>
              <w:rPr>
                <w:rFonts w:ascii="Arial" w:cs="Arial" w:eastAsia="Arial" w:hAnsi="Arial"/>
                <w:sz w:val="18"/>
                <w:szCs w:val="18"/>
                <w:b w:val="1"/>
                <w:bCs w:val="1"/>
                <w:color w:val="00ADBB"/>
              </w:rPr>
              <w:t>STI Metric</w:t>
            </w:r>
          </w:p>
        </w:tc>
        <w:tc>
          <w:tcPr>
            <w:tcW w:w="280" w:type="dxa"/>
            <w:vAlign w:val="bottom"/>
          </w:tcPr>
          <w:p>
            <w:pPr>
              <w:spacing w:after="0"/>
              <w:rPr>
                <w:sz w:val="21"/>
                <w:szCs w:val="21"/>
                <w:color w:val="auto"/>
              </w:rPr>
            </w:pPr>
          </w:p>
        </w:tc>
        <w:tc>
          <w:tcPr>
            <w:tcW w:w="980" w:type="dxa"/>
            <w:vAlign w:val="bottom"/>
            <w:tcBorders>
              <w:top w:val="single" w:sz="8" w:color="00ADBB"/>
              <w:bottom w:val="single" w:sz="8" w:color="4C4C4C"/>
            </w:tcBorders>
          </w:tcPr>
          <w:p>
            <w:pPr>
              <w:jc w:val="center"/>
              <w:ind w:left="30"/>
              <w:spacing w:after="0"/>
              <w:rPr>
                <w:sz w:val="20"/>
                <w:szCs w:val="20"/>
                <w:color w:val="auto"/>
              </w:rPr>
            </w:pPr>
            <w:r>
              <w:rPr>
                <w:rFonts w:ascii="Arial" w:cs="Arial" w:eastAsia="Arial" w:hAnsi="Arial"/>
                <w:sz w:val="18"/>
                <w:szCs w:val="18"/>
                <w:b w:val="1"/>
                <w:bCs w:val="1"/>
                <w:color w:val="00ADBB"/>
                <w:w w:val="98"/>
              </w:rPr>
              <w:t>Weighting</w:t>
            </w:r>
          </w:p>
        </w:tc>
        <w:tc>
          <w:tcPr>
            <w:tcW w:w="200" w:type="dxa"/>
            <w:vAlign w:val="bottom"/>
          </w:tcPr>
          <w:p>
            <w:pPr>
              <w:spacing w:after="0"/>
              <w:rPr>
                <w:sz w:val="21"/>
                <w:szCs w:val="21"/>
                <w:color w:val="auto"/>
              </w:rPr>
            </w:pPr>
          </w:p>
        </w:tc>
        <w:tc>
          <w:tcPr>
            <w:tcW w:w="2840" w:type="dxa"/>
            <w:vAlign w:val="bottom"/>
            <w:tcBorders>
              <w:top w:val="single" w:sz="8" w:color="00ADBB"/>
              <w:bottom w:val="single" w:sz="8" w:color="4C4C4C"/>
            </w:tcBorders>
          </w:tcPr>
          <w:p>
            <w:pPr>
              <w:ind w:left="100"/>
              <w:spacing w:after="0"/>
              <w:rPr>
                <w:sz w:val="20"/>
                <w:szCs w:val="20"/>
                <w:color w:val="auto"/>
              </w:rPr>
            </w:pPr>
            <w:r>
              <w:rPr>
                <w:rFonts w:ascii="Arial" w:cs="Arial" w:eastAsia="Arial" w:hAnsi="Arial"/>
                <w:sz w:val="18"/>
                <w:szCs w:val="18"/>
                <w:b w:val="1"/>
                <w:bCs w:val="1"/>
                <w:color w:val="00ADBB"/>
              </w:rPr>
              <w:t>Performance Link</w:t>
            </w:r>
          </w:p>
        </w:tc>
      </w:tr>
      <w:tr>
        <w:trPr>
          <w:trHeight w:val="182"/>
        </w:trPr>
        <w:tc>
          <w:tcPr>
            <w:tcW w:w="1140" w:type="dxa"/>
            <w:vAlign w:val="bottom"/>
          </w:tcPr>
          <w:p>
            <w:pPr>
              <w:spacing w:after="0" w:line="182" w:lineRule="exact"/>
              <w:rPr>
                <w:sz w:val="20"/>
                <w:szCs w:val="20"/>
                <w:color w:val="auto"/>
              </w:rPr>
            </w:pPr>
            <w:r>
              <w:rPr>
                <w:rFonts w:ascii="Arial" w:cs="Arial" w:eastAsia="Arial" w:hAnsi="Arial"/>
                <w:sz w:val="20"/>
                <w:szCs w:val="20"/>
                <w:b w:val="1"/>
                <w:bCs w:val="1"/>
                <w:color w:val="4C4C4C"/>
              </w:rPr>
              <w:t>Expense</w:t>
            </w:r>
          </w:p>
        </w:tc>
        <w:tc>
          <w:tcPr>
            <w:tcW w:w="280" w:type="dxa"/>
            <w:vAlign w:val="bottom"/>
          </w:tcPr>
          <w:p>
            <w:pPr>
              <w:spacing w:after="0"/>
              <w:rPr>
                <w:sz w:val="15"/>
                <w:szCs w:val="15"/>
                <w:color w:val="auto"/>
              </w:rPr>
            </w:pPr>
          </w:p>
        </w:tc>
        <w:tc>
          <w:tcPr>
            <w:tcW w:w="980" w:type="dxa"/>
            <w:vAlign w:val="bottom"/>
          </w:tcPr>
          <w:p>
            <w:pPr>
              <w:jc w:val="right"/>
              <w:ind w:right="170"/>
              <w:spacing w:after="0" w:line="182"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5"/>
                <w:szCs w:val="15"/>
                <w:color w:val="auto"/>
              </w:rPr>
            </w:pPr>
          </w:p>
        </w:tc>
        <w:tc>
          <w:tcPr>
            <w:tcW w:w="2840" w:type="dxa"/>
            <w:vAlign w:val="bottom"/>
          </w:tcPr>
          <w:p>
            <w:pPr>
              <w:ind w:left="100"/>
              <w:spacing w:after="0" w:line="182" w:lineRule="exact"/>
              <w:rPr>
                <w:sz w:val="20"/>
                <w:szCs w:val="20"/>
                <w:color w:val="auto"/>
              </w:rPr>
            </w:pPr>
            <w:r>
              <w:rPr>
                <w:rFonts w:ascii="Arial" w:cs="Arial" w:eastAsia="Arial" w:hAnsi="Arial"/>
                <w:sz w:val="18"/>
                <w:szCs w:val="18"/>
                <w:color w:val="4C4C4C"/>
              </w:rPr>
              <w:t>Effectively managing our</w:t>
            </w:r>
          </w:p>
        </w:tc>
      </w:tr>
      <w:tr>
        <w:trPr>
          <w:trHeight w:val="216"/>
        </w:trPr>
        <w:tc>
          <w:tcPr>
            <w:tcW w:w="1420" w:type="dxa"/>
            <w:vAlign w:val="bottom"/>
            <w:gridSpan w:val="2"/>
          </w:tcPr>
          <w:p>
            <w:pPr>
              <w:spacing w:after="0" w:line="216" w:lineRule="exact"/>
              <w:rPr>
                <w:sz w:val="20"/>
                <w:szCs w:val="20"/>
                <w:color w:val="auto"/>
              </w:rPr>
            </w:pPr>
            <w:r>
              <w:rPr>
                <w:rFonts w:ascii="Arial" w:cs="Arial" w:eastAsia="Arial" w:hAnsi="Arial"/>
                <w:sz w:val="20"/>
                <w:szCs w:val="20"/>
                <w:b w:val="1"/>
                <w:bCs w:val="1"/>
                <w:color w:val="4C4C4C"/>
              </w:rPr>
              <w:t>Target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4C4C4C"/>
              </w:rPr>
              <w:t>expenses is a core element of our</w:t>
            </w: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4C4C4C"/>
              </w:rPr>
              <w:t>strategy.</w:t>
            </w: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Key Changes from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11430</wp:posOffset>
            </wp:positionV>
            <wp:extent cx="31375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1"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4C4C4C"/>
        </w:rPr>
        <w:t>The Compensation and Human Capital Committee determined to exclude “establishment costs” from this metric for 2021, which it had included in 2020 after considering stockholder feedback. Based on the Compensation and Human Capital Committee’s experience in 2020, where it exercised its authority to adjust downward performance under the Expense Target metric to address management’s delay of certain planned establishment costs, the Committee determined that excluding establishment costs results in both a better measure of the Company’s expense discipline and stronger incentives for desired management behaviors.</w:t>
      </w:r>
    </w:p>
    <w:p>
      <w:pPr>
        <w:spacing w:after="0" w:line="1" w:lineRule="exact"/>
        <w:rPr>
          <w:sz w:val="20"/>
          <w:szCs w:val="20"/>
          <w:color w:val="auto"/>
        </w:rPr>
      </w:pPr>
    </w:p>
    <w:p>
      <w:pPr>
        <w:sectPr>
          <w:pgSz w:w="11900" w:h="16838" w:orient="portrait"/>
          <w:cols w:equalWidth="0" w:num="2">
            <w:col w:w="5720" w:space="400"/>
            <w:col w:w="5020"/>
          </w:cols>
          <w:pgMar w:left="320" w:top="459" w:right="439" w:bottom="1440" w:gutter="0" w:footer="0" w:header="0"/>
          <w:type w:val="continuous"/>
        </w:sectPr>
      </w:pPr>
    </w:p>
    <w:tbl>
      <w:tblPr>
        <w:tblLayout w:type="fixed"/>
        <w:tblInd w:w="280" w:type="dxa"/>
        <w:tblCellMar>
          <w:top w:w="0" w:type="dxa"/>
          <w:left w:w="0" w:type="dxa"/>
          <w:bottom w:w="0" w:type="dxa"/>
          <w:right w:w="0" w:type="dxa"/>
        </w:tblCellMar>
      </w:tblPr>
      <w:tr>
        <w:trPr>
          <w:trHeight w:val="193"/>
        </w:trPr>
        <w:tc>
          <w:tcPr>
            <w:tcW w:w="1140" w:type="dxa"/>
            <w:vAlign w:val="bottom"/>
            <w:tcBorders>
              <w:top w:val="single" w:sz="8" w:color="4C4C4C"/>
            </w:tcBorders>
          </w:tcPr>
          <w:p>
            <w:pPr>
              <w:spacing w:after="0" w:line="193" w:lineRule="exact"/>
              <w:rPr>
                <w:sz w:val="20"/>
                <w:szCs w:val="20"/>
                <w:color w:val="auto"/>
              </w:rPr>
            </w:pPr>
            <w:r>
              <w:rPr>
                <w:rFonts w:ascii="Arial" w:cs="Arial" w:eastAsia="Arial" w:hAnsi="Arial"/>
                <w:sz w:val="20"/>
                <w:szCs w:val="20"/>
                <w:b w:val="1"/>
                <w:bCs w:val="1"/>
                <w:color w:val="4C4C4C"/>
              </w:rPr>
              <w:t>Sales</w:t>
            </w:r>
          </w:p>
        </w:tc>
        <w:tc>
          <w:tcPr>
            <w:tcW w:w="280" w:type="dxa"/>
            <w:vAlign w:val="bottom"/>
          </w:tcPr>
          <w:p>
            <w:pPr>
              <w:spacing w:after="0"/>
              <w:rPr>
                <w:sz w:val="16"/>
                <w:szCs w:val="16"/>
                <w:color w:val="auto"/>
              </w:rPr>
            </w:pPr>
          </w:p>
        </w:tc>
        <w:tc>
          <w:tcPr>
            <w:tcW w:w="980" w:type="dxa"/>
            <w:vAlign w:val="bottom"/>
            <w:tcBorders>
              <w:top w:val="single" w:sz="8" w:color="4C4C4C"/>
            </w:tcBorders>
          </w:tcPr>
          <w:p>
            <w:pPr>
              <w:jc w:val="right"/>
              <w:ind w:right="170"/>
              <w:spacing w:after="0" w:line="193"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6"/>
                <w:szCs w:val="16"/>
                <w:color w:val="auto"/>
              </w:rPr>
            </w:pPr>
          </w:p>
        </w:tc>
        <w:tc>
          <w:tcPr>
            <w:tcW w:w="2840" w:type="dxa"/>
            <w:vAlign w:val="bottom"/>
            <w:tcBorders>
              <w:top w:val="single" w:sz="8" w:color="4C4C4C"/>
            </w:tcBorders>
          </w:tcPr>
          <w:p>
            <w:pPr>
              <w:ind w:left="100"/>
              <w:spacing w:after="0" w:line="193" w:lineRule="exact"/>
              <w:rPr>
                <w:sz w:val="20"/>
                <w:szCs w:val="20"/>
                <w:color w:val="auto"/>
              </w:rPr>
            </w:pPr>
            <w:r>
              <w:rPr>
                <w:rFonts w:ascii="Arial" w:cs="Arial" w:eastAsia="Arial" w:hAnsi="Arial"/>
                <w:sz w:val="18"/>
                <w:szCs w:val="18"/>
                <w:color w:val="4C4C4C"/>
              </w:rPr>
              <w:t>Important indicator of our growth</w:t>
            </w:r>
          </w:p>
        </w:tc>
        <w:tc>
          <w:tcPr>
            <w:tcW w:w="300" w:type="dxa"/>
            <w:vAlign w:val="bottom"/>
          </w:tcPr>
          <w:p>
            <w:pPr>
              <w:spacing w:after="0"/>
              <w:rPr>
                <w:sz w:val="16"/>
                <w:szCs w:val="16"/>
                <w:color w:val="auto"/>
              </w:rPr>
            </w:pPr>
          </w:p>
        </w:tc>
        <w:tc>
          <w:tcPr>
            <w:tcW w:w="4940" w:type="dxa"/>
            <w:vAlign w:val="bottom"/>
            <w:tcBorders>
              <w:top w:val="single" w:sz="8" w:color="4C4C4C"/>
            </w:tcBorders>
          </w:tcPr>
          <w:p>
            <w:pPr>
              <w:ind w:left="100"/>
              <w:spacing w:after="0" w:line="193" w:lineRule="exact"/>
              <w:rPr>
                <w:sz w:val="20"/>
                <w:szCs w:val="20"/>
                <w:color w:val="auto"/>
              </w:rPr>
            </w:pPr>
            <w:r>
              <w:rPr>
                <w:rFonts w:ascii="Arial" w:cs="Arial" w:eastAsia="Arial" w:hAnsi="Arial"/>
                <w:sz w:val="18"/>
                <w:szCs w:val="18"/>
                <w:color w:val="4C4C4C"/>
              </w:rPr>
              <w:t>No changes.</w:t>
            </w:r>
          </w:p>
        </w:tc>
      </w:tr>
      <w:tr>
        <w:trPr>
          <w:trHeight w:val="203"/>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2"/>
          </w:tcPr>
          <w:p>
            <w:pPr>
              <w:ind w:left="100"/>
              <w:spacing w:after="0" w:line="203" w:lineRule="exact"/>
              <w:rPr>
                <w:sz w:val="20"/>
                <w:szCs w:val="20"/>
                <w:color w:val="auto"/>
              </w:rPr>
            </w:pPr>
            <w:r>
              <w:rPr>
                <w:rFonts w:ascii="Arial" w:cs="Arial" w:eastAsia="Arial" w:hAnsi="Arial"/>
                <w:sz w:val="18"/>
                <w:szCs w:val="18"/>
                <w:color w:val="4C4C4C"/>
              </w:rPr>
              <w:t>prospects and franchise stability.</w:t>
            </w:r>
          </w:p>
        </w:tc>
        <w:tc>
          <w:tcPr>
            <w:tcW w:w="4940" w:type="dxa"/>
            <w:vAlign w:val="bottom"/>
          </w:tcPr>
          <w:p>
            <w:pPr>
              <w:spacing w:after="0"/>
              <w:rPr>
                <w:sz w:val="17"/>
                <w:szCs w:val="17"/>
                <w:color w:val="auto"/>
              </w:rPr>
            </w:pPr>
          </w:p>
        </w:tc>
      </w:tr>
      <w:tr>
        <w:trPr>
          <w:trHeight w:val="182"/>
        </w:trPr>
        <w:tc>
          <w:tcPr>
            <w:tcW w:w="1140" w:type="dxa"/>
            <w:vAlign w:val="bottom"/>
            <w:tcBorders>
              <w:top w:val="single" w:sz="8" w:color="4C4C4C"/>
            </w:tcBorders>
          </w:tcPr>
          <w:p>
            <w:pPr>
              <w:spacing w:after="0" w:line="182" w:lineRule="exact"/>
              <w:rPr>
                <w:sz w:val="20"/>
                <w:szCs w:val="20"/>
                <w:color w:val="auto"/>
              </w:rPr>
            </w:pPr>
            <w:r>
              <w:rPr>
                <w:rFonts w:ascii="Arial" w:cs="Arial" w:eastAsia="Arial" w:hAnsi="Arial"/>
                <w:sz w:val="20"/>
                <w:szCs w:val="20"/>
                <w:b w:val="1"/>
                <w:bCs w:val="1"/>
                <w:color w:val="4C4C4C"/>
              </w:rPr>
              <w:t>Normalized</w:t>
            </w:r>
          </w:p>
        </w:tc>
        <w:tc>
          <w:tcPr>
            <w:tcW w:w="280" w:type="dxa"/>
            <w:vAlign w:val="bottom"/>
          </w:tcPr>
          <w:p>
            <w:pPr>
              <w:spacing w:after="0"/>
              <w:rPr>
                <w:sz w:val="15"/>
                <w:szCs w:val="15"/>
                <w:color w:val="auto"/>
              </w:rPr>
            </w:pPr>
          </w:p>
        </w:tc>
        <w:tc>
          <w:tcPr>
            <w:tcW w:w="980" w:type="dxa"/>
            <w:vAlign w:val="bottom"/>
            <w:tcBorders>
              <w:top w:val="single" w:sz="8" w:color="4C4C4C"/>
            </w:tcBorders>
          </w:tcPr>
          <w:p>
            <w:pPr>
              <w:jc w:val="right"/>
              <w:ind w:right="170"/>
              <w:spacing w:after="0" w:line="182" w:lineRule="exact"/>
              <w:rPr>
                <w:sz w:val="20"/>
                <w:szCs w:val="20"/>
                <w:color w:val="auto"/>
              </w:rPr>
            </w:pPr>
            <w:r>
              <w:rPr>
                <w:rFonts w:ascii="Arial" w:cs="Arial" w:eastAsia="Arial" w:hAnsi="Arial"/>
                <w:sz w:val="18"/>
                <w:szCs w:val="18"/>
                <w:color w:val="4C4C4C"/>
              </w:rPr>
              <w:t>20%</w:t>
            </w:r>
          </w:p>
        </w:tc>
        <w:tc>
          <w:tcPr>
            <w:tcW w:w="200" w:type="dxa"/>
            <w:vAlign w:val="bottom"/>
          </w:tcPr>
          <w:p>
            <w:pPr>
              <w:spacing w:after="0"/>
              <w:rPr>
                <w:sz w:val="15"/>
                <w:szCs w:val="15"/>
                <w:color w:val="auto"/>
              </w:rPr>
            </w:pPr>
          </w:p>
        </w:tc>
        <w:tc>
          <w:tcPr>
            <w:tcW w:w="2840" w:type="dxa"/>
            <w:vAlign w:val="bottom"/>
            <w:tcBorders>
              <w:top w:val="single" w:sz="8" w:color="4C4C4C"/>
            </w:tcBorders>
          </w:tcPr>
          <w:p>
            <w:pPr>
              <w:ind w:left="100"/>
              <w:spacing w:after="0" w:line="182" w:lineRule="exact"/>
              <w:rPr>
                <w:sz w:val="20"/>
                <w:szCs w:val="20"/>
                <w:color w:val="auto"/>
              </w:rPr>
            </w:pPr>
            <w:r>
              <w:rPr>
                <w:rFonts w:ascii="Arial" w:cs="Arial" w:eastAsia="Arial" w:hAnsi="Arial"/>
                <w:sz w:val="18"/>
                <w:szCs w:val="18"/>
                <w:color w:val="4C4C4C"/>
              </w:rPr>
              <w:t>Key metric that measures our</w:t>
            </w:r>
          </w:p>
        </w:tc>
        <w:tc>
          <w:tcPr>
            <w:tcW w:w="300" w:type="dxa"/>
            <w:vAlign w:val="bottom"/>
          </w:tcPr>
          <w:p>
            <w:pPr>
              <w:spacing w:after="0"/>
              <w:rPr>
                <w:sz w:val="15"/>
                <w:szCs w:val="15"/>
                <w:color w:val="auto"/>
              </w:rPr>
            </w:pPr>
          </w:p>
        </w:tc>
        <w:tc>
          <w:tcPr>
            <w:tcW w:w="4940" w:type="dxa"/>
            <w:vAlign w:val="bottom"/>
            <w:tcBorders>
              <w:top w:val="single" w:sz="8" w:color="4C4C4C"/>
            </w:tcBorders>
          </w:tcPr>
          <w:p>
            <w:pPr>
              <w:ind w:left="100"/>
              <w:spacing w:after="0" w:line="182" w:lineRule="exact"/>
              <w:rPr>
                <w:sz w:val="20"/>
                <w:szCs w:val="20"/>
                <w:color w:val="auto"/>
              </w:rPr>
            </w:pPr>
            <w:r>
              <w:rPr>
                <w:rFonts w:ascii="Arial" w:cs="Arial" w:eastAsia="Arial" w:hAnsi="Arial"/>
                <w:sz w:val="18"/>
                <w:szCs w:val="18"/>
                <w:color w:val="4C4C4C"/>
              </w:rPr>
              <w:t>No changes.</w:t>
            </w:r>
          </w:p>
        </w:tc>
      </w:tr>
      <w:tr>
        <w:trPr>
          <w:trHeight w:val="216"/>
        </w:trPr>
        <w:tc>
          <w:tcPr>
            <w:tcW w:w="1420" w:type="dxa"/>
            <w:vAlign w:val="bottom"/>
            <w:gridSpan w:val="2"/>
          </w:tcPr>
          <w:p>
            <w:pPr>
              <w:spacing w:after="0" w:line="216" w:lineRule="exact"/>
              <w:rPr>
                <w:sz w:val="20"/>
                <w:szCs w:val="20"/>
                <w:color w:val="auto"/>
              </w:rPr>
            </w:pPr>
            <w:r>
              <w:rPr>
                <w:rFonts w:ascii="Arial" w:cs="Arial" w:eastAsia="Arial" w:hAnsi="Arial"/>
                <w:sz w:val="20"/>
                <w:szCs w:val="20"/>
                <w:b w:val="1"/>
                <w:bCs w:val="1"/>
                <w:color w:val="4C4C4C"/>
              </w:rPr>
              <w:t>Statutory</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Arial" w:cs="Arial" w:eastAsia="Arial" w:hAnsi="Arial"/>
                <w:sz w:val="18"/>
                <w:szCs w:val="18"/>
                <w:color w:val="4C4C4C"/>
              </w:rPr>
              <w:t>ability to grow distributable</w:t>
            </w:r>
          </w:p>
        </w:tc>
        <w:tc>
          <w:tcPr>
            <w:tcW w:w="4940" w:type="dxa"/>
            <w:vAlign w:val="bottom"/>
          </w:tcPr>
          <w:p>
            <w:pPr>
              <w:spacing w:after="0"/>
              <w:rPr>
                <w:sz w:val="18"/>
                <w:szCs w:val="18"/>
                <w:color w:val="auto"/>
              </w:rPr>
            </w:pPr>
          </w:p>
        </w:tc>
      </w:tr>
      <w:tr>
        <w:trPr>
          <w:trHeight w:val="203"/>
        </w:trPr>
        <w:tc>
          <w:tcPr>
            <w:tcW w:w="1420" w:type="dxa"/>
            <w:vAlign w:val="bottom"/>
            <w:gridSpan w:val="2"/>
          </w:tcPr>
          <w:p>
            <w:pPr>
              <w:spacing w:after="0" w:line="204" w:lineRule="exact"/>
              <w:rPr>
                <w:sz w:val="20"/>
                <w:szCs w:val="20"/>
                <w:color w:val="auto"/>
              </w:rPr>
            </w:pPr>
            <w:r>
              <w:rPr>
                <w:rFonts w:ascii="Arial" w:cs="Arial" w:eastAsia="Arial" w:hAnsi="Arial"/>
                <w:sz w:val="20"/>
                <w:szCs w:val="20"/>
                <w:b w:val="1"/>
                <w:bCs w:val="1"/>
                <w:color w:val="4C4C4C"/>
              </w:rPr>
              <w:t>Earnings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2"/>
          </w:tcPr>
          <w:p>
            <w:pPr>
              <w:ind w:left="100"/>
              <w:spacing w:after="0" w:line="203" w:lineRule="exact"/>
              <w:rPr>
                <w:sz w:val="20"/>
                <w:szCs w:val="20"/>
                <w:color w:val="auto"/>
              </w:rPr>
            </w:pPr>
            <w:r>
              <w:rPr>
                <w:rFonts w:ascii="Arial" w:cs="Arial" w:eastAsia="Arial" w:hAnsi="Arial"/>
                <w:sz w:val="18"/>
                <w:szCs w:val="18"/>
                <w:color w:val="4C4C4C"/>
              </w:rPr>
              <w:t>earnings while prudently</w:t>
            </w:r>
          </w:p>
        </w:tc>
        <w:tc>
          <w:tcPr>
            <w:tcW w:w="4940" w:type="dxa"/>
            <w:vAlign w:val="bottom"/>
          </w:tcPr>
          <w:p>
            <w:pPr>
              <w:spacing w:after="0"/>
              <w:rPr>
                <w:sz w:val="17"/>
                <w:szCs w:val="17"/>
                <w:color w:val="auto"/>
              </w:rPr>
            </w:pPr>
          </w:p>
        </w:tc>
      </w:tr>
      <w:tr>
        <w:trPr>
          <w:trHeight w:val="203"/>
        </w:trPr>
        <w:tc>
          <w:tcPr>
            <w:tcW w:w="1140" w:type="dxa"/>
            <w:vAlign w:val="bottom"/>
            <w:tcBorders>
              <w:bottom w:val="single" w:sz="8" w:color="4C4C4C"/>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4C4C4C"/>
            </w:tcBorders>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4C4C4C"/>
            </w:tcBorders>
          </w:tcPr>
          <w:p>
            <w:pPr>
              <w:ind w:left="100"/>
              <w:spacing w:after="0" w:line="202" w:lineRule="exact"/>
              <w:rPr>
                <w:sz w:val="20"/>
                <w:szCs w:val="20"/>
                <w:color w:val="auto"/>
              </w:rPr>
            </w:pPr>
            <w:r>
              <w:rPr>
                <w:rFonts w:ascii="Arial" w:cs="Arial" w:eastAsia="Arial" w:hAnsi="Arial"/>
                <w:sz w:val="18"/>
                <w:szCs w:val="18"/>
                <w:color w:val="4C4C4C"/>
              </w:rPr>
              <w:t>managing risk.</w:t>
            </w:r>
          </w:p>
        </w:tc>
        <w:tc>
          <w:tcPr>
            <w:tcW w:w="300" w:type="dxa"/>
            <w:vAlign w:val="bottom"/>
          </w:tcPr>
          <w:p>
            <w:pPr>
              <w:spacing w:after="0"/>
              <w:rPr>
                <w:sz w:val="17"/>
                <w:szCs w:val="17"/>
                <w:color w:val="auto"/>
              </w:rPr>
            </w:pPr>
          </w:p>
        </w:tc>
        <w:tc>
          <w:tcPr>
            <w:tcW w:w="4940" w:type="dxa"/>
            <w:vAlign w:val="bottom"/>
            <w:tcBorders>
              <w:bottom w:val="single" w:sz="8" w:color="4C4C4C"/>
            </w:tcBorders>
          </w:tcPr>
          <w:p>
            <w:pPr>
              <w:spacing w:after="0"/>
              <w:rPr>
                <w:sz w:val="17"/>
                <w:szCs w:val="17"/>
                <w:color w:val="auto"/>
              </w:rPr>
            </w:pPr>
          </w:p>
        </w:tc>
      </w:tr>
    </w:tbl>
    <w:p>
      <w:pPr>
        <w:spacing w:after="0" w:line="29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2021 LTI Awards</w:t>
      </w:r>
    </w:p>
    <w:p>
      <w:pPr>
        <w:spacing w:after="0" w:line="13" w:lineRule="exact"/>
        <w:rPr>
          <w:sz w:val="20"/>
          <w:szCs w:val="20"/>
          <w:color w:val="auto"/>
        </w:rPr>
      </w:pPr>
    </w:p>
    <w:p>
      <w:pPr>
        <w:ind w:left="280" w:right="240"/>
        <w:spacing w:after="0" w:line="238" w:lineRule="auto"/>
        <w:rPr>
          <w:sz w:val="20"/>
          <w:szCs w:val="20"/>
          <w:color w:val="auto"/>
        </w:rPr>
      </w:pPr>
      <w:r>
        <w:rPr>
          <w:rFonts w:ascii="Arial" w:cs="Arial" w:eastAsia="Arial" w:hAnsi="Arial"/>
          <w:sz w:val="18"/>
          <w:szCs w:val="18"/>
          <w:color w:val="4C4C4C"/>
        </w:rPr>
        <w:t>Our 2021 LTI Award program is unchanged from our 2020 program. 2021 LTI Awards consist of the same mix of PSUs and RSUs as our 2020 LTI Awards. Our 2021 PSU Metrics are unchanged from 2020. The Compensation and Human Capital Committee continues to believe that our PSU metrics are linked to Brighthouse’s strategic goals and incentivize behaviors that drive long-term value creation. The 2021 PSU metrics measure Brighthouse’s performance</w:t>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62 | 2021 Proxy Statement</w:t>
      </w:r>
    </w:p>
    <w:p>
      <w:pPr>
        <w:sectPr>
          <w:pgSz w:w="11900" w:h="16838" w:orient="portrait"/>
          <w:cols w:equalWidth="0" w:num="1">
            <w:col w:w="1114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72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Compensation Discussion and Analysis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Section 4 – 2021 Compensation Program Overview</w:t>
      </w:r>
    </w:p>
    <w:p>
      <w:pPr>
        <w:spacing w:after="0" w:line="247"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4C4C4C"/>
        </w:rPr>
        <w:t>over the 2021-2023 performance period. The actual number of Shares issued pursuant to the PSUs, if any, at the end of the performance period will depend on the Company’s actual performance. The following table presents a summary of our 2021 PSU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20"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b w:val="1"/>
          <w:bCs w:val="1"/>
          <w:color w:val="00ADBB"/>
        </w:rPr>
        <w:t>PSU Metric</w:t>
      </w:r>
      <w:r>
        <w:rPr>
          <w:sz w:val="20"/>
          <w:szCs w:val="20"/>
          <w:color w:val="auto"/>
        </w:rPr>
        <w:tab/>
      </w:r>
      <w:r>
        <w:rPr>
          <w:rFonts w:ascii="Arial" w:cs="Arial" w:eastAsia="Arial" w:hAnsi="Arial"/>
          <w:sz w:val="17"/>
          <w:szCs w:val="17"/>
          <w:b w:val="1"/>
          <w:bCs w:val="1"/>
          <w:color w:val="00ADBB"/>
        </w:rPr>
        <w:t>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15601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120"/>
        <w:spacing w:after="0"/>
        <w:tabs>
          <w:tab w:leader="none" w:pos="1940" w:val="left"/>
        </w:tabs>
        <w:rPr>
          <w:sz w:val="20"/>
          <w:szCs w:val="20"/>
          <w:color w:val="auto"/>
        </w:rPr>
      </w:pPr>
      <w:r>
        <w:rPr>
          <w:rFonts w:ascii="Arial" w:cs="Arial" w:eastAsia="Arial" w:hAnsi="Arial"/>
          <w:sz w:val="20"/>
          <w:szCs w:val="20"/>
          <w:b w:val="1"/>
          <w:bCs w:val="1"/>
          <w:color w:val="4C4C4C"/>
        </w:rPr>
        <w:t>Statutory</w:t>
      </w:r>
      <w:r>
        <w:rPr>
          <w:sz w:val="20"/>
          <w:szCs w:val="20"/>
          <w:color w:val="auto"/>
        </w:rPr>
        <w:tab/>
      </w:r>
      <w:r>
        <w:rPr>
          <w:rFonts w:ascii="Arial" w:cs="Arial" w:eastAsia="Arial" w:hAnsi="Arial"/>
          <w:sz w:val="18"/>
          <w:szCs w:val="18"/>
          <w:color w:val="4C4C4C"/>
        </w:rPr>
        <w:t>60%</w:t>
      </w:r>
    </w:p>
    <w:p>
      <w:pPr>
        <w:ind w:left="120"/>
        <w:spacing w:after="0" w:line="228" w:lineRule="auto"/>
        <w:rPr>
          <w:sz w:val="20"/>
          <w:szCs w:val="20"/>
          <w:color w:val="auto"/>
        </w:rPr>
      </w:pPr>
      <w:r>
        <w:rPr>
          <w:rFonts w:ascii="Arial" w:cs="Arial" w:eastAsia="Arial" w:hAnsi="Arial"/>
          <w:sz w:val="20"/>
          <w:szCs w:val="20"/>
          <w:b w:val="1"/>
          <w:bCs w:val="1"/>
          <w:color w:val="4C4C4C"/>
        </w:rPr>
        <w:t>Expense</w:t>
      </w:r>
    </w:p>
    <w:p>
      <w:pPr>
        <w:ind w:left="120"/>
        <w:spacing w:after="0"/>
        <w:rPr>
          <w:sz w:val="20"/>
          <w:szCs w:val="20"/>
          <w:color w:val="auto"/>
        </w:rPr>
      </w:pPr>
      <w:r>
        <w:rPr>
          <w:rFonts w:ascii="Arial" w:cs="Arial" w:eastAsia="Arial" w:hAnsi="Arial"/>
          <w:sz w:val="20"/>
          <w:szCs w:val="20"/>
          <w:b w:val="1"/>
          <w:bCs w:val="1"/>
          <w:color w:val="4C4C4C"/>
        </w:rPr>
        <w:t>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ADBB"/>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11430</wp:posOffset>
            </wp:positionV>
            <wp:extent cx="18599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1" w:lineRule="exact"/>
        <w:rPr>
          <w:sz w:val="20"/>
          <w:szCs w:val="20"/>
          <w:color w:val="auto"/>
        </w:rPr>
      </w:pPr>
    </w:p>
    <w:p>
      <w:pPr>
        <w:spacing w:after="0" w:line="250" w:lineRule="auto"/>
        <w:rPr>
          <w:sz w:val="20"/>
          <w:szCs w:val="20"/>
          <w:color w:val="auto"/>
        </w:rPr>
      </w:pPr>
      <w:r>
        <w:rPr>
          <w:rFonts w:ascii="Arial" w:cs="Arial" w:eastAsia="Arial" w:hAnsi="Arial"/>
          <w:sz w:val="17"/>
          <w:szCs w:val="17"/>
          <w:color w:val="4C4C4C"/>
        </w:rPr>
        <w:t>Reflects the ratio of statutory earnings expenses to statutory premiums and fee income, and measures our performance in key strategic areas of expense management and top-line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ADBB"/>
        </w:rPr>
        <w:t>Key changes from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19050</wp:posOffset>
            </wp:positionV>
            <wp:extent cx="32315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C4C4C"/>
        </w:rPr>
        <w:t>No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640715</wp:posOffset>
            </wp:positionV>
            <wp:extent cx="32315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015" w:lineRule="exact"/>
        <w:rPr>
          <w:sz w:val="20"/>
          <w:szCs w:val="20"/>
          <w:color w:val="auto"/>
        </w:rPr>
      </w:pPr>
    </w:p>
    <w:p>
      <w:pPr>
        <w:sectPr>
          <w:pgSz w:w="11900" w:h="16838" w:orient="portrait"/>
          <w:cols w:equalWidth="0" w:num="3">
            <w:col w:w="2560" w:space="340"/>
            <w:col w:w="2680" w:space="580"/>
            <w:col w:w="49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6"/>
        </w:trPr>
        <w:tc>
          <w:tcPr>
            <w:tcW w:w="1160" w:type="dxa"/>
            <w:vAlign w:val="bottom"/>
            <w:tcBorders>
              <w:top w:val="single" w:sz="8" w:color="4C4C4C"/>
            </w:tcBorders>
          </w:tcPr>
          <w:p>
            <w:pPr>
              <w:spacing w:after="0" w:line="176" w:lineRule="exact"/>
              <w:rPr>
                <w:sz w:val="20"/>
                <w:szCs w:val="20"/>
                <w:color w:val="auto"/>
              </w:rPr>
            </w:pPr>
            <w:r>
              <w:rPr>
                <w:rFonts w:ascii="Arial" w:cs="Arial" w:eastAsia="Arial" w:hAnsi="Arial"/>
                <w:sz w:val="20"/>
                <w:szCs w:val="20"/>
                <w:b w:val="1"/>
                <w:bCs w:val="1"/>
                <w:color w:val="4C4C4C"/>
              </w:rPr>
              <w:t>Net Cash</w:t>
            </w:r>
          </w:p>
        </w:tc>
        <w:tc>
          <w:tcPr>
            <w:tcW w:w="300" w:type="dxa"/>
            <w:vAlign w:val="bottom"/>
          </w:tcPr>
          <w:p>
            <w:pPr>
              <w:spacing w:after="0"/>
              <w:rPr>
                <w:sz w:val="15"/>
                <w:szCs w:val="15"/>
                <w:color w:val="auto"/>
              </w:rPr>
            </w:pPr>
          </w:p>
        </w:tc>
        <w:tc>
          <w:tcPr>
            <w:tcW w:w="1000" w:type="dxa"/>
            <w:vAlign w:val="bottom"/>
            <w:tcBorders>
              <w:top w:val="single" w:sz="8" w:color="4C4C4C"/>
            </w:tcBorders>
          </w:tcPr>
          <w:p>
            <w:pPr>
              <w:jc w:val="right"/>
              <w:ind w:right="170"/>
              <w:spacing w:after="0" w:line="176" w:lineRule="exact"/>
              <w:rPr>
                <w:sz w:val="20"/>
                <w:szCs w:val="20"/>
                <w:color w:val="auto"/>
              </w:rPr>
            </w:pPr>
            <w:r>
              <w:rPr>
                <w:rFonts w:ascii="Arial" w:cs="Arial" w:eastAsia="Arial" w:hAnsi="Arial"/>
                <w:sz w:val="18"/>
                <w:szCs w:val="18"/>
                <w:color w:val="4C4C4C"/>
              </w:rPr>
              <w:t>40%</w:t>
            </w:r>
          </w:p>
        </w:tc>
        <w:tc>
          <w:tcPr>
            <w:tcW w:w="200" w:type="dxa"/>
            <w:vAlign w:val="bottom"/>
          </w:tcPr>
          <w:p>
            <w:pPr>
              <w:spacing w:after="0"/>
              <w:rPr>
                <w:sz w:val="15"/>
                <w:szCs w:val="15"/>
                <w:color w:val="auto"/>
              </w:rPr>
            </w:pPr>
          </w:p>
        </w:tc>
        <w:tc>
          <w:tcPr>
            <w:tcW w:w="2940" w:type="dxa"/>
            <w:vAlign w:val="bottom"/>
            <w:tcBorders>
              <w:top w:val="single" w:sz="8" w:color="4C4C4C"/>
            </w:tcBorders>
          </w:tcPr>
          <w:p>
            <w:pPr>
              <w:ind w:left="120"/>
              <w:spacing w:after="0" w:line="176" w:lineRule="exact"/>
              <w:rPr>
                <w:sz w:val="20"/>
                <w:szCs w:val="20"/>
                <w:color w:val="auto"/>
              </w:rPr>
            </w:pPr>
            <w:r>
              <w:rPr>
                <w:rFonts w:ascii="Arial" w:cs="Arial" w:eastAsia="Arial" w:hAnsi="Arial"/>
                <w:sz w:val="18"/>
                <w:szCs w:val="18"/>
                <w:color w:val="4C4C4C"/>
              </w:rPr>
              <w:t>Measures distributions from</w:t>
            </w:r>
          </w:p>
        </w:tc>
      </w:tr>
      <w:tr>
        <w:trPr>
          <w:trHeight w:val="216"/>
        </w:trPr>
        <w:tc>
          <w:tcPr>
            <w:tcW w:w="1460" w:type="dxa"/>
            <w:vAlign w:val="bottom"/>
            <w:gridSpan w:val="2"/>
          </w:tcPr>
          <w:p>
            <w:pPr>
              <w:spacing w:after="0" w:line="216" w:lineRule="exact"/>
              <w:rPr>
                <w:sz w:val="20"/>
                <w:szCs w:val="20"/>
                <w:color w:val="auto"/>
              </w:rPr>
            </w:pPr>
            <w:r>
              <w:rPr>
                <w:rFonts w:ascii="Arial" w:cs="Arial" w:eastAsia="Arial" w:hAnsi="Arial"/>
                <w:sz w:val="20"/>
                <w:szCs w:val="20"/>
                <w:b w:val="1"/>
                <w:bCs w:val="1"/>
                <w:color w:val="4C4C4C"/>
              </w:rPr>
              <w:t>Flow to the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4C4C4C"/>
              </w:rPr>
              <w:t>Brighthouse’s operating</w:t>
            </w:r>
          </w:p>
        </w:tc>
      </w:tr>
      <w:tr>
        <w:trPr>
          <w:trHeight w:val="203"/>
        </w:trPr>
        <w:tc>
          <w:tcPr>
            <w:tcW w:w="1460" w:type="dxa"/>
            <w:vAlign w:val="bottom"/>
            <w:gridSpan w:val="2"/>
          </w:tcPr>
          <w:p>
            <w:pPr>
              <w:spacing w:after="0" w:line="203" w:lineRule="exact"/>
              <w:rPr>
                <w:sz w:val="20"/>
                <w:szCs w:val="20"/>
                <w:color w:val="auto"/>
              </w:rPr>
            </w:pPr>
            <w:r>
              <w:rPr>
                <w:rFonts w:ascii="Arial" w:cs="Arial" w:eastAsia="Arial" w:hAnsi="Arial"/>
                <w:sz w:val="20"/>
                <w:szCs w:val="20"/>
                <w:b w:val="1"/>
                <w:bCs w:val="1"/>
                <w:color w:val="4C4C4C"/>
              </w:rPr>
              <w:t>Holding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Pr>
          <w:p>
            <w:pPr>
              <w:ind w:left="120"/>
              <w:spacing w:after="0" w:line="202" w:lineRule="exact"/>
              <w:rPr>
                <w:sz w:val="20"/>
                <w:szCs w:val="20"/>
                <w:color w:val="auto"/>
              </w:rPr>
            </w:pPr>
            <w:r>
              <w:rPr>
                <w:rFonts w:ascii="Arial" w:cs="Arial" w:eastAsia="Arial" w:hAnsi="Arial"/>
                <w:sz w:val="18"/>
                <w:szCs w:val="18"/>
                <w:color w:val="4C4C4C"/>
              </w:rPr>
              <w:t>companies, strengthening our</w:t>
            </w:r>
          </w:p>
        </w:tc>
      </w:tr>
      <w:tr>
        <w:trPr>
          <w:trHeight w:val="203"/>
        </w:trPr>
        <w:tc>
          <w:tcPr>
            <w:tcW w:w="1460" w:type="dxa"/>
            <w:vAlign w:val="bottom"/>
            <w:gridSpan w:val="2"/>
          </w:tcPr>
          <w:p>
            <w:pPr>
              <w:spacing w:after="0" w:line="203" w:lineRule="exact"/>
              <w:rPr>
                <w:sz w:val="20"/>
                <w:szCs w:val="20"/>
                <w:color w:val="auto"/>
              </w:rPr>
            </w:pPr>
            <w:r>
              <w:rPr>
                <w:rFonts w:ascii="Arial" w:cs="Arial" w:eastAsia="Arial" w:hAnsi="Arial"/>
                <w:sz w:val="20"/>
                <w:szCs w:val="20"/>
                <w:b w:val="1"/>
                <w:bCs w:val="1"/>
                <w:color w:val="4C4C4C"/>
              </w:rPr>
              <w:t>Company</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Pr>
          <w:p>
            <w:pPr>
              <w:ind w:left="120"/>
              <w:spacing w:after="0" w:line="202" w:lineRule="exact"/>
              <w:rPr>
                <w:sz w:val="20"/>
                <w:szCs w:val="20"/>
                <w:color w:val="auto"/>
              </w:rPr>
            </w:pPr>
            <w:r>
              <w:rPr>
                <w:rFonts w:ascii="Arial" w:cs="Arial" w:eastAsia="Arial" w:hAnsi="Arial"/>
                <w:sz w:val="18"/>
                <w:szCs w:val="18"/>
                <w:color w:val="4C4C4C"/>
              </w:rPr>
              <w:t>balance sheet and providing us</w:t>
            </w:r>
          </w:p>
        </w:tc>
      </w:tr>
    </w:tbl>
    <w:p>
      <w:pPr>
        <w:ind w:left="2900"/>
        <w:spacing w:after="0" w:line="234" w:lineRule="auto"/>
        <w:rPr>
          <w:sz w:val="20"/>
          <w:szCs w:val="20"/>
          <w:color w:val="auto"/>
        </w:rPr>
      </w:pPr>
      <w:r>
        <w:rPr>
          <w:rFonts w:ascii="Arial" w:cs="Arial" w:eastAsia="Arial" w:hAnsi="Arial"/>
          <w:sz w:val="18"/>
          <w:szCs w:val="18"/>
          <w:color w:val="4C4C4C"/>
        </w:rPr>
        <w:t>with flexibility to deploy our capital,</w:t>
      </w:r>
    </w:p>
    <w:p>
      <w:pPr>
        <w:ind w:left="2900"/>
        <w:spacing w:after="0" w:line="235" w:lineRule="auto"/>
        <w:rPr>
          <w:sz w:val="20"/>
          <w:szCs w:val="20"/>
          <w:color w:val="auto"/>
        </w:rPr>
      </w:pPr>
      <w:r>
        <w:rPr>
          <w:rFonts w:ascii="Arial" w:cs="Arial" w:eastAsia="Arial" w:hAnsi="Arial"/>
          <w:sz w:val="18"/>
          <w:szCs w:val="18"/>
          <w:color w:val="4C4C4C"/>
        </w:rPr>
        <w:t>including for capital return to</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8"/>
          <w:szCs w:val="18"/>
          <w:color w:val="4C4C4C"/>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35572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C4C4C"/>
        </w:rPr>
        <w:t>No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776605</wp:posOffset>
            </wp:positionV>
            <wp:extent cx="32315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424" w:lineRule="exact"/>
        <w:rPr>
          <w:sz w:val="20"/>
          <w:szCs w:val="20"/>
          <w:color w:val="auto"/>
        </w:rPr>
      </w:pPr>
    </w:p>
    <w:p>
      <w:pPr>
        <w:sectPr>
          <w:pgSz w:w="11900" w:h="16838" w:orient="portrait"/>
          <w:cols w:equalWidth="0" w:num="2">
            <w:col w:w="5720" w:space="440"/>
            <w:col w:w="49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4C4C4C"/>
        </w:rPr>
        <w:t>2021 Target TDC</w:t>
      </w:r>
    </w:p>
    <w:p>
      <w:pPr>
        <w:spacing w:after="0" w:line="13" w:lineRule="exact"/>
        <w:rPr>
          <w:sz w:val="20"/>
          <w:szCs w:val="20"/>
          <w:color w:val="auto"/>
        </w:rPr>
      </w:pPr>
    </w:p>
    <w:p>
      <w:pPr>
        <w:ind w:left="120" w:right="100"/>
        <w:spacing w:after="0"/>
        <w:rPr>
          <w:sz w:val="20"/>
          <w:szCs w:val="20"/>
          <w:color w:val="auto"/>
        </w:rPr>
      </w:pPr>
      <w:r>
        <w:rPr>
          <w:rFonts w:ascii="Arial" w:cs="Arial" w:eastAsia="Arial" w:hAnsi="Arial"/>
          <w:sz w:val="18"/>
          <w:szCs w:val="18"/>
          <w:color w:val="4C4C4C"/>
        </w:rPr>
        <w:t>In January and February 2021, the Independent Directors (in the case of the CEO) and the Compensation and Human Capital Committee (in the case of the other NEOs) approved the Target TDC for each NEO, effective March 6, 2021, as described in the following table (changes from 2020 are indicated, where applicable).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20" w:type="dxa"/>
            <w:vAlign w:val="bottom"/>
            <w:shd w:val="clear" w:color="auto" w:fill="00ADBB"/>
          </w:tcPr>
          <w:p>
            <w:pPr>
              <w:spacing w:after="0"/>
              <w:rPr>
                <w:sz w:val="18"/>
                <w:szCs w:val="18"/>
                <w:color w:val="auto"/>
              </w:rPr>
            </w:pPr>
          </w:p>
        </w:tc>
        <w:tc>
          <w:tcPr>
            <w:tcW w:w="1080" w:type="dxa"/>
            <w:vAlign w:val="bottom"/>
            <w:shd w:val="clear" w:color="auto" w:fill="00ADBB"/>
          </w:tcPr>
          <w:p>
            <w:pPr>
              <w:jc w:val="center"/>
              <w:ind w:left="30"/>
              <w:spacing w:after="0"/>
              <w:rPr>
                <w:sz w:val="20"/>
                <w:szCs w:val="20"/>
                <w:color w:val="auto"/>
              </w:rPr>
            </w:pPr>
            <w:r>
              <w:rPr>
                <w:rFonts w:ascii="Arial" w:cs="Arial" w:eastAsia="Arial" w:hAnsi="Arial"/>
                <w:sz w:val="18"/>
                <w:szCs w:val="18"/>
                <w:b w:val="1"/>
                <w:bCs w:val="1"/>
                <w:color w:val="FFFFFF"/>
              </w:rPr>
              <w:t>Base</w:t>
            </w:r>
          </w:p>
        </w:tc>
        <w:tc>
          <w:tcPr>
            <w:tcW w:w="206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7"/>
              </w:rPr>
              <w:t>Target STI</w:t>
            </w:r>
          </w:p>
        </w:tc>
        <w:tc>
          <w:tcPr>
            <w:tcW w:w="206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6"/>
              </w:rPr>
              <w:t>Target LTI</w:t>
            </w:r>
          </w:p>
        </w:tc>
        <w:tc>
          <w:tcPr>
            <w:tcW w:w="1100" w:type="dxa"/>
            <w:vAlign w:val="bottom"/>
            <w:shd w:val="clear" w:color="auto" w:fill="00ADBB"/>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00ADBB"/>
          </w:tcPr>
          <w:p>
            <w:pPr>
              <w:spacing w:after="0"/>
              <w:rPr>
                <w:sz w:val="20"/>
                <w:szCs w:val="20"/>
                <w:color w:val="auto"/>
              </w:rPr>
            </w:pPr>
            <w:r>
              <w:rPr>
                <w:rFonts w:ascii="Arial" w:cs="Arial" w:eastAsia="Arial" w:hAnsi="Arial"/>
                <w:sz w:val="18"/>
                <w:szCs w:val="18"/>
                <w:b w:val="1"/>
                <w:bCs w:val="1"/>
                <w:color w:val="FFFFFF"/>
              </w:rPr>
              <w:t>Name</w:t>
            </w:r>
          </w:p>
        </w:tc>
        <w:tc>
          <w:tcPr>
            <w:tcW w:w="1080" w:type="dxa"/>
            <w:vAlign w:val="bottom"/>
            <w:shd w:val="clear" w:color="auto" w:fill="00ADBB"/>
          </w:tcPr>
          <w:p>
            <w:pPr>
              <w:jc w:val="center"/>
              <w:ind w:left="10"/>
              <w:spacing w:after="0"/>
              <w:rPr>
                <w:sz w:val="20"/>
                <w:szCs w:val="20"/>
                <w:color w:val="auto"/>
              </w:rPr>
            </w:pPr>
            <w:r>
              <w:rPr>
                <w:rFonts w:ascii="Arial" w:cs="Arial" w:eastAsia="Arial" w:hAnsi="Arial"/>
                <w:sz w:val="18"/>
                <w:szCs w:val="18"/>
                <w:b w:val="1"/>
                <w:bCs w:val="1"/>
                <w:color w:val="FFFFFF"/>
                <w:w w:val="99"/>
              </w:rPr>
              <w:t>Salary</w:t>
            </w:r>
          </w:p>
        </w:tc>
        <w:tc>
          <w:tcPr>
            <w:tcW w:w="206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(as % of Base Salary)</w:t>
            </w:r>
          </w:p>
        </w:tc>
        <w:tc>
          <w:tcPr>
            <w:tcW w:w="2060" w:type="dxa"/>
            <w:vAlign w:val="bottom"/>
            <w:shd w:val="clear" w:color="auto" w:fill="00ADBB"/>
          </w:tcPr>
          <w:p>
            <w:pPr>
              <w:jc w:val="center"/>
              <w:spacing w:after="0"/>
              <w:rPr>
                <w:sz w:val="20"/>
                <w:szCs w:val="20"/>
                <w:color w:val="auto"/>
              </w:rPr>
            </w:pPr>
            <w:r>
              <w:rPr>
                <w:rFonts w:ascii="Arial" w:cs="Arial" w:eastAsia="Arial" w:hAnsi="Arial"/>
                <w:sz w:val="18"/>
                <w:szCs w:val="18"/>
                <w:b w:val="1"/>
                <w:bCs w:val="1"/>
                <w:color w:val="FFFFFF"/>
                <w:w w:val="99"/>
              </w:rPr>
              <w:t>(as % of Base Salary)</w:t>
            </w:r>
          </w:p>
        </w:tc>
        <w:tc>
          <w:tcPr>
            <w:tcW w:w="1100" w:type="dxa"/>
            <w:vAlign w:val="bottom"/>
            <w:shd w:val="clear" w:color="auto" w:fill="00ADBB"/>
          </w:tcPr>
          <w:p>
            <w:pPr>
              <w:ind w:left="120"/>
              <w:spacing w:after="0"/>
              <w:rPr>
                <w:sz w:val="20"/>
                <w:szCs w:val="20"/>
                <w:color w:val="auto"/>
              </w:rPr>
            </w:pPr>
            <w:r>
              <w:rPr>
                <w:rFonts w:ascii="Arial" w:cs="Arial" w:eastAsia="Arial" w:hAnsi="Arial"/>
                <w:sz w:val="18"/>
                <w:szCs w:val="18"/>
                <w:b w:val="1"/>
                <w:bCs w:val="1"/>
                <w:color w:val="FFFFFF"/>
                <w:w w:val="98"/>
              </w:rPr>
              <w:t>Target TDC</w:t>
            </w:r>
          </w:p>
        </w:tc>
        <w:tc>
          <w:tcPr>
            <w:tcW w:w="0" w:type="dxa"/>
            <w:vAlign w:val="bottom"/>
          </w:tcPr>
          <w:p>
            <w:pPr>
              <w:spacing w:after="0"/>
              <w:rPr>
                <w:sz w:val="1"/>
                <w:szCs w:val="1"/>
                <w:color w:val="auto"/>
              </w:rPr>
            </w:pPr>
          </w:p>
        </w:tc>
      </w:tr>
      <w:tr>
        <w:trPr>
          <w:trHeight w:val="270"/>
        </w:trPr>
        <w:tc>
          <w:tcPr>
            <w:tcW w:w="4720" w:type="dxa"/>
            <w:vAlign w:val="bottom"/>
            <w:tcBorders>
              <w:bottom w:val="single" w:sz="8" w:color="4C4C4C"/>
            </w:tcBorders>
          </w:tcPr>
          <w:p>
            <w:pPr>
              <w:spacing w:after="0"/>
              <w:rPr>
                <w:sz w:val="20"/>
                <w:szCs w:val="20"/>
                <w:color w:val="auto"/>
              </w:rPr>
            </w:pPr>
            <w:r>
              <w:rPr>
                <w:rFonts w:ascii="Arial" w:cs="Arial" w:eastAsia="Arial" w:hAnsi="Arial"/>
                <w:sz w:val="18"/>
                <w:szCs w:val="18"/>
                <w:color w:val="4C4C4C"/>
              </w:rPr>
              <w:t>Eric Steigerwalt</w:t>
            </w:r>
          </w:p>
        </w:tc>
        <w:tc>
          <w:tcPr>
            <w:tcW w:w="1080" w:type="dxa"/>
            <w:vAlign w:val="bottom"/>
            <w:tcBorders>
              <w:bottom w:val="single" w:sz="8" w:color="4C4C4C"/>
            </w:tcBorders>
          </w:tcPr>
          <w:p>
            <w:pPr>
              <w:jc w:val="center"/>
              <w:ind w:left="30"/>
              <w:spacing w:after="0"/>
              <w:rPr>
                <w:sz w:val="20"/>
                <w:szCs w:val="20"/>
                <w:color w:val="auto"/>
              </w:rPr>
            </w:pPr>
            <w:r>
              <w:rPr>
                <w:rFonts w:ascii="Arial" w:cs="Arial" w:eastAsia="Arial" w:hAnsi="Arial"/>
                <w:sz w:val="18"/>
                <w:szCs w:val="18"/>
                <w:color w:val="4C4C4C"/>
              </w:rPr>
              <w:t>$925,000</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200%</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530%</w:t>
            </w:r>
          </w:p>
        </w:tc>
        <w:tc>
          <w:tcPr>
            <w:tcW w:w="11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$7,677,500</w:t>
            </w:r>
          </w:p>
        </w:tc>
        <w:tc>
          <w:tcPr>
            <w:tcW w:w="0" w:type="dxa"/>
            <w:vAlign w:val="bottom"/>
          </w:tcPr>
          <w:p>
            <w:pPr>
              <w:spacing w:after="0"/>
              <w:rPr>
                <w:sz w:val="1"/>
                <w:szCs w:val="1"/>
                <w:color w:val="auto"/>
              </w:rPr>
            </w:pPr>
          </w:p>
        </w:tc>
      </w:tr>
      <w:tr>
        <w:trPr>
          <w:trHeight w:val="249"/>
        </w:trPr>
        <w:tc>
          <w:tcPr>
            <w:tcW w:w="4720" w:type="dxa"/>
            <w:vAlign w:val="bottom"/>
            <w:vMerge w:val="restart"/>
            <w:shd w:val="clear" w:color="auto" w:fill="E5F6F8"/>
          </w:tcPr>
          <w:p>
            <w:pPr>
              <w:spacing w:after="0"/>
              <w:rPr>
                <w:sz w:val="20"/>
                <w:szCs w:val="20"/>
                <w:color w:val="auto"/>
              </w:rPr>
            </w:pPr>
            <w:r>
              <w:rPr>
                <w:rFonts w:ascii="Arial" w:cs="Arial" w:eastAsia="Arial" w:hAnsi="Arial"/>
                <w:sz w:val="18"/>
                <w:szCs w:val="18"/>
                <w:color w:val="4C4C4C"/>
              </w:rPr>
              <w:t>Ed Spehar</w:t>
            </w:r>
          </w:p>
        </w:tc>
        <w:tc>
          <w:tcPr>
            <w:tcW w:w="1080" w:type="dxa"/>
            <w:vAlign w:val="bottom"/>
            <w:vMerge w:val="restart"/>
            <w:shd w:val="clear" w:color="auto" w:fill="E5F6F8"/>
          </w:tcPr>
          <w:p>
            <w:pPr>
              <w:jc w:val="center"/>
              <w:ind w:left="30"/>
              <w:spacing w:after="0"/>
              <w:rPr>
                <w:sz w:val="20"/>
                <w:szCs w:val="20"/>
                <w:color w:val="auto"/>
              </w:rPr>
            </w:pPr>
            <w:r>
              <w:rPr>
                <w:rFonts w:ascii="Arial" w:cs="Arial" w:eastAsia="Arial" w:hAnsi="Arial"/>
                <w:sz w:val="18"/>
                <w:szCs w:val="18"/>
                <w:color w:val="4C4C4C"/>
              </w:rPr>
              <w:t>$600,000</w:t>
            </w:r>
          </w:p>
        </w:tc>
        <w:tc>
          <w:tcPr>
            <w:tcW w:w="206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150%</w:t>
            </w:r>
          </w:p>
        </w:tc>
        <w:tc>
          <w:tcPr>
            <w:tcW w:w="206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225%</w:t>
            </w:r>
          </w:p>
        </w:tc>
        <w:tc>
          <w:tcPr>
            <w:tcW w:w="1100" w:type="dxa"/>
            <w:vAlign w:val="bottom"/>
            <w:shd w:val="clear" w:color="auto" w:fill="E5F6F8"/>
          </w:tcPr>
          <w:p>
            <w:pPr>
              <w:jc w:val="center"/>
              <w:spacing w:after="0"/>
              <w:rPr>
                <w:sz w:val="20"/>
                <w:szCs w:val="20"/>
                <w:color w:val="auto"/>
              </w:rPr>
            </w:pPr>
            <w:r>
              <w:rPr>
                <w:rFonts w:ascii="Arial" w:cs="Arial" w:eastAsia="Arial" w:hAnsi="Arial"/>
                <w:sz w:val="18"/>
                <w:szCs w:val="18"/>
                <w:color w:val="4C4C4C"/>
                <w:w w:val="99"/>
              </w:rPr>
              <w:t>$2,850,000</w:t>
            </w:r>
          </w:p>
        </w:tc>
        <w:tc>
          <w:tcPr>
            <w:tcW w:w="0" w:type="dxa"/>
            <w:vAlign w:val="bottom"/>
          </w:tcPr>
          <w:p>
            <w:pPr>
              <w:spacing w:after="0"/>
              <w:rPr>
                <w:sz w:val="1"/>
                <w:szCs w:val="1"/>
                <w:color w:val="auto"/>
              </w:rPr>
            </w:pPr>
          </w:p>
        </w:tc>
      </w:tr>
      <w:tr>
        <w:trPr>
          <w:trHeight w:val="122"/>
        </w:trPr>
        <w:tc>
          <w:tcPr>
            <w:tcW w:w="4720" w:type="dxa"/>
            <w:vAlign w:val="bottom"/>
            <w:vMerge w:val="continue"/>
            <w:shd w:val="clear" w:color="auto" w:fill="E5F6F8"/>
          </w:tcPr>
          <w:p>
            <w:pPr>
              <w:spacing w:after="0"/>
              <w:rPr>
                <w:sz w:val="10"/>
                <w:szCs w:val="10"/>
                <w:color w:val="auto"/>
              </w:rPr>
            </w:pPr>
          </w:p>
        </w:tc>
        <w:tc>
          <w:tcPr>
            <w:tcW w:w="1080" w:type="dxa"/>
            <w:vAlign w:val="bottom"/>
            <w:vMerge w:val="continue"/>
            <w:shd w:val="clear" w:color="auto" w:fill="E5F6F8"/>
          </w:tcPr>
          <w:p>
            <w:pPr>
              <w:spacing w:after="0"/>
              <w:rPr>
                <w:sz w:val="10"/>
                <w:szCs w:val="10"/>
                <w:color w:val="auto"/>
              </w:rPr>
            </w:pPr>
          </w:p>
        </w:tc>
        <w:tc>
          <w:tcPr>
            <w:tcW w:w="2060" w:type="dxa"/>
            <w:vAlign w:val="bottom"/>
            <w:vMerge w:val="restart"/>
            <w:shd w:val="clear" w:color="auto" w:fill="E5F6F8"/>
          </w:tcPr>
          <w:p>
            <w:pPr>
              <w:jc w:val="center"/>
              <w:spacing w:after="0"/>
              <w:rPr>
                <w:sz w:val="20"/>
                <w:szCs w:val="20"/>
                <w:color w:val="auto"/>
              </w:rPr>
            </w:pPr>
            <w:r>
              <w:rPr>
                <w:rFonts w:ascii="Arial" w:cs="Arial" w:eastAsia="Arial" w:hAnsi="Arial"/>
                <w:sz w:val="18"/>
                <w:szCs w:val="18"/>
                <w:color w:val="4C4C4C"/>
              </w:rPr>
              <w:t>(+10% of base salary)</w:t>
            </w:r>
          </w:p>
        </w:tc>
        <w:tc>
          <w:tcPr>
            <w:tcW w:w="2060" w:type="dxa"/>
            <w:vAlign w:val="bottom"/>
            <w:vMerge w:val="restart"/>
            <w:shd w:val="clear" w:color="auto" w:fill="E5F6F8"/>
          </w:tcPr>
          <w:p>
            <w:pPr>
              <w:jc w:val="center"/>
              <w:spacing w:after="0"/>
              <w:rPr>
                <w:sz w:val="20"/>
                <w:szCs w:val="20"/>
                <w:color w:val="auto"/>
              </w:rPr>
            </w:pPr>
            <w:r>
              <w:rPr>
                <w:rFonts w:ascii="Arial" w:cs="Arial" w:eastAsia="Arial" w:hAnsi="Arial"/>
                <w:sz w:val="18"/>
                <w:szCs w:val="18"/>
                <w:color w:val="4C4C4C"/>
              </w:rPr>
              <w:t>(+50% of base salary)</w:t>
            </w:r>
          </w:p>
        </w:tc>
        <w:tc>
          <w:tcPr>
            <w:tcW w:w="1100" w:type="dxa"/>
            <w:vAlign w:val="bottom"/>
            <w:vMerge w:val="restart"/>
            <w:shd w:val="clear" w:color="auto" w:fill="E5F6F8"/>
          </w:tcPr>
          <w:p>
            <w:pPr>
              <w:jc w:val="center"/>
              <w:ind w:left="10"/>
              <w:spacing w:after="0"/>
              <w:rPr>
                <w:sz w:val="20"/>
                <w:szCs w:val="20"/>
                <w:color w:val="auto"/>
              </w:rPr>
            </w:pPr>
            <w:r>
              <w:rPr>
                <w:rFonts w:ascii="Arial" w:cs="Arial" w:eastAsia="Arial" w:hAnsi="Arial"/>
                <w:sz w:val="18"/>
                <w:szCs w:val="18"/>
                <w:color w:val="4C4C4C"/>
                <w:w w:val="98"/>
              </w:rPr>
              <w:t>(+$360,000)</w:t>
            </w:r>
          </w:p>
        </w:tc>
        <w:tc>
          <w:tcPr>
            <w:tcW w:w="0" w:type="dxa"/>
            <w:vAlign w:val="bottom"/>
          </w:tcPr>
          <w:p>
            <w:pPr>
              <w:spacing w:after="0"/>
              <w:rPr>
                <w:sz w:val="1"/>
                <w:szCs w:val="1"/>
                <w:color w:val="auto"/>
              </w:rPr>
            </w:pPr>
          </w:p>
        </w:tc>
      </w:tr>
      <w:tr>
        <w:trPr>
          <w:trHeight w:val="95"/>
        </w:trPr>
        <w:tc>
          <w:tcPr>
            <w:tcW w:w="4720" w:type="dxa"/>
            <w:vAlign w:val="bottom"/>
            <w:tcBorders>
              <w:bottom w:val="single" w:sz="8" w:color="4C4C4C"/>
            </w:tcBorders>
            <w:shd w:val="clear" w:color="auto" w:fill="E5F6F8"/>
          </w:tcPr>
          <w:p>
            <w:pPr>
              <w:spacing w:after="0"/>
              <w:rPr>
                <w:sz w:val="8"/>
                <w:szCs w:val="8"/>
                <w:color w:val="auto"/>
              </w:rPr>
            </w:pPr>
          </w:p>
        </w:tc>
        <w:tc>
          <w:tcPr>
            <w:tcW w:w="1080" w:type="dxa"/>
            <w:vAlign w:val="bottom"/>
            <w:tcBorders>
              <w:bottom w:val="single" w:sz="8" w:color="4C4C4C"/>
            </w:tcBorders>
            <w:shd w:val="clear" w:color="auto" w:fill="E5F6F8"/>
          </w:tcPr>
          <w:p>
            <w:pPr>
              <w:spacing w:after="0"/>
              <w:rPr>
                <w:sz w:val="8"/>
                <w:szCs w:val="8"/>
                <w:color w:val="auto"/>
              </w:rPr>
            </w:pPr>
          </w:p>
        </w:tc>
        <w:tc>
          <w:tcPr>
            <w:tcW w:w="2060" w:type="dxa"/>
            <w:vAlign w:val="bottom"/>
            <w:tcBorders>
              <w:bottom w:val="single" w:sz="8" w:color="4C4C4C"/>
            </w:tcBorders>
            <w:vMerge w:val="continue"/>
            <w:shd w:val="clear" w:color="auto" w:fill="E5F6F8"/>
          </w:tcPr>
          <w:p>
            <w:pPr>
              <w:spacing w:after="0"/>
              <w:rPr>
                <w:sz w:val="8"/>
                <w:szCs w:val="8"/>
                <w:color w:val="auto"/>
              </w:rPr>
            </w:pPr>
          </w:p>
        </w:tc>
        <w:tc>
          <w:tcPr>
            <w:tcW w:w="2060" w:type="dxa"/>
            <w:vAlign w:val="bottom"/>
            <w:tcBorders>
              <w:bottom w:val="single" w:sz="8" w:color="4C4C4C"/>
            </w:tcBorders>
            <w:vMerge w:val="continue"/>
            <w:shd w:val="clear" w:color="auto" w:fill="E5F6F8"/>
          </w:tcPr>
          <w:p>
            <w:pPr>
              <w:spacing w:after="0"/>
              <w:rPr>
                <w:sz w:val="8"/>
                <w:szCs w:val="8"/>
                <w:color w:val="auto"/>
              </w:rPr>
            </w:pPr>
          </w:p>
        </w:tc>
        <w:tc>
          <w:tcPr>
            <w:tcW w:w="1100" w:type="dxa"/>
            <w:vAlign w:val="bottom"/>
            <w:tcBorders>
              <w:bottom w:val="single" w:sz="8" w:color="4C4C4C"/>
            </w:tcBorders>
            <w:vMerge w:val="continue"/>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4C4C4C"/>
            </w:tcBorders>
          </w:tcPr>
          <w:p>
            <w:pPr>
              <w:spacing w:after="0"/>
              <w:rPr>
                <w:sz w:val="20"/>
                <w:szCs w:val="20"/>
                <w:color w:val="auto"/>
              </w:rPr>
            </w:pPr>
            <w:r>
              <w:rPr>
                <w:rFonts w:ascii="Arial" w:cs="Arial" w:eastAsia="Arial" w:hAnsi="Arial"/>
                <w:sz w:val="18"/>
                <w:szCs w:val="18"/>
                <w:color w:val="4C4C4C"/>
              </w:rPr>
              <w:t>Christine DeBiase</w:t>
            </w:r>
          </w:p>
        </w:tc>
        <w:tc>
          <w:tcPr>
            <w:tcW w:w="1080" w:type="dxa"/>
            <w:vAlign w:val="bottom"/>
            <w:tcBorders>
              <w:bottom w:val="single" w:sz="8" w:color="4C4C4C"/>
            </w:tcBorders>
          </w:tcPr>
          <w:p>
            <w:pPr>
              <w:jc w:val="center"/>
              <w:ind w:left="30"/>
              <w:spacing w:after="0"/>
              <w:rPr>
                <w:sz w:val="20"/>
                <w:szCs w:val="20"/>
                <w:color w:val="auto"/>
              </w:rPr>
            </w:pPr>
            <w:r>
              <w:rPr>
                <w:rFonts w:ascii="Arial" w:cs="Arial" w:eastAsia="Arial" w:hAnsi="Arial"/>
                <w:sz w:val="18"/>
                <w:szCs w:val="18"/>
                <w:color w:val="4C4C4C"/>
              </w:rPr>
              <w:t>$600,000</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140%</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175%</w:t>
            </w:r>
          </w:p>
        </w:tc>
        <w:tc>
          <w:tcPr>
            <w:tcW w:w="11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$2,490,000</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4C4C4C"/>
            </w:tcBorders>
            <w:shd w:val="clear" w:color="auto" w:fill="E5F6F8"/>
          </w:tcPr>
          <w:p>
            <w:pPr>
              <w:spacing w:after="0"/>
              <w:rPr>
                <w:sz w:val="20"/>
                <w:szCs w:val="20"/>
                <w:color w:val="auto"/>
              </w:rPr>
            </w:pPr>
            <w:r>
              <w:rPr>
                <w:rFonts w:ascii="Arial" w:cs="Arial" w:eastAsia="Arial" w:hAnsi="Arial"/>
                <w:sz w:val="18"/>
                <w:szCs w:val="18"/>
                <w:color w:val="4C4C4C"/>
              </w:rPr>
              <w:t>Conor Murphy</w:t>
            </w:r>
          </w:p>
        </w:tc>
        <w:tc>
          <w:tcPr>
            <w:tcW w:w="1080" w:type="dxa"/>
            <w:vAlign w:val="bottom"/>
            <w:tcBorders>
              <w:bottom w:val="single" w:sz="8" w:color="4C4C4C"/>
            </w:tcBorders>
            <w:shd w:val="clear" w:color="auto" w:fill="E5F6F8"/>
          </w:tcPr>
          <w:p>
            <w:pPr>
              <w:jc w:val="center"/>
              <w:ind w:left="30"/>
              <w:spacing w:after="0"/>
              <w:rPr>
                <w:sz w:val="20"/>
                <w:szCs w:val="20"/>
                <w:color w:val="auto"/>
              </w:rPr>
            </w:pPr>
            <w:r>
              <w:rPr>
                <w:rFonts w:ascii="Arial" w:cs="Arial" w:eastAsia="Arial" w:hAnsi="Arial"/>
                <w:sz w:val="18"/>
                <w:szCs w:val="18"/>
                <w:color w:val="4C4C4C"/>
              </w:rPr>
              <w:t>$600,000</w:t>
            </w:r>
          </w:p>
        </w:tc>
        <w:tc>
          <w:tcPr>
            <w:tcW w:w="2060" w:type="dxa"/>
            <w:vAlign w:val="bottom"/>
            <w:tcBorders>
              <w:bottom w:val="single" w:sz="8" w:color="4C4C4C"/>
            </w:tcBorders>
            <w:shd w:val="clear" w:color="auto" w:fill="E5F6F8"/>
          </w:tcPr>
          <w:p>
            <w:pPr>
              <w:jc w:val="center"/>
              <w:spacing w:after="0"/>
              <w:rPr>
                <w:sz w:val="20"/>
                <w:szCs w:val="20"/>
                <w:color w:val="auto"/>
              </w:rPr>
            </w:pPr>
            <w:r>
              <w:rPr>
                <w:rFonts w:ascii="Arial" w:cs="Arial" w:eastAsia="Arial" w:hAnsi="Arial"/>
                <w:sz w:val="18"/>
                <w:szCs w:val="18"/>
                <w:color w:val="4C4C4C"/>
                <w:w w:val="99"/>
              </w:rPr>
              <w:t>145%</w:t>
            </w:r>
          </w:p>
        </w:tc>
        <w:tc>
          <w:tcPr>
            <w:tcW w:w="2060" w:type="dxa"/>
            <w:vAlign w:val="bottom"/>
            <w:tcBorders>
              <w:bottom w:val="single" w:sz="8" w:color="4C4C4C"/>
            </w:tcBorders>
            <w:shd w:val="clear" w:color="auto" w:fill="E5F6F8"/>
          </w:tcPr>
          <w:p>
            <w:pPr>
              <w:jc w:val="center"/>
              <w:spacing w:after="0"/>
              <w:rPr>
                <w:sz w:val="20"/>
                <w:szCs w:val="20"/>
                <w:color w:val="auto"/>
              </w:rPr>
            </w:pPr>
            <w:r>
              <w:rPr>
                <w:rFonts w:ascii="Arial" w:cs="Arial" w:eastAsia="Arial" w:hAnsi="Arial"/>
                <w:sz w:val="18"/>
                <w:szCs w:val="18"/>
                <w:color w:val="4C4C4C"/>
                <w:w w:val="99"/>
              </w:rPr>
              <w:t>190%</w:t>
            </w:r>
          </w:p>
        </w:tc>
        <w:tc>
          <w:tcPr>
            <w:tcW w:w="1100" w:type="dxa"/>
            <w:vAlign w:val="bottom"/>
            <w:tcBorders>
              <w:bottom w:val="single" w:sz="8" w:color="4C4C4C"/>
            </w:tcBorders>
            <w:shd w:val="clear" w:color="auto" w:fill="E5F6F8"/>
          </w:tcPr>
          <w:p>
            <w:pPr>
              <w:jc w:val="center"/>
              <w:spacing w:after="0"/>
              <w:rPr>
                <w:sz w:val="20"/>
                <w:szCs w:val="20"/>
                <w:color w:val="auto"/>
              </w:rPr>
            </w:pPr>
            <w:r>
              <w:rPr>
                <w:rFonts w:ascii="Arial" w:cs="Arial" w:eastAsia="Arial" w:hAnsi="Arial"/>
                <w:sz w:val="18"/>
                <w:szCs w:val="18"/>
                <w:color w:val="4C4C4C"/>
                <w:w w:val="99"/>
              </w:rPr>
              <w:t>$2,610,000</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4C4C4C"/>
            </w:tcBorders>
          </w:tcPr>
          <w:p>
            <w:pPr>
              <w:spacing w:after="0"/>
              <w:rPr>
                <w:sz w:val="20"/>
                <w:szCs w:val="20"/>
                <w:color w:val="auto"/>
              </w:rPr>
            </w:pPr>
            <w:r>
              <w:rPr>
                <w:rFonts w:ascii="Arial" w:cs="Arial" w:eastAsia="Arial" w:hAnsi="Arial"/>
                <w:sz w:val="18"/>
                <w:szCs w:val="18"/>
                <w:color w:val="4C4C4C"/>
              </w:rPr>
              <w:t>John Rosenthal</w:t>
            </w:r>
          </w:p>
        </w:tc>
        <w:tc>
          <w:tcPr>
            <w:tcW w:w="1080" w:type="dxa"/>
            <w:vAlign w:val="bottom"/>
            <w:tcBorders>
              <w:bottom w:val="single" w:sz="8" w:color="4C4C4C"/>
            </w:tcBorders>
          </w:tcPr>
          <w:p>
            <w:pPr>
              <w:jc w:val="center"/>
              <w:ind w:left="30"/>
              <w:spacing w:after="0"/>
              <w:rPr>
                <w:sz w:val="20"/>
                <w:szCs w:val="20"/>
                <w:color w:val="auto"/>
              </w:rPr>
            </w:pPr>
            <w:r>
              <w:rPr>
                <w:rFonts w:ascii="Arial" w:cs="Arial" w:eastAsia="Arial" w:hAnsi="Arial"/>
                <w:sz w:val="18"/>
                <w:szCs w:val="18"/>
                <w:color w:val="4C4C4C"/>
              </w:rPr>
              <w:t>$550,000</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195%</w:t>
            </w:r>
          </w:p>
        </w:tc>
        <w:tc>
          <w:tcPr>
            <w:tcW w:w="206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250%</w:t>
            </w:r>
          </w:p>
        </w:tc>
        <w:tc>
          <w:tcPr>
            <w:tcW w:w="1100" w:type="dxa"/>
            <w:vAlign w:val="bottom"/>
            <w:tcBorders>
              <w:bottom w:val="single" w:sz="8" w:color="4C4C4C"/>
            </w:tcBorders>
          </w:tcPr>
          <w:p>
            <w:pPr>
              <w:jc w:val="center"/>
              <w:spacing w:after="0"/>
              <w:rPr>
                <w:sz w:val="20"/>
                <w:szCs w:val="20"/>
                <w:color w:val="auto"/>
              </w:rPr>
            </w:pPr>
            <w:r>
              <w:rPr>
                <w:rFonts w:ascii="Arial" w:cs="Arial" w:eastAsia="Arial" w:hAnsi="Arial"/>
                <w:sz w:val="18"/>
                <w:szCs w:val="18"/>
                <w:color w:val="4C4C4C"/>
                <w:w w:val="99"/>
              </w:rPr>
              <w:t>$2,997,500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-1259205</wp:posOffset>
            </wp:positionV>
            <wp:extent cx="8890" cy="2571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25717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-1259205</wp:posOffset>
            </wp:positionV>
            <wp:extent cx="8255" cy="2571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-1259205</wp:posOffset>
            </wp:positionV>
            <wp:extent cx="8255" cy="2571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-1259205</wp:posOffset>
            </wp:positionV>
            <wp:extent cx="8890" cy="2571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25717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Compensation Committee Report</w:t>
      </w:r>
    </w:p>
    <w:p>
      <w:pPr>
        <w:spacing w:after="0" w:line="130" w:lineRule="exact"/>
        <w:rPr>
          <w:sz w:val="20"/>
          <w:szCs w:val="20"/>
          <w:color w:val="auto"/>
        </w:rPr>
      </w:pPr>
    </w:p>
    <w:p>
      <w:pPr>
        <w:ind w:left="120" w:right="360"/>
        <w:spacing w:after="0"/>
        <w:rPr>
          <w:sz w:val="20"/>
          <w:szCs w:val="20"/>
          <w:color w:val="auto"/>
        </w:rPr>
      </w:pPr>
      <w:r>
        <w:rPr>
          <w:rFonts w:ascii="Arial" w:cs="Arial" w:eastAsia="Arial" w:hAnsi="Arial"/>
          <w:sz w:val="18"/>
          <w:szCs w:val="18"/>
          <w:color w:val="4C4C4C"/>
        </w:rPr>
        <w:t>The Compensation and Human Capital Committee has reviewed the CD&amp;A and discussed the CD&amp;A with management. Based on the Compensation and Human Capital Committee’s review and discussion with management, the Compensation and Human Capital Committee recommended to the Board that the CD&amp;A be included in the Company’s Proxy Statement.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Compensation and Human Capital Committee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Diane Offereins (Chair)</w:t>
      </w:r>
    </w:p>
    <w:p>
      <w:pPr>
        <w:ind w:left="120"/>
        <w:spacing w:after="0" w:line="234" w:lineRule="auto"/>
        <w:rPr>
          <w:sz w:val="20"/>
          <w:szCs w:val="20"/>
          <w:color w:val="auto"/>
        </w:rPr>
      </w:pPr>
      <w:r>
        <w:rPr>
          <w:rFonts w:ascii="Arial" w:cs="Arial" w:eastAsia="Arial" w:hAnsi="Arial"/>
          <w:sz w:val="18"/>
          <w:szCs w:val="18"/>
          <w:color w:val="4C4C4C"/>
        </w:rPr>
        <w:t>Irene Chang Britt</w:t>
      </w:r>
    </w:p>
    <w:p>
      <w:pPr>
        <w:ind w:left="120"/>
        <w:spacing w:after="0" w:line="235" w:lineRule="auto"/>
        <w:rPr>
          <w:sz w:val="20"/>
          <w:szCs w:val="20"/>
          <w:color w:val="auto"/>
        </w:rPr>
      </w:pPr>
      <w:r>
        <w:rPr>
          <w:rFonts w:ascii="Arial" w:cs="Arial" w:eastAsia="Arial" w:hAnsi="Arial"/>
          <w:sz w:val="18"/>
          <w:szCs w:val="18"/>
          <w:color w:val="4C4C4C"/>
        </w:rPr>
        <w:t>Eileen Mallesch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Paul Wetzel</w:t>
      </w:r>
    </w:p>
    <w:p>
      <w:pPr>
        <w:spacing w:after="0" w:line="123"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00ADBB"/>
        </w:rPr>
        <w:t>2021 Proxy Statement | 63</w:t>
      </w:r>
    </w:p>
    <w:p>
      <w:pPr>
        <w:sectPr>
          <w:pgSz w:w="11900" w:h="16838" w:orient="portrait"/>
          <w:cols w:equalWidth="0" w:num="1">
            <w:col w:w="11140"/>
          </w:cols>
          <w:pgMar w:left="320" w:top="459" w:right="43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Summary Compensation Table for 2020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87"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ADBB"/>
        </w:rPr>
        <w:t>Compensation Tables</w:t>
      </w:r>
    </w:p>
    <w:p>
      <w:pPr>
        <w:spacing w:after="0" w:line="382"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4C4C4C"/>
        </w:rPr>
        <w:t>The Summary Compensation Table below presents information regarding compensation for each of our NEOs for each of the years they were so designated during 2020, 2019 and 2018. The accompanying footnotes and narrative provide important information regarding our NEOs’ compensation for those periods and describes, among other things, the manner in which the 2020 compensation for our NEOs was calculated.</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Summary Compensation Table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165100</wp:posOffset>
            </wp:positionV>
            <wp:extent cx="8255" cy="4114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165100</wp:posOffset>
            </wp:positionV>
            <wp:extent cx="8255" cy="4114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165100</wp:posOffset>
            </wp:positionV>
            <wp:extent cx="8255" cy="4114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165100</wp:posOffset>
            </wp:positionV>
            <wp:extent cx="8890" cy="4114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165100</wp:posOffset>
            </wp:positionV>
            <wp:extent cx="8255" cy="4114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165100</wp:posOffset>
            </wp:positionV>
            <wp:extent cx="8255" cy="4114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165100</wp:posOffset>
            </wp:positionV>
            <wp:extent cx="8255" cy="4114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165100</wp:posOffset>
            </wp:positionV>
            <wp:extent cx="8890" cy="4114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300" w:type="dxa"/>
            <w:vAlign w:val="bottom"/>
            <w:shd w:val="clear" w:color="auto" w:fill="00ADBB"/>
          </w:tcPr>
          <w:p>
            <w:pPr>
              <w:spacing w:after="0"/>
              <w:rPr>
                <w:sz w:val="18"/>
                <w:szCs w:val="18"/>
                <w:color w:val="auto"/>
              </w:rPr>
            </w:pPr>
          </w:p>
        </w:tc>
        <w:tc>
          <w:tcPr>
            <w:tcW w:w="40" w:type="dxa"/>
            <w:vAlign w:val="bottom"/>
            <w:shd w:val="clear" w:color="auto" w:fill="00ADBB"/>
          </w:tcPr>
          <w:p>
            <w:pPr>
              <w:spacing w:after="0"/>
              <w:rPr>
                <w:sz w:val="18"/>
                <w:szCs w:val="18"/>
                <w:color w:val="auto"/>
              </w:rPr>
            </w:pPr>
          </w:p>
        </w:tc>
        <w:tc>
          <w:tcPr>
            <w:tcW w:w="40" w:type="dxa"/>
            <w:vAlign w:val="bottom"/>
            <w:shd w:val="clear" w:color="auto" w:fill="00ADBB"/>
          </w:tcPr>
          <w:p>
            <w:pPr>
              <w:spacing w:after="0"/>
              <w:rPr>
                <w:sz w:val="18"/>
                <w:szCs w:val="18"/>
                <w:color w:val="auto"/>
              </w:rPr>
            </w:pPr>
          </w:p>
        </w:tc>
        <w:tc>
          <w:tcPr>
            <w:tcW w:w="400" w:type="dxa"/>
            <w:vAlign w:val="bottom"/>
            <w:shd w:val="clear" w:color="auto" w:fill="00ADBB"/>
          </w:tcPr>
          <w:p>
            <w:pPr>
              <w:spacing w:after="0"/>
              <w:rPr>
                <w:sz w:val="18"/>
                <w:szCs w:val="18"/>
                <w:color w:val="auto"/>
              </w:rPr>
            </w:pPr>
          </w:p>
        </w:tc>
        <w:tc>
          <w:tcPr>
            <w:tcW w:w="740" w:type="dxa"/>
            <w:vAlign w:val="bottom"/>
            <w:shd w:val="clear" w:color="auto" w:fill="00ADBB"/>
          </w:tcPr>
          <w:p>
            <w:pPr>
              <w:spacing w:after="0"/>
              <w:rPr>
                <w:sz w:val="18"/>
                <w:szCs w:val="18"/>
                <w:color w:val="auto"/>
              </w:rPr>
            </w:pPr>
          </w:p>
        </w:tc>
        <w:tc>
          <w:tcPr>
            <w:tcW w:w="740" w:type="dxa"/>
            <w:vAlign w:val="bottom"/>
            <w:shd w:val="clear" w:color="auto" w:fill="00ADBB"/>
          </w:tcPr>
          <w:p>
            <w:pPr>
              <w:spacing w:after="0"/>
              <w:rPr>
                <w:sz w:val="18"/>
                <w:szCs w:val="18"/>
                <w:color w:val="auto"/>
              </w:rPr>
            </w:pPr>
          </w:p>
        </w:tc>
        <w:tc>
          <w:tcPr>
            <w:tcW w:w="160" w:type="dxa"/>
            <w:vAlign w:val="bottom"/>
            <w:shd w:val="clear" w:color="auto" w:fill="00ADBB"/>
          </w:tcPr>
          <w:p>
            <w:pPr>
              <w:spacing w:after="0"/>
              <w:rPr>
                <w:sz w:val="18"/>
                <w:szCs w:val="18"/>
                <w:color w:val="auto"/>
              </w:rPr>
            </w:pPr>
          </w:p>
        </w:tc>
        <w:tc>
          <w:tcPr>
            <w:tcW w:w="800" w:type="dxa"/>
            <w:vAlign w:val="bottom"/>
            <w:shd w:val="clear" w:color="auto" w:fill="00ADBB"/>
          </w:tcPr>
          <w:p>
            <w:pPr>
              <w:spacing w:after="0"/>
              <w:rPr>
                <w:sz w:val="18"/>
                <w:szCs w:val="18"/>
                <w:color w:val="auto"/>
              </w:rPr>
            </w:pPr>
          </w:p>
        </w:tc>
        <w:tc>
          <w:tcPr>
            <w:tcW w:w="140" w:type="dxa"/>
            <w:vAlign w:val="bottom"/>
            <w:shd w:val="clear" w:color="auto" w:fill="00ADBB"/>
          </w:tcPr>
          <w:p>
            <w:pPr>
              <w:spacing w:after="0"/>
              <w:rPr>
                <w:sz w:val="18"/>
                <w:szCs w:val="18"/>
                <w:color w:val="auto"/>
              </w:rPr>
            </w:pPr>
          </w:p>
        </w:tc>
        <w:tc>
          <w:tcPr>
            <w:tcW w:w="720" w:type="dxa"/>
            <w:vAlign w:val="bottom"/>
            <w:shd w:val="clear" w:color="auto" w:fill="00ADBB"/>
          </w:tcPr>
          <w:p>
            <w:pPr>
              <w:spacing w:after="0"/>
              <w:rPr>
                <w:sz w:val="18"/>
                <w:szCs w:val="18"/>
                <w:color w:val="auto"/>
              </w:rPr>
            </w:pPr>
          </w:p>
        </w:tc>
        <w:tc>
          <w:tcPr>
            <w:tcW w:w="160" w:type="dxa"/>
            <w:vAlign w:val="bottom"/>
            <w:shd w:val="clear" w:color="auto" w:fill="00ADBB"/>
          </w:tcPr>
          <w:p>
            <w:pPr>
              <w:spacing w:after="0"/>
              <w:rPr>
                <w:sz w:val="18"/>
                <w:szCs w:val="18"/>
                <w:color w:val="auto"/>
              </w:rPr>
            </w:pPr>
          </w:p>
        </w:tc>
        <w:tc>
          <w:tcPr>
            <w:tcW w:w="1160" w:type="dxa"/>
            <w:vAlign w:val="bottom"/>
            <w:shd w:val="clear" w:color="auto" w:fill="00ADBB"/>
          </w:tcPr>
          <w:p>
            <w:pPr>
              <w:jc w:val="right"/>
              <w:ind w:right="208"/>
              <w:spacing w:after="0"/>
              <w:rPr>
                <w:sz w:val="20"/>
                <w:szCs w:val="20"/>
                <w:color w:val="auto"/>
              </w:rPr>
            </w:pPr>
            <w:r>
              <w:rPr>
                <w:rFonts w:ascii="Arial" w:cs="Arial" w:eastAsia="Arial" w:hAnsi="Arial"/>
                <w:sz w:val="14"/>
                <w:szCs w:val="14"/>
                <w:b w:val="1"/>
                <w:bCs w:val="1"/>
                <w:color w:val="FFFFFF"/>
              </w:rPr>
              <w:t>Non-Equity</w:t>
            </w:r>
          </w:p>
        </w:tc>
        <w:tc>
          <w:tcPr>
            <w:tcW w:w="260" w:type="dxa"/>
            <w:vAlign w:val="bottom"/>
            <w:shd w:val="clear" w:color="auto" w:fill="00ADBB"/>
          </w:tcPr>
          <w:p>
            <w:pPr>
              <w:spacing w:after="0"/>
              <w:rPr>
                <w:sz w:val="18"/>
                <w:szCs w:val="18"/>
                <w:color w:val="auto"/>
              </w:rPr>
            </w:pPr>
          </w:p>
        </w:tc>
        <w:tc>
          <w:tcPr>
            <w:tcW w:w="1060" w:type="dxa"/>
            <w:vAlign w:val="bottom"/>
            <w:shd w:val="clear" w:color="auto" w:fill="00ADBB"/>
          </w:tcPr>
          <w:p>
            <w:pPr>
              <w:spacing w:after="0"/>
              <w:rPr>
                <w:sz w:val="18"/>
                <w:szCs w:val="18"/>
                <w:color w:val="auto"/>
              </w:rPr>
            </w:pPr>
          </w:p>
        </w:tc>
        <w:tc>
          <w:tcPr>
            <w:tcW w:w="160" w:type="dxa"/>
            <w:vAlign w:val="bottom"/>
            <w:shd w:val="clear" w:color="auto" w:fill="00ADBB"/>
          </w:tcPr>
          <w:p>
            <w:pPr>
              <w:spacing w:after="0"/>
              <w:rPr>
                <w:sz w:val="18"/>
                <w:szCs w:val="18"/>
                <w:color w:val="auto"/>
              </w:rPr>
            </w:pPr>
          </w:p>
        </w:tc>
        <w:tc>
          <w:tcPr>
            <w:tcW w:w="800" w:type="dxa"/>
            <w:vAlign w:val="bottom"/>
            <w:shd w:val="clear" w:color="auto" w:fill="00ADBB"/>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00" w:type="dxa"/>
            <w:vAlign w:val="bottom"/>
            <w:vMerge w:val="restart"/>
            <w:shd w:val="clear" w:color="auto" w:fill="00ADBB"/>
          </w:tcPr>
          <w:p>
            <w:pPr>
              <w:ind w:left="120"/>
              <w:spacing w:after="0"/>
              <w:rPr>
                <w:sz w:val="20"/>
                <w:szCs w:val="20"/>
                <w:color w:val="auto"/>
              </w:rPr>
            </w:pPr>
            <w:r>
              <w:rPr>
                <w:rFonts w:ascii="Arial" w:cs="Arial" w:eastAsia="Arial" w:hAnsi="Arial"/>
                <w:sz w:val="14"/>
                <w:szCs w:val="14"/>
                <w:b w:val="1"/>
                <w:bCs w:val="1"/>
                <w:color w:val="FFFFFF"/>
              </w:rPr>
              <w:t>Name and Title</w:t>
            </w:r>
          </w:p>
        </w:tc>
        <w:tc>
          <w:tcPr>
            <w:tcW w:w="40" w:type="dxa"/>
            <w:vAlign w:val="bottom"/>
            <w:shd w:val="clear" w:color="auto" w:fill="00ADBB"/>
          </w:tcPr>
          <w:p>
            <w:pPr>
              <w:spacing w:after="0"/>
              <w:rPr>
                <w:sz w:val="15"/>
                <w:szCs w:val="15"/>
                <w:color w:val="auto"/>
              </w:rPr>
            </w:pPr>
          </w:p>
        </w:tc>
        <w:tc>
          <w:tcPr>
            <w:tcW w:w="440" w:type="dxa"/>
            <w:vAlign w:val="bottom"/>
            <w:gridSpan w:val="2"/>
            <w:vMerge w:val="restart"/>
            <w:shd w:val="clear" w:color="auto" w:fill="00ADBB"/>
          </w:tcPr>
          <w:p>
            <w:pPr>
              <w:ind w:left="40"/>
              <w:spacing w:after="0"/>
              <w:rPr>
                <w:sz w:val="20"/>
                <w:szCs w:val="20"/>
                <w:color w:val="auto"/>
              </w:rPr>
            </w:pPr>
            <w:r>
              <w:rPr>
                <w:rFonts w:ascii="Arial" w:cs="Arial" w:eastAsia="Arial" w:hAnsi="Arial"/>
                <w:sz w:val="14"/>
                <w:szCs w:val="14"/>
                <w:b w:val="1"/>
                <w:bCs w:val="1"/>
                <w:color w:val="FFFFFF"/>
              </w:rPr>
              <w:t>Year</w:t>
            </w:r>
          </w:p>
        </w:tc>
        <w:tc>
          <w:tcPr>
            <w:tcW w:w="740" w:type="dxa"/>
            <w:vAlign w:val="bottom"/>
            <w:shd w:val="clear" w:color="auto" w:fill="00ADBB"/>
          </w:tcPr>
          <w:p>
            <w:pPr>
              <w:ind w:left="160"/>
              <w:spacing w:after="0"/>
              <w:rPr>
                <w:sz w:val="20"/>
                <w:szCs w:val="20"/>
                <w:color w:val="auto"/>
              </w:rPr>
            </w:pPr>
            <w:r>
              <w:rPr>
                <w:rFonts w:ascii="Arial" w:cs="Arial" w:eastAsia="Arial" w:hAnsi="Arial"/>
                <w:sz w:val="14"/>
                <w:szCs w:val="14"/>
                <w:b w:val="1"/>
                <w:bCs w:val="1"/>
                <w:color w:val="FFFFFF"/>
              </w:rPr>
              <w:t>Salary</w:t>
            </w:r>
          </w:p>
        </w:tc>
        <w:tc>
          <w:tcPr>
            <w:tcW w:w="740" w:type="dxa"/>
            <w:vAlign w:val="bottom"/>
            <w:vMerge w:val="restart"/>
            <w:shd w:val="clear" w:color="auto" w:fill="00ADBB"/>
          </w:tcPr>
          <w:p>
            <w:pPr>
              <w:jc w:val="center"/>
              <w:spacing w:after="0"/>
              <w:rPr>
                <w:sz w:val="20"/>
                <w:szCs w:val="20"/>
                <w:color w:val="auto"/>
              </w:rPr>
            </w:pPr>
            <w:r>
              <w:rPr>
                <w:rFonts w:ascii="Arial" w:cs="Arial" w:eastAsia="Arial" w:hAnsi="Arial"/>
                <w:sz w:val="14"/>
                <w:szCs w:val="14"/>
                <w:b w:val="1"/>
                <w:bCs w:val="1"/>
                <w:color w:val="FFFFFF"/>
              </w:rPr>
              <w:t>Bonus</w:t>
            </w:r>
          </w:p>
        </w:tc>
        <w:tc>
          <w:tcPr>
            <w:tcW w:w="160" w:type="dxa"/>
            <w:vAlign w:val="bottom"/>
            <w:shd w:val="clear" w:color="auto" w:fill="00ADBB"/>
          </w:tcPr>
          <w:p>
            <w:pPr>
              <w:spacing w:after="0"/>
              <w:rPr>
                <w:sz w:val="15"/>
                <w:szCs w:val="15"/>
                <w:color w:val="auto"/>
              </w:rPr>
            </w:pPr>
          </w:p>
        </w:tc>
        <w:tc>
          <w:tcPr>
            <w:tcW w:w="800" w:type="dxa"/>
            <w:vAlign w:val="bottom"/>
            <w:shd w:val="clear" w:color="auto" w:fill="00ADBB"/>
          </w:tcPr>
          <w:p>
            <w:pPr>
              <w:jc w:val="right"/>
              <w:ind w:right="208"/>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00ADBB"/>
          </w:tcPr>
          <w:p>
            <w:pPr>
              <w:spacing w:after="0"/>
              <w:rPr>
                <w:sz w:val="15"/>
                <w:szCs w:val="15"/>
                <w:color w:val="auto"/>
              </w:rPr>
            </w:pPr>
          </w:p>
        </w:tc>
        <w:tc>
          <w:tcPr>
            <w:tcW w:w="720" w:type="dxa"/>
            <w:vAlign w:val="bottom"/>
            <w:shd w:val="clear" w:color="auto" w:fill="00ADBB"/>
          </w:tcPr>
          <w:p>
            <w:pPr>
              <w:jc w:val="right"/>
              <w:ind w:right="128"/>
              <w:spacing w:after="0"/>
              <w:rPr>
                <w:sz w:val="20"/>
                <w:szCs w:val="20"/>
                <w:color w:val="auto"/>
              </w:rPr>
            </w:pPr>
            <w:r>
              <w:rPr>
                <w:rFonts w:ascii="Arial" w:cs="Arial" w:eastAsia="Arial" w:hAnsi="Arial"/>
                <w:sz w:val="14"/>
                <w:szCs w:val="14"/>
                <w:b w:val="1"/>
                <w:bCs w:val="1"/>
                <w:color w:val="FFFFFF"/>
              </w:rPr>
              <w:t>Option</w:t>
            </w:r>
          </w:p>
        </w:tc>
        <w:tc>
          <w:tcPr>
            <w:tcW w:w="160" w:type="dxa"/>
            <w:vAlign w:val="bottom"/>
            <w:shd w:val="clear" w:color="auto" w:fill="00ADBB"/>
          </w:tcPr>
          <w:p>
            <w:pPr>
              <w:spacing w:after="0"/>
              <w:rPr>
                <w:sz w:val="15"/>
                <w:szCs w:val="15"/>
                <w:color w:val="auto"/>
              </w:rPr>
            </w:pPr>
          </w:p>
        </w:tc>
        <w:tc>
          <w:tcPr>
            <w:tcW w:w="1160" w:type="dxa"/>
            <w:vAlign w:val="bottom"/>
            <w:shd w:val="clear" w:color="auto" w:fill="00ADBB"/>
          </w:tcPr>
          <w:p>
            <w:pPr>
              <w:jc w:val="right"/>
              <w:ind w:right="108"/>
              <w:spacing w:after="0"/>
              <w:rPr>
                <w:sz w:val="20"/>
                <w:szCs w:val="20"/>
                <w:color w:val="auto"/>
              </w:rPr>
            </w:pPr>
            <w:r>
              <w:rPr>
                <w:rFonts w:ascii="Arial" w:cs="Arial" w:eastAsia="Arial" w:hAnsi="Arial"/>
                <w:sz w:val="14"/>
                <w:szCs w:val="14"/>
                <w:b w:val="1"/>
                <w:bCs w:val="1"/>
                <w:color w:val="FFFFFF"/>
              </w:rPr>
              <w:t>Incentive Plan</w:t>
            </w:r>
          </w:p>
        </w:tc>
        <w:tc>
          <w:tcPr>
            <w:tcW w:w="260" w:type="dxa"/>
            <w:vAlign w:val="bottom"/>
            <w:shd w:val="clear" w:color="auto" w:fill="00ADBB"/>
          </w:tcPr>
          <w:p>
            <w:pPr>
              <w:spacing w:after="0"/>
              <w:rPr>
                <w:sz w:val="15"/>
                <w:szCs w:val="15"/>
                <w:color w:val="auto"/>
              </w:rPr>
            </w:pPr>
          </w:p>
        </w:tc>
        <w:tc>
          <w:tcPr>
            <w:tcW w:w="1060" w:type="dxa"/>
            <w:vAlign w:val="bottom"/>
            <w:shd w:val="clear" w:color="auto" w:fill="00ADBB"/>
          </w:tcPr>
          <w:p>
            <w:pPr>
              <w:jc w:val="right"/>
              <w:ind w:right="288"/>
              <w:spacing w:after="0"/>
              <w:rPr>
                <w:sz w:val="20"/>
                <w:szCs w:val="20"/>
                <w:color w:val="auto"/>
              </w:rPr>
            </w:pPr>
            <w:r>
              <w:rPr>
                <w:rFonts w:ascii="Arial" w:cs="Arial" w:eastAsia="Arial" w:hAnsi="Arial"/>
                <w:sz w:val="14"/>
                <w:szCs w:val="14"/>
                <w:b w:val="1"/>
                <w:bCs w:val="1"/>
                <w:color w:val="FFFFFF"/>
              </w:rPr>
              <w:t>All Other</w:t>
            </w:r>
          </w:p>
        </w:tc>
        <w:tc>
          <w:tcPr>
            <w:tcW w:w="160" w:type="dxa"/>
            <w:vAlign w:val="bottom"/>
            <w:shd w:val="clear" w:color="auto" w:fill="00ADBB"/>
          </w:tcPr>
          <w:p>
            <w:pPr>
              <w:spacing w:after="0"/>
              <w:rPr>
                <w:sz w:val="15"/>
                <w:szCs w:val="15"/>
                <w:color w:val="auto"/>
              </w:rPr>
            </w:pPr>
          </w:p>
        </w:tc>
        <w:tc>
          <w:tcPr>
            <w:tcW w:w="800" w:type="dxa"/>
            <w:vAlign w:val="bottom"/>
            <w:vMerge w:val="restart"/>
            <w:shd w:val="clear" w:color="auto" w:fill="00ADBB"/>
          </w:tcPr>
          <w:p>
            <w:pPr>
              <w:jc w:val="right"/>
              <w:ind w:right="2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57"/>
        </w:trPr>
        <w:tc>
          <w:tcPr>
            <w:tcW w:w="3300" w:type="dxa"/>
            <w:vAlign w:val="bottom"/>
            <w:vMerge w:val="continue"/>
            <w:shd w:val="clear" w:color="auto" w:fill="00ADBB"/>
          </w:tcPr>
          <w:p>
            <w:pPr>
              <w:spacing w:after="0"/>
              <w:rPr>
                <w:sz w:val="22"/>
                <w:szCs w:val="22"/>
                <w:color w:val="auto"/>
              </w:rPr>
            </w:pPr>
          </w:p>
        </w:tc>
        <w:tc>
          <w:tcPr>
            <w:tcW w:w="40" w:type="dxa"/>
            <w:vAlign w:val="bottom"/>
            <w:shd w:val="clear" w:color="auto" w:fill="00ADBB"/>
          </w:tcPr>
          <w:p>
            <w:pPr>
              <w:spacing w:after="0"/>
              <w:rPr>
                <w:sz w:val="22"/>
                <w:szCs w:val="22"/>
                <w:color w:val="auto"/>
              </w:rPr>
            </w:pPr>
          </w:p>
        </w:tc>
        <w:tc>
          <w:tcPr>
            <w:tcW w:w="440" w:type="dxa"/>
            <w:vAlign w:val="bottom"/>
            <w:gridSpan w:val="2"/>
            <w:vMerge w:val="continue"/>
            <w:shd w:val="clear" w:color="auto" w:fill="00ADBB"/>
          </w:tcPr>
          <w:p>
            <w:pPr>
              <w:spacing w:after="0"/>
              <w:rPr>
                <w:sz w:val="22"/>
                <w:szCs w:val="22"/>
                <w:color w:val="auto"/>
              </w:rPr>
            </w:pPr>
          </w:p>
        </w:tc>
        <w:tc>
          <w:tcPr>
            <w:tcW w:w="740" w:type="dxa"/>
            <w:vAlign w:val="bottom"/>
            <w:shd w:val="clear" w:color="auto" w:fill="00ADBB"/>
          </w:tcPr>
          <w:p>
            <w:pPr>
              <w:jc w:val="center"/>
              <w:spacing w:after="0"/>
              <w:rPr>
                <w:sz w:val="20"/>
                <w:szCs w:val="20"/>
                <w:color w:val="auto"/>
              </w:rPr>
            </w:pPr>
            <w:r>
              <w:rPr>
                <w:rFonts w:ascii="Arial" w:cs="Arial" w:eastAsia="Arial" w:hAnsi="Arial"/>
                <w:sz w:val="12"/>
                <w:szCs w:val="12"/>
                <w:b w:val="1"/>
                <w:bCs w:val="1"/>
                <w:color w:val="FFFFFF"/>
              </w:rPr>
              <w:t>(1)</w:t>
            </w:r>
          </w:p>
        </w:tc>
        <w:tc>
          <w:tcPr>
            <w:tcW w:w="740" w:type="dxa"/>
            <w:vAlign w:val="bottom"/>
            <w:vMerge w:val="continue"/>
            <w:shd w:val="clear" w:color="auto" w:fill="00ADBB"/>
          </w:tcPr>
          <w:p>
            <w:pPr>
              <w:spacing w:after="0"/>
              <w:rPr>
                <w:sz w:val="22"/>
                <w:szCs w:val="22"/>
                <w:color w:val="auto"/>
              </w:rPr>
            </w:pPr>
          </w:p>
        </w:tc>
        <w:tc>
          <w:tcPr>
            <w:tcW w:w="960" w:type="dxa"/>
            <w:vAlign w:val="bottom"/>
            <w:gridSpan w:val="2"/>
            <w:shd w:val="clear" w:color="auto" w:fill="00ADBB"/>
          </w:tcPr>
          <w:p>
            <w:pPr>
              <w:jc w:val="right"/>
              <w:ind w:right="48"/>
              <w:spacing w:after="0" w:line="257" w:lineRule="exact"/>
              <w:rPr>
                <w:sz w:val="20"/>
                <w:szCs w:val="20"/>
                <w:color w:val="auto"/>
              </w:rPr>
            </w:pPr>
            <w:r>
              <w:rPr>
                <w:rFonts w:ascii="Arial" w:cs="Arial" w:eastAsia="Arial" w:hAnsi="Arial"/>
                <w:sz w:val="14"/>
                <w:szCs w:val="14"/>
                <w:b w:val="1"/>
                <w:bCs w:val="1"/>
                <w:color w:val="FFFFFF"/>
              </w:rPr>
              <w:t xml:space="preserve">Awards </w:t>
            </w:r>
            <w:r>
              <w:rPr>
                <w:rFonts w:ascii="Arial" w:cs="Arial" w:eastAsia="Arial" w:hAnsi="Arial"/>
                <w:sz w:val="24"/>
                <w:szCs w:val="24"/>
                <w:b w:val="1"/>
                <w:bCs w:val="1"/>
                <w:color w:val="FFFFFF"/>
                <w:vertAlign w:val="superscript"/>
              </w:rPr>
              <w:t>(2)</w:t>
            </w:r>
          </w:p>
        </w:tc>
        <w:tc>
          <w:tcPr>
            <w:tcW w:w="860" w:type="dxa"/>
            <w:vAlign w:val="bottom"/>
            <w:gridSpan w:val="2"/>
            <w:shd w:val="clear" w:color="auto" w:fill="00ADBB"/>
          </w:tcPr>
          <w:p>
            <w:pPr>
              <w:ind w:left="80"/>
              <w:spacing w:after="0" w:line="257" w:lineRule="exact"/>
              <w:rPr>
                <w:sz w:val="20"/>
                <w:szCs w:val="20"/>
                <w:color w:val="auto"/>
              </w:rPr>
            </w:pPr>
            <w:r>
              <w:rPr>
                <w:rFonts w:ascii="Arial" w:cs="Arial" w:eastAsia="Arial" w:hAnsi="Arial"/>
                <w:sz w:val="14"/>
                <w:szCs w:val="14"/>
                <w:b w:val="1"/>
                <w:bCs w:val="1"/>
                <w:color w:val="FFFFFF"/>
              </w:rPr>
              <w:t xml:space="preserve">Awards </w:t>
            </w:r>
            <w:r>
              <w:rPr>
                <w:rFonts w:ascii="Arial" w:cs="Arial" w:eastAsia="Arial" w:hAnsi="Arial"/>
                <w:sz w:val="24"/>
                <w:szCs w:val="24"/>
                <w:b w:val="1"/>
                <w:bCs w:val="1"/>
                <w:color w:val="FFFFFF"/>
                <w:vertAlign w:val="superscript"/>
              </w:rPr>
              <w:t>(3)</w:t>
            </w:r>
          </w:p>
        </w:tc>
        <w:tc>
          <w:tcPr>
            <w:tcW w:w="1320" w:type="dxa"/>
            <w:vAlign w:val="bottom"/>
            <w:gridSpan w:val="2"/>
            <w:shd w:val="clear" w:color="auto" w:fill="00ADBB"/>
          </w:tcPr>
          <w:p>
            <w:pPr>
              <w:ind w:left="60"/>
              <w:spacing w:after="0" w:line="257" w:lineRule="exact"/>
              <w:rPr>
                <w:sz w:val="20"/>
                <w:szCs w:val="20"/>
                <w:color w:val="auto"/>
              </w:rPr>
            </w:pPr>
            <w:r>
              <w:rPr>
                <w:rFonts w:ascii="Arial" w:cs="Arial" w:eastAsia="Arial" w:hAnsi="Arial"/>
                <w:sz w:val="14"/>
                <w:szCs w:val="14"/>
                <w:b w:val="1"/>
                <w:bCs w:val="1"/>
                <w:color w:val="FFFFFF"/>
              </w:rPr>
              <w:t xml:space="preserve">Compensation </w:t>
            </w:r>
            <w:r>
              <w:rPr>
                <w:rFonts w:ascii="Arial" w:cs="Arial" w:eastAsia="Arial" w:hAnsi="Arial"/>
                <w:sz w:val="24"/>
                <w:szCs w:val="24"/>
                <w:b w:val="1"/>
                <w:bCs w:val="1"/>
                <w:color w:val="FFFFFF"/>
                <w:vertAlign w:val="superscript"/>
              </w:rPr>
              <w:t>(4)</w:t>
            </w:r>
          </w:p>
        </w:tc>
        <w:tc>
          <w:tcPr>
            <w:tcW w:w="1320" w:type="dxa"/>
            <w:vAlign w:val="bottom"/>
            <w:gridSpan w:val="2"/>
            <w:shd w:val="clear" w:color="auto" w:fill="00ADBB"/>
          </w:tcPr>
          <w:p>
            <w:pPr>
              <w:ind w:left="80"/>
              <w:spacing w:after="0" w:line="257" w:lineRule="exact"/>
              <w:rPr>
                <w:sz w:val="20"/>
                <w:szCs w:val="20"/>
                <w:color w:val="auto"/>
              </w:rPr>
            </w:pPr>
            <w:r>
              <w:rPr>
                <w:rFonts w:ascii="Arial" w:cs="Arial" w:eastAsia="Arial" w:hAnsi="Arial"/>
                <w:sz w:val="14"/>
                <w:szCs w:val="14"/>
                <w:b w:val="1"/>
                <w:bCs w:val="1"/>
                <w:color w:val="FFFFFF"/>
              </w:rPr>
              <w:t xml:space="preserve">Compensation </w:t>
            </w:r>
            <w:r>
              <w:rPr>
                <w:rFonts w:ascii="Arial" w:cs="Arial" w:eastAsia="Arial" w:hAnsi="Arial"/>
                <w:sz w:val="24"/>
                <w:szCs w:val="24"/>
                <w:b w:val="1"/>
                <w:bCs w:val="1"/>
                <w:color w:val="FFFFFF"/>
                <w:vertAlign w:val="superscript"/>
              </w:rPr>
              <w:t>(5)</w:t>
            </w:r>
          </w:p>
        </w:tc>
        <w:tc>
          <w:tcPr>
            <w:tcW w:w="160" w:type="dxa"/>
            <w:vAlign w:val="bottom"/>
            <w:shd w:val="clear" w:color="auto" w:fill="00ADBB"/>
          </w:tcPr>
          <w:p>
            <w:pPr>
              <w:spacing w:after="0"/>
              <w:rPr>
                <w:sz w:val="22"/>
                <w:szCs w:val="22"/>
                <w:color w:val="auto"/>
              </w:rPr>
            </w:pPr>
          </w:p>
        </w:tc>
        <w:tc>
          <w:tcPr>
            <w:tcW w:w="800" w:type="dxa"/>
            <w:vAlign w:val="bottom"/>
            <w:vMerge w:val="continue"/>
            <w:shd w:val="clear" w:color="auto" w:fill="00ADBB"/>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120"/>
              <w:spacing w:after="0"/>
              <w:rPr>
                <w:sz w:val="20"/>
                <w:szCs w:val="20"/>
                <w:color w:val="auto"/>
              </w:rPr>
            </w:pPr>
            <w:r>
              <w:rPr>
                <w:rFonts w:ascii="Arial" w:cs="Arial" w:eastAsia="Arial" w:hAnsi="Arial"/>
                <w:sz w:val="14"/>
                <w:szCs w:val="14"/>
                <w:color w:val="4C4C4C"/>
              </w:rPr>
              <w:t>Eric Steigerwalt</w:t>
            </w:r>
          </w:p>
        </w:tc>
        <w:tc>
          <w:tcPr>
            <w:tcW w:w="480" w:type="dxa"/>
            <w:vAlign w:val="bottom"/>
            <w:gridSpan w:val="3"/>
          </w:tcPr>
          <w:p>
            <w:pPr>
              <w:ind w:left="100"/>
              <w:spacing w:after="0"/>
              <w:rPr>
                <w:sz w:val="20"/>
                <w:szCs w:val="20"/>
                <w:color w:val="auto"/>
              </w:rPr>
            </w:pPr>
            <w:r>
              <w:rPr>
                <w:rFonts w:ascii="Arial" w:cs="Arial" w:eastAsia="Arial" w:hAnsi="Arial"/>
                <w:sz w:val="14"/>
                <w:szCs w:val="14"/>
                <w:color w:val="4C4C4C"/>
              </w:rPr>
              <w:t>2020</w:t>
            </w:r>
          </w:p>
        </w:tc>
        <w:tc>
          <w:tcPr>
            <w:tcW w:w="740" w:type="dxa"/>
            <w:vAlign w:val="bottom"/>
          </w:tcPr>
          <w:p>
            <w:pPr>
              <w:jc w:val="center"/>
              <w:spacing w:after="0"/>
              <w:rPr>
                <w:sz w:val="20"/>
                <w:szCs w:val="20"/>
                <w:color w:val="auto"/>
              </w:rPr>
            </w:pPr>
            <w:r>
              <w:rPr>
                <w:rFonts w:ascii="Arial" w:cs="Arial" w:eastAsia="Arial" w:hAnsi="Arial"/>
                <w:sz w:val="14"/>
                <w:szCs w:val="14"/>
                <w:color w:val="4C4C4C"/>
              </w:rPr>
              <w:t>$920,192</w:t>
            </w: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4,902,445</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4C4C4C"/>
              </w:rPr>
              <w:t>$</w:t>
            </w:r>
          </w:p>
        </w:tc>
        <w:tc>
          <w:tcPr>
            <w:tcW w:w="1160" w:type="dxa"/>
            <w:vAlign w:val="bottom"/>
          </w:tcPr>
          <w:p>
            <w:pPr>
              <w:jc w:val="right"/>
              <w:spacing w:after="0"/>
              <w:rPr>
                <w:sz w:val="20"/>
                <w:szCs w:val="20"/>
                <w:color w:val="auto"/>
              </w:rPr>
            </w:pPr>
            <w:r>
              <w:rPr>
                <w:rFonts w:ascii="Arial" w:cs="Arial" w:eastAsia="Arial" w:hAnsi="Arial"/>
                <w:sz w:val="14"/>
                <w:szCs w:val="14"/>
                <w:color w:val="4C4C4C"/>
              </w:rPr>
              <w:t>2,035,000</w:t>
            </w:r>
          </w:p>
        </w:tc>
        <w:tc>
          <w:tcPr>
            <w:tcW w:w="260" w:type="dxa"/>
            <w:vAlign w:val="bottom"/>
          </w:tcPr>
          <w:p>
            <w:pPr>
              <w:ind w:left="60"/>
              <w:spacing w:after="0"/>
              <w:rPr>
                <w:sz w:val="20"/>
                <w:szCs w:val="20"/>
                <w:color w:val="auto"/>
              </w:rPr>
            </w:pPr>
            <w:r>
              <w:rPr>
                <w:rFonts w:ascii="Arial" w:cs="Arial" w:eastAsia="Arial" w:hAnsi="Arial"/>
                <w:sz w:val="14"/>
                <w:szCs w:val="14"/>
                <w:color w:val="4C4C4C"/>
              </w:rPr>
              <w:t>$</w:t>
            </w:r>
          </w:p>
        </w:tc>
        <w:tc>
          <w:tcPr>
            <w:tcW w:w="1060" w:type="dxa"/>
            <w:vAlign w:val="bottom"/>
          </w:tcPr>
          <w:p>
            <w:pPr>
              <w:jc w:val="right"/>
              <w:spacing w:after="0"/>
              <w:rPr>
                <w:sz w:val="20"/>
                <w:szCs w:val="20"/>
                <w:color w:val="auto"/>
              </w:rPr>
            </w:pPr>
            <w:r>
              <w:rPr>
                <w:rFonts w:ascii="Arial" w:cs="Arial" w:eastAsia="Arial" w:hAnsi="Arial"/>
                <w:sz w:val="14"/>
                <w:szCs w:val="14"/>
                <w:color w:val="4C4C4C"/>
              </w:rPr>
              <w:t>275,707</w:t>
            </w: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8,133,344</w:t>
            </w:r>
          </w:p>
        </w:tc>
        <w:tc>
          <w:tcPr>
            <w:tcW w:w="0" w:type="dxa"/>
            <w:vAlign w:val="bottom"/>
          </w:tcPr>
          <w:p>
            <w:pPr>
              <w:spacing w:after="0"/>
              <w:rPr>
                <w:sz w:val="1"/>
                <w:szCs w:val="1"/>
                <w:color w:val="auto"/>
              </w:rPr>
            </w:pPr>
          </w:p>
        </w:tc>
      </w:tr>
      <w:tr>
        <w:trPr>
          <w:trHeight w:val="49"/>
        </w:trPr>
        <w:tc>
          <w:tcPr>
            <w:tcW w:w="3300" w:type="dxa"/>
            <w:vAlign w:val="bottom"/>
            <w:vMerge w:val="restart"/>
          </w:tcPr>
          <w:p>
            <w:pPr>
              <w:ind w:left="120"/>
              <w:spacing w:after="0"/>
              <w:rPr>
                <w:sz w:val="20"/>
                <w:szCs w:val="20"/>
                <w:color w:val="auto"/>
              </w:rPr>
            </w:pPr>
            <w:r>
              <w:rPr>
                <w:rFonts w:ascii="Arial" w:cs="Arial" w:eastAsia="Arial" w:hAnsi="Arial"/>
                <w:sz w:val="14"/>
                <w:szCs w:val="14"/>
                <w:color w:val="4C4C4C"/>
              </w:rPr>
              <w:t>President and Chief Executive</w:t>
            </w:r>
          </w:p>
        </w:tc>
        <w:tc>
          <w:tcPr>
            <w:tcW w:w="4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10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300" w:type="dxa"/>
            <w:vAlign w:val="bottom"/>
            <w:vMerge w:val="continue"/>
          </w:tcPr>
          <w:p>
            <w:pPr>
              <w:spacing w:after="0"/>
              <w:rPr>
                <w:sz w:val="8"/>
                <w:szCs w:val="8"/>
                <w:color w:val="auto"/>
              </w:rPr>
            </w:pPr>
          </w:p>
        </w:tc>
        <w:tc>
          <w:tcPr>
            <w:tcW w:w="480" w:type="dxa"/>
            <w:vAlign w:val="bottom"/>
            <w:gridSpan w:val="3"/>
            <w:vMerge w:val="restart"/>
          </w:tcPr>
          <w:p>
            <w:pPr>
              <w:ind w:left="100"/>
              <w:spacing w:after="0"/>
              <w:rPr>
                <w:sz w:val="20"/>
                <w:szCs w:val="20"/>
                <w:color w:val="auto"/>
              </w:rPr>
            </w:pPr>
            <w:r>
              <w:rPr>
                <w:rFonts w:ascii="Arial" w:cs="Arial" w:eastAsia="Arial" w:hAnsi="Arial"/>
                <w:sz w:val="14"/>
                <w:szCs w:val="14"/>
                <w:color w:val="4C4C4C"/>
              </w:rPr>
              <w:t>2019</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C4C4C"/>
              </w:rPr>
              <w:t>$896,538</w:t>
            </w:r>
          </w:p>
        </w:tc>
        <w:tc>
          <w:tcPr>
            <w:tcW w:w="74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4,499,982</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4C4C4C"/>
              </w:rPr>
              <w:t>2,780,685</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4C4C4C"/>
              </w:rPr>
              <w:t>312,913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8,490,118</w:t>
            </w:r>
          </w:p>
        </w:tc>
        <w:tc>
          <w:tcPr>
            <w:tcW w:w="0" w:type="dxa"/>
            <w:vAlign w:val="bottom"/>
          </w:tcPr>
          <w:p>
            <w:pPr>
              <w:spacing w:after="0"/>
              <w:rPr>
                <w:sz w:val="1"/>
                <w:szCs w:val="1"/>
                <w:color w:val="auto"/>
              </w:rPr>
            </w:pPr>
          </w:p>
        </w:tc>
      </w:tr>
      <w:tr>
        <w:trPr>
          <w:trHeight w:val="78"/>
        </w:trPr>
        <w:tc>
          <w:tcPr>
            <w:tcW w:w="3300" w:type="dxa"/>
            <w:vAlign w:val="bottom"/>
            <w:vMerge w:val="restart"/>
          </w:tcPr>
          <w:p>
            <w:pPr>
              <w:ind w:left="120"/>
              <w:spacing w:after="0" w:line="110" w:lineRule="exact"/>
              <w:rPr>
                <w:sz w:val="20"/>
                <w:szCs w:val="20"/>
                <w:color w:val="auto"/>
              </w:rPr>
            </w:pPr>
            <w:r>
              <w:rPr>
                <w:rFonts w:ascii="Arial" w:cs="Arial" w:eastAsia="Arial" w:hAnsi="Arial"/>
                <w:sz w:val="12"/>
                <w:szCs w:val="12"/>
                <w:color w:val="4C4C4C"/>
              </w:rPr>
              <w:t>Officer</w:t>
            </w:r>
          </w:p>
        </w:tc>
        <w:tc>
          <w:tcPr>
            <w:tcW w:w="4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3300" w:type="dxa"/>
            <w:vAlign w:val="bottom"/>
            <w:vMerge w:val="continue"/>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26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480" w:type="dxa"/>
            <w:vAlign w:val="bottom"/>
            <w:gridSpan w:val="3"/>
          </w:tcPr>
          <w:p>
            <w:pPr>
              <w:ind w:left="100"/>
              <w:spacing w:after="0"/>
              <w:rPr>
                <w:sz w:val="20"/>
                <w:szCs w:val="20"/>
                <w:color w:val="auto"/>
              </w:rPr>
            </w:pPr>
            <w:r>
              <w:rPr>
                <w:rFonts w:ascii="Arial" w:cs="Arial" w:eastAsia="Arial" w:hAnsi="Arial"/>
                <w:sz w:val="14"/>
                <w:szCs w:val="14"/>
                <w:color w:val="4C4C4C"/>
              </w:rPr>
              <w:t>2018</w:t>
            </w:r>
          </w:p>
        </w:tc>
        <w:tc>
          <w:tcPr>
            <w:tcW w:w="740" w:type="dxa"/>
            <w:vAlign w:val="bottom"/>
          </w:tcPr>
          <w:p>
            <w:pPr>
              <w:jc w:val="center"/>
              <w:spacing w:after="0"/>
              <w:rPr>
                <w:sz w:val="20"/>
                <w:szCs w:val="20"/>
                <w:color w:val="auto"/>
              </w:rPr>
            </w:pPr>
            <w:r>
              <w:rPr>
                <w:rFonts w:ascii="Arial" w:cs="Arial" w:eastAsia="Arial" w:hAnsi="Arial"/>
                <w:sz w:val="14"/>
                <w:szCs w:val="14"/>
                <w:color w:val="4C4C4C"/>
              </w:rPr>
              <w:t>$900,000</w:t>
            </w: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w w:val="99"/>
              </w:rPr>
              <w:t>10,635,968</w:t>
            </w:r>
          </w:p>
        </w:tc>
        <w:tc>
          <w:tcPr>
            <w:tcW w:w="140" w:type="dxa"/>
            <w:vAlign w:val="bottom"/>
          </w:tcPr>
          <w:p>
            <w:pPr>
              <w:ind w:left="60"/>
              <w:spacing w:after="0"/>
              <w:rPr>
                <w:sz w:val="20"/>
                <w:szCs w:val="20"/>
                <w:color w:val="auto"/>
              </w:rPr>
            </w:pPr>
            <w:r>
              <w:rPr>
                <w:rFonts w:ascii="Arial" w:cs="Arial" w:eastAsia="Arial" w:hAnsi="Arial"/>
                <w:sz w:val="14"/>
                <w:szCs w:val="14"/>
                <w:color w:val="4C4C4C"/>
                <w:w w:val="76"/>
              </w:rPr>
              <w:t>$</w:t>
            </w:r>
          </w:p>
        </w:tc>
        <w:tc>
          <w:tcPr>
            <w:tcW w:w="720" w:type="dxa"/>
            <w:vAlign w:val="bottom"/>
          </w:tcPr>
          <w:p>
            <w:pPr>
              <w:jc w:val="right"/>
              <w:spacing w:after="0"/>
              <w:rPr>
                <w:sz w:val="20"/>
                <w:szCs w:val="20"/>
                <w:color w:val="auto"/>
              </w:rPr>
            </w:pPr>
            <w:r>
              <w:rPr>
                <w:rFonts w:ascii="Arial" w:cs="Arial" w:eastAsia="Arial" w:hAnsi="Arial"/>
                <w:sz w:val="14"/>
                <w:szCs w:val="14"/>
                <w:color w:val="4C4C4C"/>
              </w:rPr>
              <w:t>1,155,398</w:t>
            </w:r>
          </w:p>
        </w:tc>
        <w:tc>
          <w:tcPr>
            <w:tcW w:w="160" w:type="dxa"/>
            <w:vAlign w:val="bottom"/>
          </w:tcPr>
          <w:p>
            <w:pPr>
              <w:ind w:left="60"/>
              <w:spacing w:after="0"/>
              <w:rPr>
                <w:sz w:val="20"/>
                <w:szCs w:val="20"/>
                <w:color w:val="auto"/>
              </w:rPr>
            </w:pPr>
            <w:r>
              <w:rPr>
                <w:rFonts w:ascii="Arial" w:cs="Arial" w:eastAsia="Arial" w:hAnsi="Arial"/>
                <w:sz w:val="14"/>
                <w:szCs w:val="14"/>
                <w:color w:val="4C4C4C"/>
              </w:rPr>
              <w:t>$</w:t>
            </w:r>
          </w:p>
        </w:tc>
        <w:tc>
          <w:tcPr>
            <w:tcW w:w="1160" w:type="dxa"/>
            <w:vAlign w:val="bottom"/>
          </w:tcPr>
          <w:p>
            <w:pPr>
              <w:jc w:val="right"/>
              <w:spacing w:after="0"/>
              <w:rPr>
                <w:sz w:val="20"/>
                <w:szCs w:val="20"/>
                <w:color w:val="auto"/>
              </w:rPr>
            </w:pPr>
            <w:r>
              <w:rPr>
                <w:rFonts w:ascii="Arial" w:cs="Arial" w:eastAsia="Arial" w:hAnsi="Arial"/>
                <w:sz w:val="14"/>
                <w:szCs w:val="14"/>
                <w:color w:val="4C4C4C"/>
              </w:rPr>
              <w:t>2,550,703</w:t>
            </w:r>
          </w:p>
        </w:tc>
        <w:tc>
          <w:tcPr>
            <w:tcW w:w="260" w:type="dxa"/>
            <w:vAlign w:val="bottom"/>
          </w:tcPr>
          <w:p>
            <w:pPr>
              <w:ind w:left="60"/>
              <w:spacing w:after="0"/>
              <w:rPr>
                <w:sz w:val="20"/>
                <w:szCs w:val="20"/>
                <w:color w:val="auto"/>
              </w:rPr>
            </w:pPr>
            <w:r>
              <w:rPr>
                <w:rFonts w:ascii="Arial" w:cs="Arial" w:eastAsia="Arial" w:hAnsi="Arial"/>
                <w:sz w:val="14"/>
                <w:szCs w:val="14"/>
                <w:color w:val="4C4C4C"/>
              </w:rPr>
              <w:t>$</w:t>
            </w:r>
          </w:p>
        </w:tc>
        <w:tc>
          <w:tcPr>
            <w:tcW w:w="1060" w:type="dxa"/>
            <w:vAlign w:val="bottom"/>
          </w:tcPr>
          <w:p>
            <w:pPr>
              <w:jc w:val="right"/>
              <w:spacing w:after="0"/>
              <w:rPr>
                <w:sz w:val="20"/>
                <w:szCs w:val="20"/>
                <w:color w:val="auto"/>
              </w:rPr>
            </w:pPr>
            <w:r>
              <w:rPr>
                <w:rFonts w:ascii="Arial" w:cs="Arial" w:eastAsia="Arial" w:hAnsi="Arial"/>
                <w:sz w:val="14"/>
                <w:szCs w:val="14"/>
                <w:color w:val="4C4C4C"/>
              </w:rPr>
              <w:t>295,302</w:t>
            </w: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w w:val="99"/>
              </w:rPr>
              <w:t>15,537,371</w:t>
            </w:r>
          </w:p>
        </w:tc>
        <w:tc>
          <w:tcPr>
            <w:tcW w:w="0" w:type="dxa"/>
            <w:vAlign w:val="bottom"/>
          </w:tcPr>
          <w:p>
            <w:pPr>
              <w:spacing w:after="0"/>
              <w:rPr>
                <w:sz w:val="1"/>
                <w:szCs w:val="1"/>
                <w:color w:val="auto"/>
              </w:rPr>
            </w:pPr>
          </w:p>
        </w:tc>
      </w:tr>
      <w:tr>
        <w:trPr>
          <w:trHeight w:val="39"/>
        </w:trPr>
        <w:tc>
          <w:tcPr>
            <w:tcW w:w="330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26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30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4"/>
                <w:szCs w:val="14"/>
                <w:color w:val="4C4C4C"/>
              </w:rPr>
              <w:t>Ed Spehar</w:t>
            </w:r>
          </w:p>
        </w:tc>
        <w:tc>
          <w:tcPr>
            <w:tcW w:w="40" w:type="dxa"/>
            <w:vAlign w:val="bottom"/>
            <w:tcBorders>
              <w:bottom w:val="single" w:sz="8" w:color="E5F6F8"/>
            </w:tcBorders>
            <w:shd w:val="clear" w:color="auto" w:fill="E5F6F8"/>
          </w:tcPr>
          <w:p>
            <w:pPr>
              <w:spacing w:after="0"/>
              <w:rPr>
                <w:sz w:val="18"/>
                <w:szCs w:val="18"/>
                <w:color w:val="auto"/>
              </w:rPr>
            </w:pPr>
          </w:p>
        </w:tc>
        <w:tc>
          <w:tcPr>
            <w:tcW w:w="440" w:type="dxa"/>
            <w:vAlign w:val="bottom"/>
            <w:tcBorders>
              <w:bottom w:val="single" w:sz="8" w:color="E5F6F8"/>
            </w:tcBorders>
            <w:gridSpan w:val="2"/>
            <w:shd w:val="clear" w:color="auto" w:fill="E5F6F8"/>
          </w:tcPr>
          <w:p>
            <w:pPr>
              <w:ind w:left="60"/>
              <w:spacing w:after="0"/>
              <w:rPr>
                <w:sz w:val="20"/>
                <w:szCs w:val="20"/>
                <w:color w:val="auto"/>
              </w:rPr>
            </w:pPr>
            <w:r>
              <w:rPr>
                <w:rFonts w:ascii="Arial" w:cs="Arial" w:eastAsia="Arial" w:hAnsi="Arial"/>
                <w:sz w:val="14"/>
                <w:szCs w:val="14"/>
                <w:color w:val="4C4C4C"/>
              </w:rPr>
              <w:t>2020</w:t>
            </w:r>
          </w:p>
        </w:tc>
        <w:tc>
          <w:tcPr>
            <w:tcW w:w="740" w:type="dxa"/>
            <w:vAlign w:val="bottom"/>
            <w:tcBorders>
              <w:bottom w:val="single" w:sz="8" w:color="E5F6F8"/>
            </w:tcBorders>
            <w:shd w:val="clear" w:color="auto" w:fill="E5F6F8"/>
          </w:tcPr>
          <w:p>
            <w:pPr>
              <w:jc w:val="center"/>
              <w:spacing w:after="0"/>
              <w:rPr>
                <w:sz w:val="20"/>
                <w:szCs w:val="20"/>
                <w:color w:val="auto"/>
              </w:rPr>
            </w:pPr>
            <w:r>
              <w:rPr>
                <w:rFonts w:ascii="Arial" w:cs="Arial" w:eastAsia="Arial" w:hAnsi="Arial"/>
                <w:sz w:val="14"/>
                <w:szCs w:val="14"/>
                <w:color w:val="4C4C4C"/>
              </w:rPr>
              <w:t>$600,000</w:t>
            </w:r>
          </w:p>
        </w:tc>
        <w:tc>
          <w:tcPr>
            <w:tcW w:w="740" w:type="dxa"/>
            <w:vAlign w:val="bottom"/>
            <w:tcBorders>
              <w:bottom w:val="single" w:sz="8" w:color="E5F6F8"/>
            </w:tcBorders>
            <w:shd w:val="clear" w:color="auto" w:fill="E5F6F8"/>
          </w:tcPr>
          <w:p>
            <w:pPr>
              <w:spacing w:after="0"/>
              <w:rPr>
                <w:sz w:val="18"/>
                <w:szCs w:val="18"/>
                <w:color w:val="auto"/>
              </w:rPr>
            </w:pPr>
          </w:p>
        </w:tc>
        <w:tc>
          <w:tcPr>
            <w:tcW w:w="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1,049,968</w:t>
            </w:r>
          </w:p>
        </w:tc>
        <w:tc>
          <w:tcPr>
            <w:tcW w:w="140" w:type="dxa"/>
            <w:vAlign w:val="bottom"/>
            <w:tcBorders>
              <w:bottom w:val="single" w:sz="8" w:color="E5F6F8"/>
            </w:tcBorders>
            <w:shd w:val="clear" w:color="auto" w:fill="E5F6F8"/>
          </w:tcPr>
          <w:p>
            <w:pPr>
              <w:spacing w:after="0"/>
              <w:rPr>
                <w:sz w:val="18"/>
                <w:szCs w:val="18"/>
                <w:color w:val="auto"/>
              </w:rPr>
            </w:pPr>
          </w:p>
        </w:tc>
        <w:tc>
          <w:tcPr>
            <w:tcW w:w="720" w:type="dxa"/>
            <w:vAlign w:val="bottom"/>
            <w:tcBorders>
              <w:bottom w:val="single" w:sz="8" w:color="E5F6F8"/>
            </w:tcBorders>
            <w:shd w:val="clear" w:color="auto" w:fill="E5F6F8"/>
          </w:tcPr>
          <w:p>
            <w:pPr>
              <w:spacing w:after="0"/>
              <w:rPr>
                <w:sz w:val="18"/>
                <w:szCs w:val="18"/>
                <w:color w:val="auto"/>
              </w:rPr>
            </w:pPr>
          </w:p>
        </w:tc>
        <w:tc>
          <w:tcPr>
            <w:tcW w:w="160" w:type="dxa"/>
            <w:vAlign w:val="bottom"/>
            <w:tcBorders>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924,000</w:t>
            </w:r>
          </w:p>
        </w:tc>
        <w:tc>
          <w:tcPr>
            <w:tcW w:w="260" w:type="dxa"/>
            <w:vAlign w:val="bottom"/>
            <w:tcBorders>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383,243</w:t>
            </w:r>
          </w:p>
        </w:tc>
        <w:tc>
          <w:tcPr>
            <w:tcW w:w="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2,957,211</w:t>
            </w:r>
          </w:p>
        </w:tc>
        <w:tc>
          <w:tcPr>
            <w:tcW w:w="0" w:type="dxa"/>
            <w:vAlign w:val="bottom"/>
          </w:tcPr>
          <w:p>
            <w:pPr>
              <w:spacing w:after="0"/>
              <w:rPr>
                <w:sz w:val="1"/>
                <w:szCs w:val="1"/>
                <w:color w:val="auto"/>
              </w:rPr>
            </w:pPr>
          </w:p>
        </w:tc>
      </w:tr>
      <w:tr>
        <w:trPr>
          <w:trHeight w:val="93"/>
        </w:trPr>
        <w:tc>
          <w:tcPr>
            <w:tcW w:w="3300" w:type="dxa"/>
            <w:vAlign w:val="bottom"/>
            <w:tcBorders>
              <w:top w:val="single" w:sz="8" w:color="E5F6F8"/>
            </w:tcBorders>
            <w:shd w:val="clear" w:color="auto" w:fill="E5F6F8"/>
          </w:tcPr>
          <w:p>
            <w:pPr>
              <w:ind w:left="120"/>
              <w:spacing w:after="0" w:line="93" w:lineRule="exact"/>
              <w:rPr>
                <w:sz w:val="20"/>
                <w:szCs w:val="20"/>
                <w:color w:val="auto"/>
              </w:rPr>
            </w:pPr>
            <w:r>
              <w:rPr>
                <w:rFonts w:ascii="Arial" w:cs="Arial" w:eastAsia="Arial" w:hAnsi="Arial"/>
                <w:sz w:val="10"/>
                <w:szCs w:val="10"/>
                <w:color w:val="4C4C4C"/>
              </w:rPr>
              <w:t>Executive Vice President and Chief</w:t>
            </w:r>
          </w:p>
        </w:tc>
        <w:tc>
          <w:tcPr>
            <w:tcW w:w="40" w:type="dxa"/>
            <w:vAlign w:val="bottom"/>
            <w:tcBorders>
              <w:top w:val="single" w:sz="8" w:color="4C4C4C"/>
            </w:tcBorders>
            <w:shd w:val="clear" w:color="auto" w:fill="E5F6F8"/>
          </w:tcPr>
          <w:p>
            <w:pPr>
              <w:spacing w:after="0"/>
              <w:rPr>
                <w:sz w:val="8"/>
                <w:szCs w:val="8"/>
                <w:color w:val="auto"/>
              </w:rPr>
            </w:pPr>
          </w:p>
        </w:tc>
        <w:tc>
          <w:tcPr>
            <w:tcW w:w="440" w:type="dxa"/>
            <w:vAlign w:val="bottom"/>
            <w:tcBorders>
              <w:top w:val="single" w:sz="8" w:color="4C4C4C"/>
            </w:tcBorders>
            <w:gridSpan w:val="2"/>
            <w:vMerge w:val="restart"/>
            <w:shd w:val="clear" w:color="auto" w:fill="E5F6F8"/>
          </w:tcPr>
          <w:p>
            <w:pPr>
              <w:ind w:left="60"/>
              <w:spacing w:after="0"/>
              <w:rPr>
                <w:sz w:val="20"/>
                <w:szCs w:val="20"/>
                <w:color w:val="auto"/>
              </w:rPr>
            </w:pPr>
            <w:r>
              <w:rPr>
                <w:rFonts w:ascii="Arial" w:cs="Arial" w:eastAsia="Arial" w:hAnsi="Arial"/>
                <w:sz w:val="14"/>
                <w:szCs w:val="14"/>
                <w:color w:val="4C4C4C"/>
              </w:rPr>
              <w:t>2019</w:t>
            </w:r>
          </w:p>
        </w:tc>
        <w:tc>
          <w:tcPr>
            <w:tcW w:w="740" w:type="dxa"/>
            <w:vAlign w:val="bottom"/>
            <w:tcBorders>
              <w:top w:val="single" w:sz="8" w:color="4C4C4C"/>
            </w:tcBorders>
            <w:vMerge w:val="restart"/>
            <w:shd w:val="clear" w:color="auto" w:fill="E5F6F8"/>
          </w:tcPr>
          <w:p>
            <w:pPr>
              <w:jc w:val="center"/>
              <w:spacing w:after="0"/>
              <w:rPr>
                <w:sz w:val="20"/>
                <w:szCs w:val="20"/>
                <w:color w:val="auto"/>
              </w:rPr>
            </w:pPr>
            <w:r>
              <w:rPr>
                <w:rFonts w:ascii="Arial" w:cs="Arial" w:eastAsia="Arial" w:hAnsi="Arial"/>
                <w:sz w:val="14"/>
                <w:szCs w:val="14"/>
                <w:color w:val="4C4C4C"/>
              </w:rPr>
              <w:t>$253,846</w:t>
            </w:r>
          </w:p>
        </w:tc>
        <w:tc>
          <w:tcPr>
            <w:tcW w:w="74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$597,900</w:t>
            </w:r>
          </w:p>
        </w:tc>
        <w:tc>
          <w:tcPr>
            <w:tcW w:w="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vMerge w:val="restart"/>
            <w:shd w:val="clear" w:color="auto" w:fill="E5F6F8"/>
          </w:tcPr>
          <w:p>
            <w:pPr>
              <w:jc w:val="right"/>
              <w:ind w:right="8"/>
              <w:spacing w:after="0"/>
              <w:rPr>
                <w:sz w:val="20"/>
                <w:szCs w:val="20"/>
                <w:color w:val="auto"/>
              </w:rPr>
            </w:pPr>
            <w:r>
              <w:rPr>
                <w:rFonts w:ascii="Arial" w:cs="Arial" w:eastAsia="Arial" w:hAnsi="Arial"/>
                <w:sz w:val="14"/>
                <w:szCs w:val="14"/>
                <w:color w:val="4C4C4C"/>
              </w:rPr>
              <w:t>527,260</w:t>
            </w:r>
          </w:p>
        </w:tc>
        <w:tc>
          <w:tcPr>
            <w:tcW w:w="140" w:type="dxa"/>
            <w:vAlign w:val="bottom"/>
            <w:tcBorders>
              <w:top w:val="single" w:sz="8" w:color="4C4C4C"/>
            </w:tcBorders>
            <w:shd w:val="clear" w:color="auto" w:fill="E5F6F8"/>
          </w:tcPr>
          <w:p>
            <w:pPr>
              <w:spacing w:after="0"/>
              <w:rPr>
                <w:sz w:val="8"/>
                <w:szCs w:val="8"/>
                <w:color w:val="auto"/>
              </w:rPr>
            </w:pPr>
          </w:p>
        </w:tc>
        <w:tc>
          <w:tcPr>
            <w:tcW w:w="720" w:type="dxa"/>
            <w:vAlign w:val="bottom"/>
            <w:tcBorders>
              <w:top w:val="single" w:sz="8" w:color="4C4C4C"/>
            </w:tcBorders>
            <w:shd w:val="clear" w:color="auto" w:fill="E5F6F8"/>
          </w:tcPr>
          <w:p>
            <w:pPr>
              <w:spacing w:after="0"/>
              <w:rPr>
                <w:sz w:val="8"/>
                <w:szCs w:val="8"/>
                <w:color w:val="auto"/>
              </w:rPr>
            </w:pPr>
          </w:p>
        </w:tc>
        <w:tc>
          <w:tcPr>
            <w:tcW w:w="160" w:type="dxa"/>
            <w:vAlign w:val="bottom"/>
            <w:tcBorders>
              <w:top w:val="single" w:sz="8" w:color="4C4C4C"/>
            </w:tcBorders>
            <w:vMerge w:val="restart"/>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546,000</w:t>
            </w:r>
          </w:p>
        </w:tc>
        <w:tc>
          <w:tcPr>
            <w:tcW w:w="260" w:type="dxa"/>
            <w:vAlign w:val="bottom"/>
            <w:tcBorders>
              <w:top w:val="single" w:sz="8" w:color="4C4C4C"/>
            </w:tcBorders>
            <w:vMerge w:val="restart"/>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79,212</w:t>
            </w:r>
          </w:p>
        </w:tc>
        <w:tc>
          <w:tcPr>
            <w:tcW w:w="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vMerge w:val="restart"/>
            <w:shd w:val="clear" w:color="auto" w:fill="E5F6F8"/>
          </w:tcPr>
          <w:p>
            <w:pPr>
              <w:jc w:val="right"/>
              <w:ind w:right="8"/>
              <w:spacing w:after="0"/>
              <w:rPr>
                <w:sz w:val="20"/>
                <w:szCs w:val="20"/>
                <w:color w:val="auto"/>
              </w:rPr>
            </w:pPr>
            <w:r>
              <w:rPr>
                <w:rFonts w:ascii="Arial" w:cs="Arial" w:eastAsia="Arial" w:hAnsi="Arial"/>
                <w:sz w:val="14"/>
                <w:szCs w:val="14"/>
                <w:color w:val="4C4C4C"/>
              </w:rPr>
              <w:t>2,004,218</w:t>
            </w:r>
          </w:p>
        </w:tc>
        <w:tc>
          <w:tcPr>
            <w:tcW w:w="0" w:type="dxa"/>
            <w:vAlign w:val="bottom"/>
          </w:tcPr>
          <w:p>
            <w:pPr>
              <w:spacing w:after="0"/>
              <w:rPr>
                <w:sz w:val="1"/>
                <w:szCs w:val="1"/>
                <w:color w:val="auto"/>
              </w:rPr>
            </w:pPr>
          </w:p>
        </w:tc>
      </w:tr>
      <w:tr>
        <w:trPr>
          <w:trHeight w:val="78"/>
        </w:trPr>
        <w:tc>
          <w:tcPr>
            <w:tcW w:w="3300" w:type="dxa"/>
            <w:vAlign w:val="bottom"/>
            <w:vMerge w:val="restart"/>
            <w:shd w:val="clear" w:color="auto" w:fill="E5F6F8"/>
          </w:tcPr>
          <w:p>
            <w:pPr>
              <w:ind w:left="120"/>
              <w:spacing w:after="0"/>
              <w:rPr>
                <w:sz w:val="20"/>
                <w:szCs w:val="20"/>
                <w:color w:val="auto"/>
              </w:rPr>
            </w:pPr>
            <w:r>
              <w:rPr>
                <w:rFonts w:ascii="Arial" w:cs="Arial" w:eastAsia="Arial" w:hAnsi="Arial"/>
                <w:sz w:val="14"/>
                <w:szCs w:val="14"/>
                <w:color w:val="4C4C4C"/>
              </w:rPr>
              <w:t>Financial Officer</w:t>
            </w:r>
          </w:p>
        </w:tc>
        <w:tc>
          <w:tcPr>
            <w:tcW w:w="40" w:type="dxa"/>
            <w:vAlign w:val="bottom"/>
            <w:shd w:val="clear" w:color="auto" w:fill="E5F6F8"/>
          </w:tcPr>
          <w:p>
            <w:pPr>
              <w:spacing w:after="0"/>
              <w:rPr>
                <w:sz w:val="6"/>
                <w:szCs w:val="6"/>
                <w:color w:val="auto"/>
              </w:rPr>
            </w:pPr>
          </w:p>
        </w:tc>
        <w:tc>
          <w:tcPr>
            <w:tcW w:w="440" w:type="dxa"/>
            <w:vAlign w:val="bottom"/>
            <w:gridSpan w:val="2"/>
            <w:vMerge w:val="continue"/>
            <w:shd w:val="clear" w:color="auto" w:fill="E5F6F8"/>
          </w:tcPr>
          <w:p>
            <w:pPr>
              <w:spacing w:after="0"/>
              <w:rPr>
                <w:sz w:val="6"/>
                <w:szCs w:val="6"/>
                <w:color w:val="auto"/>
              </w:rPr>
            </w:pPr>
          </w:p>
        </w:tc>
        <w:tc>
          <w:tcPr>
            <w:tcW w:w="740" w:type="dxa"/>
            <w:vAlign w:val="bottom"/>
            <w:vMerge w:val="continue"/>
            <w:shd w:val="clear" w:color="auto" w:fill="E5F6F8"/>
          </w:tcPr>
          <w:p>
            <w:pPr>
              <w:spacing w:after="0"/>
              <w:rPr>
                <w:sz w:val="6"/>
                <w:szCs w:val="6"/>
                <w:color w:val="auto"/>
              </w:rPr>
            </w:pPr>
          </w:p>
        </w:tc>
        <w:tc>
          <w:tcPr>
            <w:tcW w:w="740" w:type="dxa"/>
            <w:vAlign w:val="bottom"/>
            <w:vMerge w:val="continue"/>
            <w:shd w:val="clear" w:color="auto" w:fill="E5F6F8"/>
          </w:tcPr>
          <w:p>
            <w:pPr>
              <w:spacing w:after="0"/>
              <w:rPr>
                <w:sz w:val="6"/>
                <w:szCs w:val="6"/>
                <w:color w:val="auto"/>
              </w:rPr>
            </w:pPr>
          </w:p>
        </w:tc>
        <w:tc>
          <w:tcPr>
            <w:tcW w:w="160" w:type="dxa"/>
            <w:vAlign w:val="bottom"/>
            <w:vMerge w:val="continue"/>
            <w:shd w:val="clear" w:color="auto" w:fill="E5F6F8"/>
          </w:tcPr>
          <w:p>
            <w:pPr>
              <w:spacing w:after="0"/>
              <w:rPr>
                <w:sz w:val="6"/>
                <w:szCs w:val="6"/>
                <w:color w:val="auto"/>
              </w:rPr>
            </w:pPr>
          </w:p>
        </w:tc>
        <w:tc>
          <w:tcPr>
            <w:tcW w:w="800" w:type="dxa"/>
            <w:vAlign w:val="bottom"/>
            <w:vMerge w:val="continue"/>
            <w:shd w:val="clear" w:color="auto" w:fill="E5F6F8"/>
          </w:tcPr>
          <w:p>
            <w:pPr>
              <w:spacing w:after="0"/>
              <w:rPr>
                <w:sz w:val="6"/>
                <w:szCs w:val="6"/>
                <w:color w:val="auto"/>
              </w:rPr>
            </w:pPr>
          </w:p>
        </w:tc>
        <w:tc>
          <w:tcPr>
            <w:tcW w:w="140" w:type="dxa"/>
            <w:vAlign w:val="bottom"/>
            <w:shd w:val="clear" w:color="auto" w:fill="E5F6F8"/>
          </w:tcPr>
          <w:p>
            <w:pPr>
              <w:spacing w:after="0"/>
              <w:rPr>
                <w:sz w:val="6"/>
                <w:szCs w:val="6"/>
                <w:color w:val="auto"/>
              </w:rPr>
            </w:pPr>
          </w:p>
        </w:tc>
        <w:tc>
          <w:tcPr>
            <w:tcW w:w="720" w:type="dxa"/>
            <w:vAlign w:val="bottom"/>
            <w:shd w:val="clear" w:color="auto" w:fill="E5F6F8"/>
          </w:tcPr>
          <w:p>
            <w:pPr>
              <w:spacing w:after="0"/>
              <w:rPr>
                <w:sz w:val="6"/>
                <w:szCs w:val="6"/>
                <w:color w:val="auto"/>
              </w:rPr>
            </w:pPr>
          </w:p>
        </w:tc>
        <w:tc>
          <w:tcPr>
            <w:tcW w:w="160" w:type="dxa"/>
            <w:vAlign w:val="bottom"/>
            <w:vMerge w:val="continue"/>
            <w:shd w:val="clear" w:color="auto" w:fill="E5F6F8"/>
          </w:tcPr>
          <w:p>
            <w:pPr>
              <w:spacing w:after="0"/>
              <w:rPr>
                <w:sz w:val="6"/>
                <w:szCs w:val="6"/>
                <w:color w:val="auto"/>
              </w:rPr>
            </w:pPr>
          </w:p>
        </w:tc>
        <w:tc>
          <w:tcPr>
            <w:tcW w:w="1160" w:type="dxa"/>
            <w:vAlign w:val="bottom"/>
            <w:vMerge w:val="continue"/>
            <w:shd w:val="clear" w:color="auto" w:fill="E5F6F8"/>
          </w:tcPr>
          <w:p>
            <w:pPr>
              <w:spacing w:after="0"/>
              <w:rPr>
                <w:sz w:val="6"/>
                <w:szCs w:val="6"/>
                <w:color w:val="auto"/>
              </w:rPr>
            </w:pPr>
          </w:p>
        </w:tc>
        <w:tc>
          <w:tcPr>
            <w:tcW w:w="260" w:type="dxa"/>
            <w:vAlign w:val="bottom"/>
            <w:vMerge w:val="continue"/>
            <w:shd w:val="clear" w:color="auto" w:fill="E5F6F8"/>
          </w:tcPr>
          <w:p>
            <w:pPr>
              <w:spacing w:after="0"/>
              <w:rPr>
                <w:sz w:val="6"/>
                <w:szCs w:val="6"/>
                <w:color w:val="auto"/>
              </w:rPr>
            </w:pPr>
          </w:p>
        </w:tc>
        <w:tc>
          <w:tcPr>
            <w:tcW w:w="1060" w:type="dxa"/>
            <w:vAlign w:val="bottom"/>
            <w:vMerge w:val="continue"/>
            <w:shd w:val="clear" w:color="auto" w:fill="E5F6F8"/>
          </w:tcPr>
          <w:p>
            <w:pPr>
              <w:spacing w:after="0"/>
              <w:rPr>
                <w:sz w:val="6"/>
                <w:szCs w:val="6"/>
                <w:color w:val="auto"/>
              </w:rPr>
            </w:pPr>
          </w:p>
        </w:tc>
        <w:tc>
          <w:tcPr>
            <w:tcW w:w="160" w:type="dxa"/>
            <w:vAlign w:val="bottom"/>
            <w:vMerge w:val="continue"/>
            <w:shd w:val="clear" w:color="auto" w:fill="E5F6F8"/>
          </w:tcPr>
          <w:p>
            <w:pPr>
              <w:spacing w:after="0"/>
              <w:rPr>
                <w:sz w:val="6"/>
                <w:szCs w:val="6"/>
                <w:color w:val="auto"/>
              </w:rPr>
            </w:pPr>
          </w:p>
        </w:tc>
        <w:tc>
          <w:tcPr>
            <w:tcW w:w="800" w:type="dxa"/>
            <w:vAlign w:val="bottom"/>
            <w:vMerge w:val="continue"/>
            <w:shd w:val="clear" w:color="auto" w:fill="E5F6F8"/>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bottom w:val="single" w:sz="8" w:color="4C4C4C"/>
            </w:tcBorders>
            <w:vMerge w:val="continue"/>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40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800" w:type="dxa"/>
            <w:vAlign w:val="bottom"/>
            <w:tcBorders>
              <w:bottom w:val="single" w:sz="8" w:color="4C4C4C"/>
            </w:tcBorders>
            <w:shd w:val="clear" w:color="auto" w:fill="E5F6F8"/>
          </w:tcPr>
          <w:p>
            <w:pPr>
              <w:spacing w:after="0"/>
              <w:rPr>
                <w:sz w:val="8"/>
                <w:szCs w:val="8"/>
                <w:color w:val="auto"/>
              </w:rPr>
            </w:pPr>
          </w:p>
        </w:tc>
        <w:tc>
          <w:tcPr>
            <w:tcW w:w="14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1160" w:type="dxa"/>
            <w:vAlign w:val="bottom"/>
            <w:tcBorders>
              <w:bottom w:val="single" w:sz="8" w:color="4C4C4C"/>
            </w:tcBorders>
            <w:shd w:val="clear" w:color="auto" w:fill="E5F6F8"/>
          </w:tcPr>
          <w:p>
            <w:pPr>
              <w:spacing w:after="0"/>
              <w:rPr>
                <w:sz w:val="8"/>
                <w:szCs w:val="8"/>
                <w:color w:val="auto"/>
              </w:rPr>
            </w:pPr>
          </w:p>
        </w:tc>
        <w:tc>
          <w:tcPr>
            <w:tcW w:w="260" w:type="dxa"/>
            <w:vAlign w:val="bottom"/>
            <w:tcBorders>
              <w:bottom w:val="single" w:sz="8" w:color="4C4C4C"/>
            </w:tcBorders>
            <w:shd w:val="clear" w:color="auto" w:fill="E5F6F8"/>
          </w:tcPr>
          <w:p>
            <w:pPr>
              <w:spacing w:after="0"/>
              <w:rPr>
                <w:sz w:val="8"/>
                <w:szCs w:val="8"/>
                <w:color w:val="auto"/>
              </w:rPr>
            </w:pPr>
          </w:p>
        </w:tc>
        <w:tc>
          <w:tcPr>
            <w:tcW w:w="106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80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300" w:type="dxa"/>
            <w:vAlign w:val="bottom"/>
          </w:tcPr>
          <w:p>
            <w:pPr>
              <w:ind w:left="120"/>
              <w:spacing w:after="0"/>
              <w:rPr>
                <w:sz w:val="20"/>
                <w:szCs w:val="20"/>
                <w:color w:val="auto"/>
              </w:rPr>
            </w:pPr>
            <w:r>
              <w:rPr>
                <w:rFonts w:ascii="Arial" w:cs="Arial" w:eastAsia="Arial" w:hAnsi="Arial"/>
                <w:sz w:val="14"/>
                <w:szCs w:val="14"/>
                <w:color w:val="4C4C4C"/>
              </w:rPr>
              <w:t>Christine DeBiase</w:t>
            </w:r>
          </w:p>
        </w:tc>
        <w:tc>
          <w:tcPr>
            <w:tcW w:w="480" w:type="dxa"/>
            <w:vAlign w:val="bottom"/>
            <w:gridSpan w:val="3"/>
          </w:tcPr>
          <w:p>
            <w:pPr>
              <w:ind w:left="100"/>
              <w:spacing w:after="0"/>
              <w:rPr>
                <w:sz w:val="20"/>
                <w:szCs w:val="20"/>
                <w:color w:val="auto"/>
              </w:rPr>
            </w:pPr>
            <w:r>
              <w:rPr>
                <w:rFonts w:ascii="Arial" w:cs="Arial" w:eastAsia="Arial" w:hAnsi="Arial"/>
                <w:sz w:val="14"/>
                <w:szCs w:val="14"/>
                <w:color w:val="4C4C4C"/>
              </w:rPr>
              <w:t>2020</w:t>
            </w:r>
          </w:p>
        </w:tc>
        <w:tc>
          <w:tcPr>
            <w:tcW w:w="740" w:type="dxa"/>
            <w:vAlign w:val="bottom"/>
          </w:tcPr>
          <w:p>
            <w:pPr>
              <w:jc w:val="center"/>
              <w:spacing w:after="0"/>
              <w:rPr>
                <w:sz w:val="20"/>
                <w:szCs w:val="20"/>
                <w:color w:val="auto"/>
              </w:rPr>
            </w:pPr>
            <w:r>
              <w:rPr>
                <w:rFonts w:ascii="Arial" w:cs="Arial" w:eastAsia="Arial" w:hAnsi="Arial"/>
                <w:sz w:val="14"/>
                <w:szCs w:val="14"/>
                <w:color w:val="4C4C4C"/>
              </w:rPr>
              <w:t>$600,000</w:t>
            </w:r>
          </w:p>
        </w:tc>
        <w:tc>
          <w:tcPr>
            <w:tcW w:w="7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1,049,968</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4C4C4C"/>
              </w:rPr>
              <w:t>$</w:t>
            </w:r>
          </w:p>
        </w:tc>
        <w:tc>
          <w:tcPr>
            <w:tcW w:w="1160" w:type="dxa"/>
            <w:vAlign w:val="bottom"/>
          </w:tcPr>
          <w:p>
            <w:pPr>
              <w:jc w:val="right"/>
              <w:spacing w:after="0"/>
              <w:rPr>
                <w:sz w:val="20"/>
                <w:szCs w:val="20"/>
                <w:color w:val="auto"/>
              </w:rPr>
            </w:pPr>
            <w:r>
              <w:rPr>
                <w:rFonts w:ascii="Arial" w:cs="Arial" w:eastAsia="Arial" w:hAnsi="Arial"/>
                <w:sz w:val="14"/>
                <w:szCs w:val="14"/>
                <w:color w:val="4C4C4C"/>
              </w:rPr>
              <w:t>924,000</w:t>
            </w:r>
          </w:p>
        </w:tc>
        <w:tc>
          <w:tcPr>
            <w:tcW w:w="260" w:type="dxa"/>
            <w:vAlign w:val="bottom"/>
          </w:tcPr>
          <w:p>
            <w:pPr>
              <w:ind w:left="60"/>
              <w:spacing w:after="0"/>
              <w:rPr>
                <w:sz w:val="20"/>
                <w:szCs w:val="20"/>
                <w:color w:val="auto"/>
              </w:rPr>
            </w:pPr>
            <w:r>
              <w:rPr>
                <w:rFonts w:ascii="Arial" w:cs="Arial" w:eastAsia="Arial" w:hAnsi="Arial"/>
                <w:sz w:val="14"/>
                <w:szCs w:val="14"/>
                <w:color w:val="4C4C4C"/>
              </w:rPr>
              <w:t>$</w:t>
            </w:r>
          </w:p>
        </w:tc>
        <w:tc>
          <w:tcPr>
            <w:tcW w:w="1060" w:type="dxa"/>
            <w:vAlign w:val="bottom"/>
          </w:tcPr>
          <w:p>
            <w:pPr>
              <w:jc w:val="right"/>
              <w:spacing w:after="0"/>
              <w:rPr>
                <w:sz w:val="20"/>
                <w:szCs w:val="20"/>
                <w:color w:val="auto"/>
              </w:rPr>
            </w:pPr>
            <w:r>
              <w:rPr>
                <w:rFonts w:ascii="Arial" w:cs="Arial" w:eastAsia="Arial" w:hAnsi="Arial"/>
                <w:sz w:val="14"/>
                <w:szCs w:val="14"/>
                <w:color w:val="4C4C4C"/>
              </w:rPr>
              <w:t>137,648</w:t>
            </w: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2,711,616</w:t>
            </w:r>
          </w:p>
        </w:tc>
        <w:tc>
          <w:tcPr>
            <w:tcW w:w="0" w:type="dxa"/>
            <w:vAlign w:val="bottom"/>
          </w:tcPr>
          <w:p>
            <w:pPr>
              <w:spacing w:after="0"/>
              <w:rPr>
                <w:sz w:val="1"/>
                <w:szCs w:val="1"/>
                <w:color w:val="auto"/>
              </w:rPr>
            </w:pPr>
          </w:p>
        </w:tc>
      </w:tr>
      <w:tr>
        <w:trPr>
          <w:trHeight w:val="49"/>
        </w:trPr>
        <w:tc>
          <w:tcPr>
            <w:tcW w:w="3300" w:type="dxa"/>
            <w:vAlign w:val="bottom"/>
            <w:vMerge w:val="restart"/>
          </w:tcPr>
          <w:p>
            <w:pPr>
              <w:ind w:left="120"/>
              <w:spacing w:after="0"/>
              <w:rPr>
                <w:sz w:val="20"/>
                <w:szCs w:val="20"/>
                <w:color w:val="auto"/>
              </w:rPr>
            </w:pPr>
            <w:r>
              <w:rPr>
                <w:rFonts w:ascii="Arial" w:cs="Arial" w:eastAsia="Arial" w:hAnsi="Arial"/>
                <w:sz w:val="14"/>
                <w:szCs w:val="14"/>
                <w:color w:val="4C4C4C"/>
              </w:rPr>
              <w:t>Executive Vice President, Chief</w:t>
            </w:r>
          </w:p>
        </w:tc>
        <w:tc>
          <w:tcPr>
            <w:tcW w:w="4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10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300" w:type="dxa"/>
            <w:vAlign w:val="bottom"/>
            <w:vMerge w:val="continue"/>
          </w:tcPr>
          <w:p>
            <w:pPr>
              <w:spacing w:after="0"/>
              <w:rPr>
                <w:sz w:val="8"/>
                <w:szCs w:val="8"/>
                <w:color w:val="auto"/>
              </w:rPr>
            </w:pPr>
          </w:p>
        </w:tc>
        <w:tc>
          <w:tcPr>
            <w:tcW w:w="480" w:type="dxa"/>
            <w:vAlign w:val="bottom"/>
            <w:gridSpan w:val="3"/>
            <w:vMerge w:val="restart"/>
          </w:tcPr>
          <w:p>
            <w:pPr>
              <w:ind w:left="100"/>
              <w:spacing w:after="0"/>
              <w:rPr>
                <w:sz w:val="20"/>
                <w:szCs w:val="20"/>
                <w:color w:val="auto"/>
              </w:rPr>
            </w:pPr>
            <w:r>
              <w:rPr>
                <w:rFonts w:ascii="Arial" w:cs="Arial" w:eastAsia="Arial" w:hAnsi="Arial"/>
                <w:sz w:val="14"/>
                <w:szCs w:val="14"/>
                <w:color w:val="4C4C4C"/>
              </w:rPr>
              <w:t>2019</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C4C4C"/>
              </w:rPr>
              <w:t>$597,692</w:t>
            </w:r>
          </w:p>
        </w:tc>
        <w:tc>
          <w:tcPr>
            <w:tcW w:w="74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1,049,968</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4C4C4C"/>
              </w:rPr>
              <w:t>1,048,779</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4C4C4C"/>
              </w:rPr>
              <w:t>147,736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2,844,175</w:t>
            </w:r>
          </w:p>
        </w:tc>
        <w:tc>
          <w:tcPr>
            <w:tcW w:w="0" w:type="dxa"/>
            <w:vAlign w:val="bottom"/>
          </w:tcPr>
          <w:p>
            <w:pPr>
              <w:spacing w:after="0"/>
              <w:rPr>
                <w:sz w:val="1"/>
                <w:szCs w:val="1"/>
                <w:color w:val="auto"/>
              </w:rPr>
            </w:pPr>
          </w:p>
        </w:tc>
      </w:tr>
      <w:tr>
        <w:trPr>
          <w:trHeight w:val="78"/>
        </w:trPr>
        <w:tc>
          <w:tcPr>
            <w:tcW w:w="3300" w:type="dxa"/>
            <w:vAlign w:val="bottom"/>
            <w:vMerge w:val="restart"/>
          </w:tcPr>
          <w:p>
            <w:pPr>
              <w:ind w:left="120"/>
              <w:spacing w:after="0" w:line="110" w:lineRule="exact"/>
              <w:rPr>
                <w:sz w:val="20"/>
                <w:szCs w:val="20"/>
                <w:color w:val="auto"/>
              </w:rPr>
            </w:pPr>
            <w:r>
              <w:rPr>
                <w:rFonts w:ascii="Arial" w:cs="Arial" w:eastAsia="Arial" w:hAnsi="Arial"/>
                <w:sz w:val="12"/>
                <w:szCs w:val="12"/>
                <w:color w:val="4C4C4C"/>
              </w:rPr>
              <w:t>Administrative Officer and General</w:t>
            </w:r>
          </w:p>
        </w:tc>
        <w:tc>
          <w:tcPr>
            <w:tcW w:w="4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3300" w:type="dxa"/>
            <w:vAlign w:val="bottom"/>
            <w:vMerge w:val="continue"/>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26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30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Counsel</w:t>
            </w:r>
          </w:p>
        </w:tc>
        <w:tc>
          <w:tcPr>
            <w:tcW w:w="480" w:type="dxa"/>
            <w:vAlign w:val="bottom"/>
            <w:tcBorders>
              <w:bottom w:val="single" w:sz="8" w:color="4C4C4C"/>
            </w:tcBorders>
            <w:gridSpan w:val="3"/>
          </w:tcPr>
          <w:p>
            <w:pPr>
              <w:ind w:left="100"/>
              <w:spacing w:after="0"/>
              <w:rPr>
                <w:sz w:val="20"/>
                <w:szCs w:val="20"/>
                <w:color w:val="auto"/>
              </w:rPr>
            </w:pPr>
            <w:r>
              <w:rPr>
                <w:rFonts w:ascii="Arial" w:cs="Arial" w:eastAsia="Arial" w:hAnsi="Arial"/>
                <w:sz w:val="14"/>
                <w:szCs w:val="14"/>
                <w:color w:val="4C4C4C"/>
              </w:rPr>
              <w:t>2018</w:t>
            </w:r>
          </w:p>
        </w:tc>
        <w:tc>
          <w:tcPr>
            <w:tcW w:w="740" w:type="dxa"/>
            <w:vAlign w:val="bottom"/>
            <w:tcBorders>
              <w:bottom w:val="single" w:sz="8" w:color="4C4C4C"/>
            </w:tcBorders>
          </w:tcPr>
          <w:p>
            <w:pPr>
              <w:jc w:val="center"/>
              <w:spacing w:after="0"/>
              <w:rPr>
                <w:sz w:val="20"/>
                <w:szCs w:val="20"/>
                <w:color w:val="auto"/>
              </w:rPr>
            </w:pPr>
            <w:r>
              <w:rPr>
                <w:rFonts w:ascii="Arial" w:cs="Arial" w:eastAsia="Arial" w:hAnsi="Arial"/>
                <w:sz w:val="14"/>
                <w:szCs w:val="14"/>
                <w:color w:val="4C4C4C"/>
              </w:rPr>
              <w:t>$597,917</w:t>
            </w:r>
          </w:p>
        </w:tc>
        <w:tc>
          <w:tcPr>
            <w:tcW w:w="740" w:type="dxa"/>
            <w:vAlign w:val="bottom"/>
            <w:tcBorders>
              <w:bottom w:val="single" w:sz="8" w:color="4C4C4C"/>
            </w:tcBorders>
          </w:tcPr>
          <w:p>
            <w:pPr>
              <w:spacing w:after="0"/>
              <w:rPr>
                <w:sz w:val="17"/>
                <w:szCs w:val="17"/>
                <w:color w:val="auto"/>
              </w:rPr>
            </w:pP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4C4C4C"/>
            </w:tcBorders>
          </w:tcPr>
          <w:p>
            <w:pPr>
              <w:jc w:val="right"/>
              <w:ind w:right="8"/>
              <w:spacing w:after="0"/>
              <w:rPr>
                <w:sz w:val="20"/>
                <w:szCs w:val="20"/>
                <w:color w:val="auto"/>
              </w:rPr>
            </w:pPr>
            <w:r>
              <w:rPr>
                <w:rFonts w:ascii="Arial" w:cs="Arial" w:eastAsia="Arial" w:hAnsi="Arial"/>
                <w:sz w:val="14"/>
                <w:szCs w:val="14"/>
                <w:color w:val="4C4C4C"/>
              </w:rPr>
              <w:t>2,378,256</w:t>
            </w:r>
          </w:p>
        </w:tc>
        <w:tc>
          <w:tcPr>
            <w:tcW w:w="14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4C4C4C"/>
                <w:w w:val="76"/>
              </w:rPr>
              <w:t>$</w:t>
            </w:r>
          </w:p>
        </w:tc>
        <w:tc>
          <w:tcPr>
            <w:tcW w:w="72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258,349</w:t>
            </w:r>
          </w:p>
        </w:tc>
        <w:tc>
          <w:tcPr>
            <w:tcW w:w="16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958,800</w:t>
            </w:r>
          </w:p>
        </w:tc>
        <w:tc>
          <w:tcPr>
            <w:tcW w:w="260" w:type="dxa"/>
            <w:vAlign w:val="bottom"/>
            <w:tcBorders>
              <w:bottom w:val="single" w:sz="8" w:color="4C4C4C"/>
            </w:tcBorders>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137,120</w:t>
            </w:r>
          </w:p>
        </w:tc>
        <w:tc>
          <w:tcPr>
            <w:tcW w:w="1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4C4C4C"/>
            </w:tcBorders>
          </w:tcPr>
          <w:p>
            <w:pPr>
              <w:jc w:val="right"/>
              <w:ind w:right="8"/>
              <w:spacing w:after="0"/>
              <w:rPr>
                <w:sz w:val="20"/>
                <w:szCs w:val="20"/>
                <w:color w:val="auto"/>
              </w:rPr>
            </w:pPr>
            <w:r>
              <w:rPr>
                <w:rFonts w:ascii="Arial" w:cs="Arial" w:eastAsia="Arial" w:hAnsi="Arial"/>
                <w:sz w:val="14"/>
                <w:szCs w:val="14"/>
                <w:color w:val="4C4C4C"/>
              </w:rPr>
              <w:t>4,330,442</w:t>
            </w:r>
          </w:p>
        </w:tc>
        <w:tc>
          <w:tcPr>
            <w:tcW w:w="0" w:type="dxa"/>
            <w:vAlign w:val="bottom"/>
          </w:tcPr>
          <w:p>
            <w:pPr>
              <w:spacing w:after="0"/>
              <w:rPr>
                <w:sz w:val="1"/>
                <w:szCs w:val="1"/>
                <w:color w:val="auto"/>
              </w:rPr>
            </w:pPr>
          </w:p>
        </w:tc>
      </w:tr>
      <w:tr>
        <w:trPr>
          <w:trHeight w:val="220"/>
        </w:trPr>
        <w:tc>
          <w:tcPr>
            <w:tcW w:w="3300" w:type="dxa"/>
            <w:vAlign w:val="bottom"/>
            <w:tcBorders>
              <w:bottom w:val="single" w:sz="8" w:color="E5F6F8"/>
            </w:tcBorders>
            <w:shd w:val="clear" w:color="auto" w:fill="E5F6F8"/>
          </w:tcPr>
          <w:p>
            <w:pPr>
              <w:ind w:left="120"/>
              <w:spacing w:after="0"/>
              <w:rPr>
                <w:sz w:val="20"/>
                <w:szCs w:val="20"/>
                <w:color w:val="auto"/>
              </w:rPr>
            </w:pPr>
            <w:r>
              <w:rPr>
                <w:rFonts w:ascii="Arial" w:cs="Arial" w:eastAsia="Arial" w:hAnsi="Arial"/>
                <w:sz w:val="14"/>
                <w:szCs w:val="14"/>
                <w:color w:val="4C4C4C"/>
              </w:rPr>
              <w:t>Conor Murphy</w:t>
            </w:r>
          </w:p>
        </w:tc>
        <w:tc>
          <w:tcPr>
            <w:tcW w:w="40" w:type="dxa"/>
            <w:vAlign w:val="bottom"/>
            <w:tcBorders>
              <w:bottom w:val="single" w:sz="8" w:color="E5F6F8"/>
            </w:tcBorders>
            <w:shd w:val="clear" w:color="auto" w:fill="E5F6F8"/>
          </w:tcPr>
          <w:p>
            <w:pPr>
              <w:spacing w:after="0"/>
              <w:rPr>
                <w:sz w:val="18"/>
                <w:szCs w:val="18"/>
                <w:color w:val="auto"/>
              </w:rPr>
            </w:pPr>
          </w:p>
        </w:tc>
        <w:tc>
          <w:tcPr>
            <w:tcW w:w="440" w:type="dxa"/>
            <w:vAlign w:val="bottom"/>
            <w:tcBorders>
              <w:bottom w:val="single" w:sz="8" w:color="E5F6F8"/>
            </w:tcBorders>
            <w:gridSpan w:val="2"/>
            <w:shd w:val="clear" w:color="auto" w:fill="E5F6F8"/>
          </w:tcPr>
          <w:p>
            <w:pPr>
              <w:ind w:left="60"/>
              <w:spacing w:after="0"/>
              <w:rPr>
                <w:sz w:val="20"/>
                <w:szCs w:val="20"/>
                <w:color w:val="auto"/>
              </w:rPr>
            </w:pPr>
            <w:r>
              <w:rPr>
                <w:rFonts w:ascii="Arial" w:cs="Arial" w:eastAsia="Arial" w:hAnsi="Arial"/>
                <w:sz w:val="14"/>
                <w:szCs w:val="14"/>
                <w:color w:val="4C4C4C"/>
              </w:rPr>
              <w:t>2020</w:t>
            </w:r>
          </w:p>
        </w:tc>
        <w:tc>
          <w:tcPr>
            <w:tcW w:w="740" w:type="dxa"/>
            <w:vAlign w:val="bottom"/>
            <w:tcBorders>
              <w:bottom w:val="single" w:sz="8" w:color="E5F6F8"/>
            </w:tcBorders>
            <w:shd w:val="clear" w:color="auto" w:fill="E5F6F8"/>
          </w:tcPr>
          <w:p>
            <w:pPr>
              <w:jc w:val="center"/>
              <w:spacing w:after="0"/>
              <w:rPr>
                <w:sz w:val="20"/>
                <w:szCs w:val="20"/>
                <w:color w:val="auto"/>
              </w:rPr>
            </w:pPr>
            <w:r>
              <w:rPr>
                <w:rFonts w:ascii="Arial" w:cs="Arial" w:eastAsia="Arial" w:hAnsi="Arial"/>
                <w:sz w:val="14"/>
                <w:szCs w:val="14"/>
                <w:color w:val="4C4C4C"/>
              </w:rPr>
              <w:t>$600,000</w:t>
            </w:r>
          </w:p>
        </w:tc>
        <w:tc>
          <w:tcPr>
            <w:tcW w:w="740" w:type="dxa"/>
            <w:vAlign w:val="bottom"/>
            <w:tcBorders>
              <w:bottom w:val="single" w:sz="8" w:color="E5F6F8"/>
            </w:tcBorders>
            <w:shd w:val="clear" w:color="auto" w:fill="E5F6F8"/>
          </w:tcPr>
          <w:p>
            <w:pPr>
              <w:spacing w:after="0"/>
              <w:rPr>
                <w:sz w:val="18"/>
                <w:szCs w:val="18"/>
                <w:color w:val="auto"/>
              </w:rPr>
            </w:pPr>
          </w:p>
        </w:tc>
        <w:tc>
          <w:tcPr>
            <w:tcW w:w="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1,139,962</w:t>
            </w:r>
          </w:p>
        </w:tc>
        <w:tc>
          <w:tcPr>
            <w:tcW w:w="140" w:type="dxa"/>
            <w:vAlign w:val="bottom"/>
            <w:tcBorders>
              <w:bottom w:val="single" w:sz="8" w:color="E5F6F8"/>
            </w:tcBorders>
            <w:shd w:val="clear" w:color="auto" w:fill="E5F6F8"/>
          </w:tcPr>
          <w:p>
            <w:pPr>
              <w:spacing w:after="0"/>
              <w:rPr>
                <w:sz w:val="18"/>
                <w:szCs w:val="18"/>
                <w:color w:val="auto"/>
              </w:rPr>
            </w:pPr>
          </w:p>
        </w:tc>
        <w:tc>
          <w:tcPr>
            <w:tcW w:w="720" w:type="dxa"/>
            <w:vAlign w:val="bottom"/>
            <w:tcBorders>
              <w:bottom w:val="single" w:sz="8" w:color="E5F6F8"/>
            </w:tcBorders>
            <w:shd w:val="clear" w:color="auto" w:fill="E5F6F8"/>
          </w:tcPr>
          <w:p>
            <w:pPr>
              <w:spacing w:after="0"/>
              <w:rPr>
                <w:sz w:val="18"/>
                <w:szCs w:val="18"/>
                <w:color w:val="auto"/>
              </w:rPr>
            </w:pPr>
          </w:p>
        </w:tc>
        <w:tc>
          <w:tcPr>
            <w:tcW w:w="160" w:type="dxa"/>
            <w:vAlign w:val="bottom"/>
            <w:tcBorders>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907,000</w:t>
            </w:r>
          </w:p>
        </w:tc>
        <w:tc>
          <w:tcPr>
            <w:tcW w:w="260" w:type="dxa"/>
            <w:vAlign w:val="bottom"/>
            <w:tcBorders>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142,460</w:t>
            </w:r>
          </w:p>
        </w:tc>
        <w:tc>
          <w:tcPr>
            <w:tcW w:w="160" w:type="dxa"/>
            <w:vAlign w:val="bottom"/>
            <w:tcBorders>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2,789,422</w:t>
            </w:r>
          </w:p>
        </w:tc>
        <w:tc>
          <w:tcPr>
            <w:tcW w:w="0" w:type="dxa"/>
            <w:vAlign w:val="bottom"/>
          </w:tcPr>
          <w:p>
            <w:pPr>
              <w:spacing w:after="0"/>
              <w:rPr>
                <w:sz w:val="1"/>
                <w:szCs w:val="1"/>
                <w:color w:val="auto"/>
              </w:rPr>
            </w:pPr>
          </w:p>
        </w:tc>
      </w:tr>
      <w:tr>
        <w:trPr>
          <w:trHeight w:val="93"/>
        </w:trPr>
        <w:tc>
          <w:tcPr>
            <w:tcW w:w="3300" w:type="dxa"/>
            <w:vAlign w:val="bottom"/>
            <w:tcBorders>
              <w:top w:val="single" w:sz="8" w:color="E5F6F8"/>
            </w:tcBorders>
            <w:shd w:val="clear" w:color="auto" w:fill="E5F6F8"/>
          </w:tcPr>
          <w:p>
            <w:pPr>
              <w:ind w:left="120"/>
              <w:spacing w:after="0" w:line="93" w:lineRule="exact"/>
              <w:rPr>
                <w:sz w:val="20"/>
                <w:szCs w:val="20"/>
                <w:color w:val="auto"/>
              </w:rPr>
            </w:pPr>
            <w:r>
              <w:rPr>
                <w:rFonts w:ascii="Arial" w:cs="Arial" w:eastAsia="Arial" w:hAnsi="Arial"/>
                <w:sz w:val="10"/>
                <w:szCs w:val="10"/>
                <w:color w:val="4C4C4C"/>
              </w:rPr>
              <w:t>Executive Vice President and Chief</w:t>
            </w:r>
          </w:p>
        </w:tc>
        <w:tc>
          <w:tcPr>
            <w:tcW w:w="40" w:type="dxa"/>
            <w:vAlign w:val="bottom"/>
            <w:tcBorders>
              <w:top w:val="single" w:sz="8" w:color="4C4C4C"/>
            </w:tcBorders>
            <w:shd w:val="clear" w:color="auto" w:fill="E5F6F8"/>
          </w:tcPr>
          <w:p>
            <w:pPr>
              <w:spacing w:after="0"/>
              <w:rPr>
                <w:sz w:val="8"/>
                <w:szCs w:val="8"/>
                <w:color w:val="auto"/>
              </w:rPr>
            </w:pPr>
          </w:p>
        </w:tc>
        <w:tc>
          <w:tcPr>
            <w:tcW w:w="40" w:type="dxa"/>
            <w:vAlign w:val="bottom"/>
            <w:tcBorders>
              <w:top w:val="single" w:sz="8" w:color="4C4C4C"/>
            </w:tcBorders>
            <w:shd w:val="clear" w:color="auto" w:fill="E5F6F8"/>
          </w:tcPr>
          <w:p>
            <w:pPr>
              <w:spacing w:after="0"/>
              <w:rPr>
                <w:sz w:val="8"/>
                <w:szCs w:val="8"/>
                <w:color w:val="auto"/>
              </w:rPr>
            </w:pPr>
          </w:p>
        </w:tc>
        <w:tc>
          <w:tcPr>
            <w:tcW w:w="400" w:type="dxa"/>
            <w:vAlign w:val="bottom"/>
            <w:tcBorders>
              <w:top w:val="single" w:sz="8" w:color="4C4C4C"/>
            </w:tcBorders>
            <w:vMerge w:val="restart"/>
            <w:shd w:val="clear" w:color="auto" w:fill="E5F6F8"/>
          </w:tcPr>
          <w:p>
            <w:pPr>
              <w:ind w:left="20"/>
              <w:spacing w:after="0"/>
              <w:rPr>
                <w:sz w:val="20"/>
                <w:szCs w:val="20"/>
                <w:color w:val="auto"/>
              </w:rPr>
            </w:pPr>
            <w:r>
              <w:rPr>
                <w:rFonts w:ascii="Arial" w:cs="Arial" w:eastAsia="Arial" w:hAnsi="Arial"/>
                <w:sz w:val="14"/>
                <w:szCs w:val="14"/>
                <w:color w:val="4C4C4C"/>
              </w:rPr>
              <w:t>2019</w:t>
            </w:r>
          </w:p>
        </w:tc>
        <w:tc>
          <w:tcPr>
            <w:tcW w:w="740" w:type="dxa"/>
            <w:vAlign w:val="bottom"/>
            <w:tcBorders>
              <w:top w:val="single" w:sz="8" w:color="4C4C4C"/>
            </w:tcBorders>
            <w:vMerge w:val="restart"/>
            <w:shd w:val="clear" w:color="auto" w:fill="E5F6F8"/>
          </w:tcPr>
          <w:p>
            <w:pPr>
              <w:jc w:val="center"/>
              <w:spacing w:after="0"/>
              <w:rPr>
                <w:sz w:val="20"/>
                <w:szCs w:val="20"/>
                <w:color w:val="auto"/>
              </w:rPr>
            </w:pPr>
            <w:r>
              <w:rPr>
                <w:rFonts w:ascii="Arial" w:cs="Arial" w:eastAsia="Arial" w:hAnsi="Arial"/>
                <w:sz w:val="14"/>
                <w:szCs w:val="14"/>
                <w:color w:val="4C4C4C"/>
              </w:rPr>
              <w:t>$597,692</w:t>
            </w:r>
          </w:p>
        </w:tc>
        <w:tc>
          <w:tcPr>
            <w:tcW w:w="740" w:type="dxa"/>
            <w:vAlign w:val="bottom"/>
            <w:tcBorders>
              <w:top w:val="single" w:sz="8" w:color="4C4C4C"/>
            </w:tcBorders>
            <w:shd w:val="clear" w:color="auto" w:fill="E5F6F8"/>
          </w:tcPr>
          <w:p>
            <w:pPr>
              <w:spacing w:after="0"/>
              <w:rPr>
                <w:sz w:val="8"/>
                <w:szCs w:val="8"/>
                <w:color w:val="auto"/>
              </w:rPr>
            </w:pPr>
          </w:p>
        </w:tc>
        <w:tc>
          <w:tcPr>
            <w:tcW w:w="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vMerge w:val="restart"/>
            <w:shd w:val="clear" w:color="auto" w:fill="E5F6F8"/>
          </w:tcPr>
          <w:p>
            <w:pPr>
              <w:jc w:val="right"/>
              <w:ind w:right="8"/>
              <w:spacing w:after="0"/>
              <w:rPr>
                <w:sz w:val="20"/>
                <w:szCs w:val="20"/>
                <w:color w:val="auto"/>
              </w:rPr>
            </w:pPr>
            <w:r>
              <w:rPr>
                <w:rFonts w:ascii="Arial" w:cs="Arial" w:eastAsia="Arial" w:hAnsi="Arial"/>
                <w:sz w:val="14"/>
                <w:szCs w:val="14"/>
                <w:color w:val="4C4C4C"/>
              </w:rPr>
              <w:t>1,139,949</w:t>
            </w:r>
          </w:p>
        </w:tc>
        <w:tc>
          <w:tcPr>
            <w:tcW w:w="140" w:type="dxa"/>
            <w:vAlign w:val="bottom"/>
            <w:tcBorders>
              <w:top w:val="single" w:sz="8" w:color="4C4C4C"/>
            </w:tcBorders>
            <w:shd w:val="clear" w:color="auto" w:fill="E5F6F8"/>
          </w:tcPr>
          <w:p>
            <w:pPr>
              <w:spacing w:after="0"/>
              <w:rPr>
                <w:sz w:val="8"/>
                <w:szCs w:val="8"/>
                <w:color w:val="auto"/>
              </w:rPr>
            </w:pPr>
          </w:p>
        </w:tc>
        <w:tc>
          <w:tcPr>
            <w:tcW w:w="720" w:type="dxa"/>
            <w:vAlign w:val="bottom"/>
            <w:tcBorders>
              <w:top w:val="single" w:sz="8" w:color="4C4C4C"/>
            </w:tcBorders>
            <w:shd w:val="clear" w:color="auto" w:fill="E5F6F8"/>
          </w:tcPr>
          <w:p>
            <w:pPr>
              <w:spacing w:after="0"/>
              <w:rPr>
                <w:sz w:val="8"/>
                <w:szCs w:val="8"/>
                <w:color w:val="auto"/>
              </w:rPr>
            </w:pPr>
          </w:p>
        </w:tc>
        <w:tc>
          <w:tcPr>
            <w:tcW w:w="160" w:type="dxa"/>
            <w:vAlign w:val="bottom"/>
            <w:tcBorders>
              <w:top w:val="single" w:sz="8" w:color="4C4C4C"/>
            </w:tcBorders>
            <w:vMerge w:val="restart"/>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1,352,823</w:t>
            </w:r>
          </w:p>
        </w:tc>
        <w:tc>
          <w:tcPr>
            <w:tcW w:w="260" w:type="dxa"/>
            <w:vAlign w:val="bottom"/>
            <w:tcBorders>
              <w:top w:val="single" w:sz="8" w:color="4C4C4C"/>
            </w:tcBorders>
            <w:vMerge w:val="restart"/>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745,707</w:t>
            </w:r>
          </w:p>
        </w:tc>
        <w:tc>
          <w:tcPr>
            <w:tcW w:w="160" w:type="dxa"/>
            <w:vAlign w:val="bottom"/>
            <w:tcBorders>
              <w:top w:val="single" w:sz="8" w:color="4C4C4C"/>
            </w:tcBorders>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vMerge w:val="restart"/>
            <w:shd w:val="clear" w:color="auto" w:fill="E5F6F8"/>
          </w:tcPr>
          <w:p>
            <w:pPr>
              <w:jc w:val="right"/>
              <w:ind w:right="8"/>
              <w:spacing w:after="0"/>
              <w:rPr>
                <w:sz w:val="20"/>
                <w:szCs w:val="20"/>
                <w:color w:val="auto"/>
              </w:rPr>
            </w:pPr>
            <w:r>
              <w:rPr>
                <w:rFonts w:ascii="Arial" w:cs="Arial" w:eastAsia="Arial" w:hAnsi="Arial"/>
                <w:sz w:val="14"/>
                <w:szCs w:val="14"/>
                <w:color w:val="4C4C4C"/>
              </w:rPr>
              <w:t>3,836,171</w:t>
            </w:r>
          </w:p>
        </w:tc>
        <w:tc>
          <w:tcPr>
            <w:tcW w:w="0" w:type="dxa"/>
            <w:vAlign w:val="bottom"/>
          </w:tcPr>
          <w:p>
            <w:pPr>
              <w:spacing w:after="0"/>
              <w:rPr>
                <w:sz w:val="1"/>
                <w:szCs w:val="1"/>
                <w:color w:val="auto"/>
              </w:rPr>
            </w:pPr>
          </w:p>
        </w:tc>
      </w:tr>
      <w:tr>
        <w:trPr>
          <w:trHeight w:val="117"/>
        </w:trPr>
        <w:tc>
          <w:tcPr>
            <w:tcW w:w="3300" w:type="dxa"/>
            <w:vAlign w:val="bottom"/>
            <w:tcBorders>
              <w:bottom w:val="single" w:sz="8" w:color="E5F6F8"/>
            </w:tcBorders>
            <w:shd w:val="clear" w:color="auto" w:fill="E5F6F8"/>
          </w:tcPr>
          <w:p>
            <w:pPr>
              <w:ind w:left="120"/>
              <w:spacing w:after="0" w:line="110" w:lineRule="exact"/>
              <w:rPr>
                <w:sz w:val="20"/>
                <w:szCs w:val="20"/>
                <w:color w:val="auto"/>
              </w:rPr>
            </w:pPr>
            <w:r>
              <w:rPr>
                <w:rFonts w:ascii="Arial" w:cs="Arial" w:eastAsia="Arial" w:hAnsi="Arial"/>
                <w:sz w:val="12"/>
                <w:szCs w:val="12"/>
                <w:color w:val="4C4C4C"/>
              </w:rPr>
              <w:t>Operating Officer</w:t>
            </w:r>
          </w:p>
        </w:tc>
        <w:tc>
          <w:tcPr>
            <w:tcW w:w="40" w:type="dxa"/>
            <w:vAlign w:val="bottom"/>
            <w:tcBorders>
              <w:bottom w:val="single" w:sz="8" w:color="E5F6F8"/>
            </w:tcBorders>
            <w:shd w:val="clear" w:color="auto" w:fill="E5F6F8"/>
          </w:tcPr>
          <w:p>
            <w:pPr>
              <w:spacing w:after="0"/>
              <w:rPr>
                <w:sz w:val="10"/>
                <w:szCs w:val="10"/>
                <w:color w:val="auto"/>
              </w:rPr>
            </w:pPr>
          </w:p>
        </w:tc>
        <w:tc>
          <w:tcPr>
            <w:tcW w:w="40" w:type="dxa"/>
            <w:vAlign w:val="bottom"/>
            <w:tcBorders>
              <w:bottom w:val="single" w:sz="8" w:color="E5F6F8"/>
            </w:tcBorders>
            <w:shd w:val="clear" w:color="auto" w:fill="E5F6F8"/>
          </w:tcPr>
          <w:p>
            <w:pPr>
              <w:spacing w:after="0"/>
              <w:rPr>
                <w:sz w:val="10"/>
                <w:szCs w:val="10"/>
                <w:color w:val="auto"/>
              </w:rPr>
            </w:pPr>
          </w:p>
        </w:tc>
        <w:tc>
          <w:tcPr>
            <w:tcW w:w="400" w:type="dxa"/>
            <w:vAlign w:val="bottom"/>
            <w:tcBorders>
              <w:bottom w:val="single" w:sz="8" w:color="E5F6F8"/>
            </w:tcBorders>
            <w:vMerge w:val="continue"/>
            <w:shd w:val="clear" w:color="auto" w:fill="E5F6F8"/>
          </w:tcPr>
          <w:p>
            <w:pPr>
              <w:spacing w:after="0"/>
              <w:rPr>
                <w:sz w:val="10"/>
                <w:szCs w:val="10"/>
                <w:color w:val="auto"/>
              </w:rPr>
            </w:pPr>
          </w:p>
        </w:tc>
        <w:tc>
          <w:tcPr>
            <w:tcW w:w="740" w:type="dxa"/>
            <w:vAlign w:val="bottom"/>
            <w:tcBorders>
              <w:bottom w:val="single" w:sz="8" w:color="E5F6F8"/>
            </w:tcBorders>
            <w:vMerge w:val="continue"/>
            <w:shd w:val="clear" w:color="auto" w:fill="E5F6F8"/>
          </w:tcPr>
          <w:p>
            <w:pPr>
              <w:spacing w:after="0"/>
              <w:rPr>
                <w:sz w:val="10"/>
                <w:szCs w:val="10"/>
                <w:color w:val="auto"/>
              </w:rPr>
            </w:pPr>
          </w:p>
        </w:tc>
        <w:tc>
          <w:tcPr>
            <w:tcW w:w="740" w:type="dxa"/>
            <w:vAlign w:val="bottom"/>
            <w:tcBorders>
              <w:bottom w:val="single" w:sz="8" w:color="E5F6F8"/>
            </w:tcBorders>
            <w:shd w:val="clear" w:color="auto" w:fill="E5F6F8"/>
          </w:tcPr>
          <w:p>
            <w:pPr>
              <w:spacing w:after="0"/>
              <w:rPr>
                <w:sz w:val="10"/>
                <w:szCs w:val="10"/>
                <w:color w:val="auto"/>
              </w:rPr>
            </w:pPr>
          </w:p>
        </w:tc>
        <w:tc>
          <w:tcPr>
            <w:tcW w:w="160" w:type="dxa"/>
            <w:vAlign w:val="bottom"/>
            <w:tcBorders>
              <w:bottom w:val="single" w:sz="8" w:color="E5F6F8"/>
            </w:tcBorders>
            <w:vMerge w:val="continue"/>
            <w:shd w:val="clear" w:color="auto" w:fill="E5F6F8"/>
          </w:tcPr>
          <w:p>
            <w:pPr>
              <w:spacing w:after="0"/>
              <w:rPr>
                <w:sz w:val="10"/>
                <w:szCs w:val="10"/>
                <w:color w:val="auto"/>
              </w:rPr>
            </w:pPr>
          </w:p>
        </w:tc>
        <w:tc>
          <w:tcPr>
            <w:tcW w:w="800" w:type="dxa"/>
            <w:vAlign w:val="bottom"/>
            <w:tcBorders>
              <w:bottom w:val="single" w:sz="8" w:color="E5F6F8"/>
            </w:tcBorders>
            <w:vMerge w:val="continue"/>
            <w:shd w:val="clear" w:color="auto" w:fill="E5F6F8"/>
          </w:tcPr>
          <w:p>
            <w:pPr>
              <w:spacing w:after="0"/>
              <w:rPr>
                <w:sz w:val="10"/>
                <w:szCs w:val="10"/>
                <w:color w:val="auto"/>
              </w:rPr>
            </w:pPr>
          </w:p>
        </w:tc>
        <w:tc>
          <w:tcPr>
            <w:tcW w:w="140" w:type="dxa"/>
            <w:vAlign w:val="bottom"/>
            <w:tcBorders>
              <w:bottom w:val="single" w:sz="8" w:color="E5F6F8"/>
            </w:tcBorders>
            <w:shd w:val="clear" w:color="auto" w:fill="E5F6F8"/>
          </w:tcPr>
          <w:p>
            <w:pPr>
              <w:spacing w:after="0"/>
              <w:rPr>
                <w:sz w:val="10"/>
                <w:szCs w:val="10"/>
                <w:color w:val="auto"/>
              </w:rPr>
            </w:pPr>
          </w:p>
        </w:tc>
        <w:tc>
          <w:tcPr>
            <w:tcW w:w="720" w:type="dxa"/>
            <w:vAlign w:val="bottom"/>
            <w:tcBorders>
              <w:bottom w:val="single" w:sz="8" w:color="E5F6F8"/>
            </w:tcBorders>
            <w:shd w:val="clear" w:color="auto" w:fill="E5F6F8"/>
          </w:tcPr>
          <w:p>
            <w:pPr>
              <w:spacing w:after="0"/>
              <w:rPr>
                <w:sz w:val="10"/>
                <w:szCs w:val="10"/>
                <w:color w:val="auto"/>
              </w:rPr>
            </w:pPr>
          </w:p>
        </w:tc>
        <w:tc>
          <w:tcPr>
            <w:tcW w:w="160" w:type="dxa"/>
            <w:vAlign w:val="bottom"/>
            <w:tcBorders>
              <w:bottom w:val="single" w:sz="8" w:color="E5F6F8"/>
            </w:tcBorders>
            <w:vMerge w:val="continue"/>
            <w:shd w:val="clear" w:color="auto" w:fill="E5F6F8"/>
          </w:tcPr>
          <w:p>
            <w:pPr>
              <w:spacing w:after="0"/>
              <w:rPr>
                <w:sz w:val="10"/>
                <w:szCs w:val="10"/>
                <w:color w:val="auto"/>
              </w:rPr>
            </w:pPr>
          </w:p>
        </w:tc>
        <w:tc>
          <w:tcPr>
            <w:tcW w:w="1160" w:type="dxa"/>
            <w:vAlign w:val="bottom"/>
            <w:tcBorders>
              <w:bottom w:val="single" w:sz="8" w:color="E5F6F8"/>
            </w:tcBorders>
            <w:vMerge w:val="continue"/>
            <w:shd w:val="clear" w:color="auto" w:fill="E5F6F8"/>
          </w:tcPr>
          <w:p>
            <w:pPr>
              <w:spacing w:after="0"/>
              <w:rPr>
                <w:sz w:val="10"/>
                <w:szCs w:val="10"/>
                <w:color w:val="auto"/>
              </w:rPr>
            </w:pPr>
          </w:p>
        </w:tc>
        <w:tc>
          <w:tcPr>
            <w:tcW w:w="260" w:type="dxa"/>
            <w:vAlign w:val="bottom"/>
            <w:tcBorders>
              <w:bottom w:val="single" w:sz="8" w:color="E5F6F8"/>
            </w:tcBorders>
            <w:vMerge w:val="continue"/>
            <w:shd w:val="clear" w:color="auto" w:fill="E5F6F8"/>
          </w:tcPr>
          <w:p>
            <w:pPr>
              <w:spacing w:after="0"/>
              <w:rPr>
                <w:sz w:val="10"/>
                <w:szCs w:val="10"/>
                <w:color w:val="auto"/>
              </w:rPr>
            </w:pPr>
          </w:p>
        </w:tc>
        <w:tc>
          <w:tcPr>
            <w:tcW w:w="1060" w:type="dxa"/>
            <w:vAlign w:val="bottom"/>
            <w:tcBorders>
              <w:bottom w:val="single" w:sz="8" w:color="E5F6F8"/>
            </w:tcBorders>
            <w:vMerge w:val="continue"/>
            <w:shd w:val="clear" w:color="auto" w:fill="E5F6F8"/>
          </w:tcPr>
          <w:p>
            <w:pPr>
              <w:spacing w:after="0"/>
              <w:rPr>
                <w:sz w:val="10"/>
                <w:szCs w:val="10"/>
                <w:color w:val="auto"/>
              </w:rPr>
            </w:pPr>
          </w:p>
        </w:tc>
        <w:tc>
          <w:tcPr>
            <w:tcW w:w="160" w:type="dxa"/>
            <w:vAlign w:val="bottom"/>
            <w:tcBorders>
              <w:bottom w:val="single" w:sz="8" w:color="E5F6F8"/>
            </w:tcBorders>
            <w:vMerge w:val="continue"/>
            <w:shd w:val="clear" w:color="auto" w:fill="E5F6F8"/>
          </w:tcPr>
          <w:p>
            <w:pPr>
              <w:spacing w:after="0"/>
              <w:rPr>
                <w:sz w:val="10"/>
                <w:szCs w:val="10"/>
                <w:color w:val="auto"/>
              </w:rPr>
            </w:pPr>
          </w:p>
        </w:tc>
        <w:tc>
          <w:tcPr>
            <w:tcW w:w="800" w:type="dxa"/>
            <w:vAlign w:val="bottom"/>
            <w:tcBorders>
              <w:bottom w:val="single" w:sz="8" w:color="E5F6F8"/>
            </w:tcBorders>
            <w:vMerge w:val="continue"/>
            <w:shd w:val="clear" w:color="auto" w:fill="E5F6F8"/>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300" w:type="dxa"/>
            <w:vAlign w:val="bottom"/>
            <w:tcBorders>
              <w:top w:val="single" w:sz="8" w:color="E5F6F8"/>
              <w:bottom w:val="single" w:sz="8" w:color="E5F6F8"/>
            </w:tcBorders>
            <w:shd w:val="clear" w:color="auto" w:fill="E5F6F8"/>
          </w:tcPr>
          <w:p>
            <w:pPr>
              <w:spacing w:after="0"/>
              <w:rPr>
                <w:sz w:val="18"/>
                <w:szCs w:val="18"/>
                <w:color w:val="auto"/>
              </w:rPr>
            </w:pPr>
          </w:p>
        </w:tc>
        <w:tc>
          <w:tcPr>
            <w:tcW w:w="40" w:type="dxa"/>
            <w:vAlign w:val="bottom"/>
            <w:tcBorders>
              <w:top w:val="single" w:sz="8" w:color="4C4C4C"/>
              <w:bottom w:val="single" w:sz="8" w:color="E5F6F8"/>
            </w:tcBorders>
            <w:shd w:val="clear" w:color="auto" w:fill="E5F6F8"/>
          </w:tcPr>
          <w:p>
            <w:pPr>
              <w:spacing w:after="0"/>
              <w:rPr>
                <w:sz w:val="18"/>
                <w:szCs w:val="18"/>
                <w:color w:val="auto"/>
              </w:rPr>
            </w:pPr>
          </w:p>
        </w:tc>
        <w:tc>
          <w:tcPr>
            <w:tcW w:w="40" w:type="dxa"/>
            <w:vAlign w:val="bottom"/>
            <w:tcBorders>
              <w:top w:val="single" w:sz="8" w:color="4C4C4C"/>
              <w:bottom w:val="single" w:sz="8" w:color="E5F6F8"/>
            </w:tcBorders>
            <w:shd w:val="clear" w:color="auto" w:fill="E5F6F8"/>
          </w:tcPr>
          <w:p>
            <w:pPr>
              <w:spacing w:after="0"/>
              <w:rPr>
                <w:sz w:val="18"/>
                <w:szCs w:val="18"/>
                <w:color w:val="auto"/>
              </w:rPr>
            </w:pPr>
          </w:p>
        </w:tc>
        <w:tc>
          <w:tcPr>
            <w:tcW w:w="400" w:type="dxa"/>
            <w:vAlign w:val="bottom"/>
            <w:tcBorders>
              <w:top w:val="single" w:sz="8" w:color="4C4C4C"/>
              <w:bottom w:val="single" w:sz="8" w:color="E5F6F8"/>
            </w:tcBorders>
            <w:shd w:val="clear" w:color="auto" w:fill="E5F6F8"/>
          </w:tcPr>
          <w:p>
            <w:pPr>
              <w:ind w:left="20"/>
              <w:spacing w:after="0"/>
              <w:rPr>
                <w:sz w:val="20"/>
                <w:szCs w:val="20"/>
                <w:color w:val="auto"/>
              </w:rPr>
            </w:pPr>
            <w:r>
              <w:rPr>
                <w:rFonts w:ascii="Arial" w:cs="Arial" w:eastAsia="Arial" w:hAnsi="Arial"/>
                <w:sz w:val="14"/>
                <w:szCs w:val="14"/>
                <w:color w:val="4C4C4C"/>
              </w:rPr>
              <w:t>2018</w:t>
            </w:r>
          </w:p>
        </w:tc>
        <w:tc>
          <w:tcPr>
            <w:tcW w:w="740" w:type="dxa"/>
            <w:vAlign w:val="bottom"/>
            <w:tcBorders>
              <w:top w:val="single" w:sz="8" w:color="4C4C4C"/>
              <w:bottom w:val="single" w:sz="8" w:color="E5F6F8"/>
            </w:tcBorders>
            <w:shd w:val="clear" w:color="auto" w:fill="E5F6F8"/>
          </w:tcPr>
          <w:p>
            <w:pPr>
              <w:jc w:val="center"/>
              <w:spacing w:after="0"/>
              <w:rPr>
                <w:sz w:val="20"/>
                <w:szCs w:val="20"/>
                <w:color w:val="auto"/>
              </w:rPr>
            </w:pPr>
            <w:r>
              <w:rPr>
                <w:rFonts w:ascii="Arial" w:cs="Arial" w:eastAsia="Arial" w:hAnsi="Arial"/>
                <w:sz w:val="14"/>
                <w:szCs w:val="14"/>
                <w:color w:val="4C4C4C"/>
              </w:rPr>
              <w:t>$557,500</w:t>
            </w:r>
          </w:p>
        </w:tc>
        <w:tc>
          <w:tcPr>
            <w:tcW w:w="740" w:type="dxa"/>
            <w:vAlign w:val="bottom"/>
            <w:tcBorders>
              <w:top w:val="single" w:sz="8" w:color="4C4C4C"/>
              <w:bottom w:val="single" w:sz="8" w:color="E5F6F8"/>
            </w:tcBorders>
            <w:shd w:val="clear" w:color="auto" w:fill="E5F6F8"/>
          </w:tcPr>
          <w:p>
            <w:pPr>
              <w:spacing w:after="0"/>
              <w:rPr>
                <w:sz w:val="18"/>
                <w:szCs w:val="18"/>
                <w:color w:val="auto"/>
              </w:rPr>
            </w:pPr>
          </w:p>
        </w:tc>
        <w:tc>
          <w:tcPr>
            <w:tcW w:w="160" w:type="dxa"/>
            <w:vAlign w:val="bottom"/>
            <w:tcBorders>
              <w:top w:val="single" w:sz="8" w:color="4C4C4C"/>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1,811,638</w:t>
            </w:r>
          </w:p>
        </w:tc>
        <w:tc>
          <w:tcPr>
            <w:tcW w:w="140" w:type="dxa"/>
            <w:vAlign w:val="bottom"/>
            <w:tcBorders>
              <w:top w:val="single" w:sz="8" w:color="4C4C4C"/>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w w:val="76"/>
              </w:rPr>
              <w:t>$</w:t>
            </w:r>
          </w:p>
        </w:tc>
        <w:tc>
          <w:tcPr>
            <w:tcW w:w="720" w:type="dxa"/>
            <w:vAlign w:val="bottom"/>
            <w:tcBorders>
              <w:top w:val="single" w:sz="8" w:color="4C4C4C"/>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198,333</w:t>
            </w:r>
          </w:p>
        </w:tc>
        <w:tc>
          <w:tcPr>
            <w:tcW w:w="160" w:type="dxa"/>
            <w:vAlign w:val="bottom"/>
            <w:tcBorders>
              <w:top w:val="single" w:sz="8" w:color="4C4C4C"/>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top w:val="single" w:sz="8" w:color="4C4C4C"/>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1,095,097</w:t>
            </w:r>
          </w:p>
        </w:tc>
        <w:tc>
          <w:tcPr>
            <w:tcW w:w="260" w:type="dxa"/>
            <w:vAlign w:val="bottom"/>
            <w:tcBorders>
              <w:top w:val="single" w:sz="8" w:color="4C4C4C"/>
              <w:bottom w:val="single" w:sz="8" w:color="E5F6F8"/>
            </w:tcBorders>
            <w:shd w:val="clear" w:color="auto" w:fill="E5F6F8"/>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top w:val="single" w:sz="8" w:color="4C4C4C"/>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218,113</w:t>
            </w:r>
          </w:p>
        </w:tc>
        <w:tc>
          <w:tcPr>
            <w:tcW w:w="160" w:type="dxa"/>
            <w:vAlign w:val="bottom"/>
            <w:tcBorders>
              <w:top w:val="single" w:sz="8" w:color="4C4C4C"/>
              <w:bottom w:val="single" w:sz="8" w:color="E5F6F8"/>
            </w:tcBorders>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bottom w:val="single" w:sz="8" w:color="E5F6F8"/>
            </w:tcBorders>
            <w:shd w:val="clear" w:color="auto" w:fill="E5F6F8"/>
          </w:tcPr>
          <w:p>
            <w:pPr>
              <w:jc w:val="right"/>
              <w:ind w:right="8"/>
              <w:spacing w:after="0"/>
              <w:rPr>
                <w:sz w:val="20"/>
                <w:szCs w:val="20"/>
                <w:color w:val="auto"/>
              </w:rPr>
            </w:pPr>
            <w:r>
              <w:rPr>
                <w:rFonts w:ascii="Arial" w:cs="Arial" w:eastAsia="Arial" w:hAnsi="Arial"/>
                <w:sz w:val="14"/>
                <w:szCs w:val="14"/>
                <w:color w:val="4C4C4C"/>
              </w:rPr>
              <w:t>3,880,681</w:t>
            </w:r>
          </w:p>
        </w:tc>
        <w:tc>
          <w:tcPr>
            <w:tcW w:w="0" w:type="dxa"/>
            <w:vAlign w:val="bottom"/>
          </w:tcPr>
          <w:p>
            <w:pPr>
              <w:spacing w:after="0"/>
              <w:rPr>
                <w:sz w:val="1"/>
                <w:szCs w:val="1"/>
                <w:color w:val="auto"/>
              </w:rPr>
            </w:pPr>
          </w:p>
        </w:tc>
      </w:tr>
      <w:tr>
        <w:trPr>
          <w:trHeight w:val="160"/>
        </w:trPr>
        <w:tc>
          <w:tcPr>
            <w:tcW w:w="3300" w:type="dxa"/>
            <w:vAlign w:val="bottom"/>
            <w:tcBorders>
              <w:top w:val="single" w:sz="8" w:color="4C4C4C"/>
            </w:tcBorders>
          </w:tcPr>
          <w:p>
            <w:pPr>
              <w:ind w:left="120"/>
              <w:spacing w:after="0"/>
              <w:rPr>
                <w:sz w:val="20"/>
                <w:szCs w:val="20"/>
                <w:color w:val="auto"/>
              </w:rPr>
            </w:pPr>
            <w:r>
              <w:rPr>
                <w:rFonts w:ascii="Arial" w:cs="Arial" w:eastAsia="Arial" w:hAnsi="Arial"/>
                <w:sz w:val="14"/>
                <w:szCs w:val="14"/>
                <w:color w:val="4C4C4C"/>
              </w:rPr>
              <w:t>John Rosenthal</w:t>
            </w:r>
          </w:p>
        </w:tc>
        <w:tc>
          <w:tcPr>
            <w:tcW w:w="480" w:type="dxa"/>
            <w:vAlign w:val="bottom"/>
            <w:tcBorders>
              <w:top w:val="single" w:sz="8" w:color="4C4C4C"/>
            </w:tcBorders>
            <w:gridSpan w:val="3"/>
          </w:tcPr>
          <w:p>
            <w:pPr>
              <w:ind w:left="100"/>
              <w:spacing w:after="0"/>
              <w:rPr>
                <w:sz w:val="20"/>
                <w:szCs w:val="20"/>
                <w:color w:val="auto"/>
              </w:rPr>
            </w:pPr>
            <w:r>
              <w:rPr>
                <w:rFonts w:ascii="Arial" w:cs="Arial" w:eastAsia="Arial" w:hAnsi="Arial"/>
                <w:sz w:val="14"/>
                <w:szCs w:val="14"/>
                <w:color w:val="4C4C4C"/>
              </w:rPr>
              <w:t>2020</w:t>
            </w:r>
          </w:p>
        </w:tc>
        <w:tc>
          <w:tcPr>
            <w:tcW w:w="740" w:type="dxa"/>
            <w:vAlign w:val="bottom"/>
            <w:tcBorders>
              <w:top w:val="single" w:sz="8" w:color="4C4C4C"/>
            </w:tcBorders>
          </w:tcPr>
          <w:p>
            <w:pPr>
              <w:jc w:val="center"/>
              <w:spacing w:after="0"/>
              <w:rPr>
                <w:sz w:val="20"/>
                <w:szCs w:val="20"/>
                <w:color w:val="auto"/>
              </w:rPr>
            </w:pPr>
            <w:r>
              <w:rPr>
                <w:rFonts w:ascii="Arial" w:cs="Arial" w:eastAsia="Arial" w:hAnsi="Arial"/>
                <w:sz w:val="14"/>
                <w:szCs w:val="14"/>
                <w:color w:val="4C4C4C"/>
              </w:rPr>
              <w:t>$550,000</w:t>
            </w:r>
          </w:p>
        </w:tc>
        <w:tc>
          <w:tcPr>
            <w:tcW w:w="740" w:type="dxa"/>
            <w:vAlign w:val="bottom"/>
            <w:tcBorders>
              <w:top w:val="single" w:sz="8" w:color="4C4C4C"/>
            </w:tcBorders>
          </w:tcPr>
          <w:p>
            <w:pPr>
              <w:spacing w:after="0"/>
              <w:rPr>
                <w:sz w:val="13"/>
                <w:szCs w:val="13"/>
                <w:color w:val="auto"/>
              </w:rPr>
            </w:pPr>
          </w:p>
        </w:tc>
        <w:tc>
          <w:tcPr>
            <w:tcW w:w="160" w:type="dxa"/>
            <w:vAlign w:val="bottom"/>
            <w:tcBorders>
              <w:top w:val="single" w:sz="8" w:color="4C4C4C"/>
            </w:tcBorders>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tcPr>
          <w:p>
            <w:pPr>
              <w:jc w:val="right"/>
              <w:ind w:right="8"/>
              <w:spacing w:after="0"/>
              <w:rPr>
                <w:sz w:val="20"/>
                <w:szCs w:val="20"/>
                <w:color w:val="auto"/>
              </w:rPr>
            </w:pPr>
            <w:r>
              <w:rPr>
                <w:rFonts w:ascii="Arial" w:cs="Arial" w:eastAsia="Arial" w:hAnsi="Arial"/>
                <w:sz w:val="14"/>
                <w:szCs w:val="14"/>
                <w:color w:val="4C4C4C"/>
              </w:rPr>
              <w:t>1,374,929</w:t>
            </w:r>
          </w:p>
        </w:tc>
        <w:tc>
          <w:tcPr>
            <w:tcW w:w="140" w:type="dxa"/>
            <w:vAlign w:val="bottom"/>
            <w:tcBorders>
              <w:top w:val="single" w:sz="8" w:color="4C4C4C"/>
            </w:tcBorders>
          </w:tcPr>
          <w:p>
            <w:pPr>
              <w:spacing w:after="0"/>
              <w:rPr>
                <w:sz w:val="13"/>
                <w:szCs w:val="13"/>
                <w:color w:val="auto"/>
              </w:rPr>
            </w:pPr>
          </w:p>
        </w:tc>
        <w:tc>
          <w:tcPr>
            <w:tcW w:w="720" w:type="dxa"/>
            <w:vAlign w:val="bottom"/>
            <w:tcBorders>
              <w:top w:val="single" w:sz="8" w:color="4C4C4C"/>
            </w:tcBorders>
          </w:tcPr>
          <w:p>
            <w:pPr>
              <w:spacing w:after="0"/>
              <w:rPr>
                <w:sz w:val="13"/>
                <w:szCs w:val="13"/>
                <w:color w:val="auto"/>
              </w:rPr>
            </w:pPr>
          </w:p>
        </w:tc>
        <w:tc>
          <w:tcPr>
            <w:tcW w:w="160" w:type="dxa"/>
            <w:vAlign w:val="bottom"/>
            <w:tcBorders>
              <w:top w:val="single" w:sz="8" w:color="4C4C4C"/>
            </w:tcBorders>
          </w:tcPr>
          <w:p>
            <w:pPr>
              <w:ind w:left="60"/>
              <w:spacing w:after="0"/>
              <w:rPr>
                <w:sz w:val="20"/>
                <w:szCs w:val="20"/>
                <w:color w:val="auto"/>
              </w:rPr>
            </w:pPr>
            <w:r>
              <w:rPr>
                <w:rFonts w:ascii="Arial" w:cs="Arial" w:eastAsia="Arial" w:hAnsi="Arial"/>
                <w:sz w:val="14"/>
                <w:szCs w:val="14"/>
                <w:color w:val="4C4C4C"/>
              </w:rPr>
              <w:t>$</w:t>
            </w:r>
          </w:p>
        </w:tc>
        <w:tc>
          <w:tcPr>
            <w:tcW w:w="1160" w:type="dxa"/>
            <w:vAlign w:val="bottom"/>
            <w:tcBorders>
              <w:top w:val="single" w:sz="8" w:color="4C4C4C"/>
            </w:tcBorders>
          </w:tcPr>
          <w:p>
            <w:pPr>
              <w:jc w:val="right"/>
              <w:spacing w:after="0"/>
              <w:rPr>
                <w:sz w:val="20"/>
                <w:szCs w:val="20"/>
                <w:color w:val="auto"/>
              </w:rPr>
            </w:pPr>
            <w:r>
              <w:rPr>
                <w:rFonts w:ascii="Arial" w:cs="Arial" w:eastAsia="Arial" w:hAnsi="Arial"/>
                <w:sz w:val="14"/>
                <w:szCs w:val="14"/>
                <w:color w:val="4C4C4C"/>
              </w:rPr>
              <w:t>1,179,750</w:t>
            </w:r>
          </w:p>
        </w:tc>
        <w:tc>
          <w:tcPr>
            <w:tcW w:w="260" w:type="dxa"/>
            <w:vAlign w:val="bottom"/>
            <w:tcBorders>
              <w:top w:val="single" w:sz="8" w:color="4C4C4C"/>
            </w:tcBorders>
          </w:tcPr>
          <w:p>
            <w:pPr>
              <w:ind w:left="60"/>
              <w:spacing w:after="0"/>
              <w:rPr>
                <w:sz w:val="20"/>
                <w:szCs w:val="20"/>
                <w:color w:val="auto"/>
              </w:rPr>
            </w:pPr>
            <w:r>
              <w:rPr>
                <w:rFonts w:ascii="Arial" w:cs="Arial" w:eastAsia="Arial" w:hAnsi="Arial"/>
                <w:sz w:val="14"/>
                <w:szCs w:val="14"/>
                <w:color w:val="4C4C4C"/>
              </w:rPr>
              <w:t>$</w:t>
            </w:r>
          </w:p>
        </w:tc>
        <w:tc>
          <w:tcPr>
            <w:tcW w:w="1060" w:type="dxa"/>
            <w:vAlign w:val="bottom"/>
            <w:tcBorders>
              <w:top w:val="single" w:sz="8" w:color="4C4C4C"/>
            </w:tcBorders>
          </w:tcPr>
          <w:p>
            <w:pPr>
              <w:jc w:val="right"/>
              <w:spacing w:after="0"/>
              <w:rPr>
                <w:sz w:val="20"/>
                <w:szCs w:val="20"/>
                <w:color w:val="auto"/>
              </w:rPr>
            </w:pPr>
            <w:r>
              <w:rPr>
                <w:rFonts w:ascii="Arial" w:cs="Arial" w:eastAsia="Arial" w:hAnsi="Arial"/>
                <w:sz w:val="14"/>
                <w:szCs w:val="14"/>
                <w:color w:val="4C4C4C"/>
              </w:rPr>
              <w:t>163,721</w:t>
            </w:r>
          </w:p>
        </w:tc>
        <w:tc>
          <w:tcPr>
            <w:tcW w:w="160" w:type="dxa"/>
            <w:vAlign w:val="bottom"/>
            <w:tcBorders>
              <w:top w:val="single" w:sz="8" w:color="4C4C4C"/>
            </w:tcBorders>
          </w:tcPr>
          <w:p>
            <w:pPr>
              <w:jc w:val="right"/>
              <w:spacing w:after="0"/>
              <w:rPr>
                <w:sz w:val="20"/>
                <w:szCs w:val="20"/>
                <w:color w:val="auto"/>
              </w:rPr>
            </w:pPr>
            <w:r>
              <w:rPr>
                <w:rFonts w:ascii="Arial" w:cs="Arial" w:eastAsia="Arial" w:hAnsi="Arial"/>
                <w:sz w:val="14"/>
                <w:szCs w:val="14"/>
                <w:color w:val="4C4C4C"/>
              </w:rPr>
              <w:t>$</w:t>
            </w:r>
          </w:p>
        </w:tc>
        <w:tc>
          <w:tcPr>
            <w:tcW w:w="800" w:type="dxa"/>
            <w:vAlign w:val="bottom"/>
            <w:tcBorders>
              <w:top w:val="single" w:sz="8" w:color="4C4C4C"/>
            </w:tcBorders>
          </w:tcPr>
          <w:p>
            <w:pPr>
              <w:jc w:val="right"/>
              <w:ind w:right="8"/>
              <w:spacing w:after="0"/>
              <w:rPr>
                <w:sz w:val="20"/>
                <w:szCs w:val="20"/>
                <w:color w:val="auto"/>
              </w:rPr>
            </w:pPr>
            <w:r>
              <w:rPr>
                <w:rFonts w:ascii="Arial" w:cs="Arial" w:eastAsia="Arial" w:hAnsi="Arial"/>
                <w:sz w:val="14"/>
                <w:szCs w:val="14"/>
                <w:color w:val="4C4C4C"/>
              </w:rPr>
              <w:t>3,268,400</w:t>
            </w:r>
          </w:p>
        </w:tc>
        <w:tc>
          <w:tcPr>
            <w:tcW w:w="0" w:type="dxa"/>
            <w:vAlign w:val="bottom"/>
          </w:tcPr>
          <w:p>
            <w:pPr>
              <w:spacing w:after="0"/>
              <w:rPr>
                <w:sz w:val="1"/>
                <w:szCs w:val="1"/>
                <w:color w:val="auto"/>
              </w:rPr>
            </w:pPr>
          </w:p>
        </w:tc>
      </w:tr>
      <w:tr>
        <w:trPr>
          <w:trHeight w:val="49"/>
        </w:trPr>
        <w:tc>
          <w:tcPr>
            <w:tcW w:w="3300" w:type="dxa"/>
            <w:vAlign w:val="bottom"/>
            <w:vMerge w:val="restart"/>
          </w:tcPr>
          <w:p>
            <w:pPr>
              <w:ind w:left="120"/>
              <w:spacing w:after="0"/>
              <w:rPr>
                <w:sz w:val="20"/>
                <w:szCs w:val="20"/>
                <w:color w:val="auto"/>
              </w:rPr>
            </w:pPr>
            <w:r>
              <w:rPr>
                <w:rFonts w:ascii="Arial" w:cs="Arial" w:eastAsia="Arial" w:hAnsi="Arial"/>
                <w:sz w:val="14"/>
                <w:szCs w:val="14"/>
                <w:color w:val="4C4C4C"/>
              </w:rPr>
              <w:t>Executive Vice President and Chief</w:t>
            </w:r>
          </w:p>
        </w:tc>
        <w:tc>
          <w:tcPr>
            <w:tcW w:w="4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10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300" w:type="dxa"/>
            <w:vAlign w:val="bottom"/>
            <w:vMerge w:val="continue"/>
          </w:tcPr>
          <w:p>
            <w:pPr>
              <w:spacing w:after="0"/>
              <w:rPr>
                <w:sz w:val="8"/>
                <w:szCs w:val="8"/>
                <w:color w:val="auto"/>
              </w:rPr>
            </w:pPr>
          </w:p>
        </w:tc>
        <w:tc>
          <w:tcPr>
            <w:tcW w:w="480" w:type="dxa"/>
            <w:vAlign w:val="bottom"/>
            <w:gridSpan w:val="3"/>
            <w:vMerge w:val="restart"/>
          </w:tcPr>
          <w:p>
            <w:pPr>
              <w:ind w:left="100"/>
              <w:spacing w:after="0"/>
              <w:rPr>
                <w:sz w:val="20"/>
                <w:szCs w:val="20"/>
                <w:color w:val="auto"/>
              </w:rPr>
            </w:pPr>
            <w:r>
              <w:rPr>
                <w:rFonts w:ascii="Arial" w:cs="Arial" w:eastAsia="Arial" w:hAnsi="Arial"/>
                <w:sz w:val="14"/>
                <w:szCs w:val="14"/>
                <w:color w:val="4C4C4C"/>
              </w:rPr>
              <w:t>2019</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C4C4C"/>
              </w:rPr>
              <w:t>$547,885</w:t>
            </w:r>
          </w:p>
        </w:tc>
        <w:tc>
          <w:tcPr>
            <w:tcW w:w="74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1,099,966</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4C4C4C"/>
              </w:rPr>
              <w:t>1,672,140</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4C4C4C"/>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4C4C4C"/>
              </w:rPr>
              <w:t>190,811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4C4C4C"/>
              </w:rPr>
              <w:t>3,510,802</w:t>
            </w:r>
          </w:p>
        </w:tc>
        <w:tc>
          <w:tcPr>
            <w:tcW w:w="0" w:type="dxa"/>
            <w:vAlign w:val="bottom"/>
          </w:tcPr>
          <w:p>
            <w:pPr>
              <w:spacing w:after="0"/>
              <w:rPr>
                <w:sz w:val="1"/>
                <w:szCs w:val="1"/>
                <w:color w:val="auto"/>
              </w:rPr>
            </w:pPr>
          </w:p>
        </w:tc>
      </w:tr>
      <w:tr>
        <w:trPr>
          <w:trHeight w:val="78"/>
        </w:trPr>
        <w:tc>
          <w:tcPr>
            <w:tcW w:w="3300" w:type="dxa"/>
            <w:vAlign w:val="bottom"/>
            <w:vMerge w:val="restart"/>
          </w:tcPr>
          <w:p>
            <w:pPr>
              <w:ind w:left="120"/>
              <w:spacing w:after="0" w:line="110" w:lineRule="exact"/>
              <w:rPr>
                <w:sz w:val="20"/>
                <w:szCs w:val="20"/>
                <w:color w:val="auto"/>
              </w:rPr>
            </w:pPr>
            <w:r>
              <w:rPr>
                <w:rFonts w:ascii="Arial" w:cs="Arial" w:eastAsia="Arial" w:hAnsi="Arial"/>
                <w:sz w:val="12"/>
                <w:szCs w:val="12"/>
                <w:color w:val="4C4C4C"/>
              </w:rPr>
              <w:t>Investment Officer</w:t>
            </w:r>
          </w:p>
        </w:tc>
        <w:tc>
          <w:tcPr>
            <w:tcW w:w="4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3300" w:type="dxa"/>
            <w:vAlign w:val="bottom"/>
            <w:vMerge w:val="continue"/>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26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480" w:type="dxa"/>
            <w:vAlign w:val="bottom"/>
            <w:gridSpan w:val="3"/>
          </w:tcPr>
          <w:p>
            <w:pPr>
              <w:ind w:left="100"/>
              <w:spacing w:after="0"/>
              <w:rPr>
                <w:sz w:val="20"/>
                <w:szCs w:val="20"/>
                <w:color w:val="auto"/>
              </w:rPr>
            </w:pPr>
            <w:r>
              <w:rPr>
                <w:rFonts w:ascii="Arial" w:cs="Arial" w:eastAsia="Arial" w:hAnsi="Arial"/>
                <w:sz w:val="14"/>
                <w:szCs w:val="14"/>
                <w:color w:val="4C4C4C"/>
              </w:rPr>
              <w:t>2018</w:t>
            </w:r>
          </w:p>
        </w:tc>
        <w:tc>
          <w:tcPr>
            <w:tcW w:w="740" w:type="dxa"/>
            <w:vAlign w:val="bottom"/>
          </w:tcPr>
          <w:p>
            <w:pPr>
              <w:jc w:val="center"/>
              <w:spacing w:after="0"/>
              <w:rPr>
                <w:sz w:val="20"/>
                <w:szCs w:val="20"/>
                <w:color w:val="auto"/>
              </w:rPr>
            </w:pPr>
            <w:r>
              <w:rPr>
                <w:rFonts w:ascii="Arial" w:cs="Arial" w:eastAsia="Arial" w:hAnsi="Arial"/>
                <w:sz w:val="14"/>
                <w:szCs w:val="14"/>
                <w:color w:val="4C4C4C"/>
              </w:rPr>
              <w:t>$550,000</w:t>
            </w: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2,599,853</w:t>
            </w:r>
          </w:p>
        </w:tc>
        <w:tc>
          <w:tcPr>
            <w:tcW w:w="140" w:type="dxa"/>
            <w:vAlign w:val="bottom"/>
          </w:tcPr>
          <w:p>
            <w:pPr>
              <w:ind w:left="60"/>
              <w:spacing w:after="0"/>
              <w:rPr>
                <w:sz w:val="20"/>
                <w:szCs w:val="20"/>
                <w:color w:val="auto"/>
              </w:rPr>
            </w:pPr>
            <w:r>
              <w:rPr>
                <w:rFonts w:ascii="Arial" w:cs="Arial" w:eastAsia="Arial" w:hAnsi="Arial"/>
                <w:sz w:val="14"/>
                <w:szCs w:val="14"/>
                <w:color w:val="4C4C4C"/>
                <w:w w:val="76"/>
              </w:rPr>
              <w:t>$</w:t>
            </w:r>
          </w:p>
        </w:tc>
        <w:tc>
          <w:tcPr>
            <w:tcW w:w="720" w:type="dxa"/>
            <w:vAlign w:val="bottom"/>
          </w:tcPr>
          <w:p>
            <w:pPr>
              <w:jc w:val="right"/>
              <w:spacing w:after="0"/>
              <w:rPr>
                <w:sz w:val="20"/>
                <w:szCs w:val="20"/>
                <w:color w:val="auto"/>
              </w:rPr>
            </w:pPr>
            <w:r>
              <w:rPr>
                <w:rFonts w:ascii="Arial" w:cs="Arial" w:eastAsia="Arial" w:hAnsi="Arial"/>
                <w:sz w:val="14"/>
                <w:szCs w:val="14"/>
                <w:color w:val="4C4C4C"/>
              </w:rPr>
              <w:t>282,426</w:t>
            </w:r>
          </w:p>
        </w:tc>
        <w:tc>
          <w:tcPr>
            <w:tcW w:w="160" w:type="dxa"/>
            <w:vAlign w:val="bottom"/>
          </w:tcPr>
          <w:p>
            <w:pPr>
              <w:ind w:left="60"/>
              <w:spacing w:after="0"/>
              <w:rPr>
                <w:sz w:val="20"/>
                <w:szCs w:val="20"/>
                <w:color w:val="auto"/>
              </w:rPr>
            </w:pPr>
            <w:r>
              <w:rPr>
                <w:rFonts w:ascii="Arial" w:cs="Arial" w:eastAsia="Arial" w:hAnsi="Arial"/>
                <w:sz w:val="14"/>
                <w:szCs w:val="14"/>
                <w:color w:val="4C4C4C"/>
              </w:rPr>
              <w:t>$</w:t>
            </w:r>
          </w:p>
        </w:tc>
        <w:tc>
          <w:tcPr>
            <w:tcW w:w="1160" w:type="dxa"/>
            <w:vAlign w:val="bottom"/>
          </w:tcPr>
          <w:p>
            <w:pPr>
              <w:jc w:val="right"/>
              <w:spacing w:after="0"/>
              <w:rPr>
                <w:sz w:val="20"/>
                <w:szCs w:val="20"/>
                <w:color w:val="auto"/>
              </w:rPr>
            </w:pPr>
            <w:r>
              <w:rPr>
                <w:rFonts w:ascii="Arial" w:cs="Arial" w:eastAsia="Arial" w:hAnsi="Arial"/>
                <w:sz w:val="14"/>
                <w:szCs w:val="14"/>
                <w:color w:val="4C4C4C"/>
              </w:rPr>
              <w:t>1,514,531</w:t>
            </w:r>
          </w:p>
        </w:tc>
        <w:tc>
          <w:tcPr>
            <w:tcW w:w="260" w:type="dxa"/>
            <w:vAlign w:val="bottom"/>
          </w:tcPr>
          <w:p>
            <w:pPr>
              <w:ind w:left="60"/>
              <w:spacing w:after="0"/>
              <w:rPr>
                <w:sz w:val="20"/>
                <w:szCs w:val="20"/>
                <w:color w:val="auto"/>
              </w:rPr>
            </w:pPr>
            <w:r>
              <w:rPr>
                <w:rFonts w:ascii="Arial" w:cs="Arial" w:eastAsia="Arial" w:hAnsi="Arial"/>
                <w:sz w:val="14"/>
                <w:szCs w:val="14"/>
                <w:color w:val="4C4C4C"/>
              </w:rPr>
              <w:t>$</w:t>
            </w:r>
          </w:p>
        </w:tc>
        <w:tc>
          <w:tcPr>
            <w:tcW w:w="1060" w:type="dxa"/>
            <w:vAlign w:val="bottom"/>
          </w:tcPr>
          <w:p>
            <w:pPr>
              <w:jc w:val="right"/>
              <w:spacing w:after="0"/>
              <w:rPr>
                <w:sz w:val="20"/>
                <w:szCs w:val="20"/>
                <w:color w:val="auto"/>
              </w:rPr>
            </w:pPr>
            <w:r>
              <w:rPr>
                <w:rFonts w:ascii="Arial" w:cs="Arial" w:eastAsia="Arial" w:hAnsi="Arial"/>
                <w:sz w:val="14"/>
                <w:szCs w:val="14"/>
                <w:color w:val="4C4C4C"/>
              </w:rPr>
              <w:t>177,069</w:t>
            </w:r>
          </w:p>
        </w:tc>
        <w:tc>
          <w:tcPr>
            <w:tcW w:w="160" w:type="dxa"/>
            <w:vAlign w:val="bottom"/>
          </w:tcPr>
          <w:p>
            <w:pPr>
              <w:jc w:val="right"/>
              <w:spacing w:after="0"/>
              <w:rPr>
                <w:sz w:val="20"/>
                <w:szCs w:val="20"/>
                <w:color w:val="auto"/>
              </w:rPr>
            </w:pPr>
            <w:r>
              <w:rPr>
                <w:rFonts w:ascii="Arial" w:cs="Arial" w:eastAsia="Arial" w:hAnsi="Arial"/>
                <w:sz w:val="14"/>
                <w:szCs w:val="14"/>
                <w:color w:val="4C4C4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C4C4C"/>
              </w:rPr>
              <w:t>5,123,879</w:t>
            </w:r>
          </w:p>
        </w:tc>
        <w:tc>
          <w:tcPr>
            <w:tcW w:w="0" w:type="dxa"/>
            <w:vAlign w:val="bottom"/>
          </w:tcPr>
          <w:p>
            <w:pPr>
              <w:spacing w:after="0"/>
              <w:rPr>
                <w:sz w:val="1"/>
                <w:szCs w:val="1"/>
                <w:color w:val="auto"/>
              </w:rPr>
            </w:pPr>
          </w:p>
        </w:tc>
      </w:tr>
      <w:tr>
        <w:trPr>
          <w:trHeight w:val="39"/>
        </w:trPr>
        <w:tc>
          <w:tcPr>
            <w:tcW w:w="330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40" w:type="dxa"/>
            <w:vAlign w:val="bottom"/>
            <w:tcBorders>
              <w:bottom w:val="single" w:sz="8" w:color="4C4C4C"/>
            </w:tcBorders>
          </w:tcPr>
          <w:p>
            <w:pPr>
              <w:spacing w:after="0"/>
              <w:rPr>
                <w:sz w:val="3"/>
                <w:szCs w:val="3"/>
                <w:color w:val="auto"/>
              </w:rPr>
            </w:pPr>
          </w:p>
        </w:tc>
        <w:tc>
          <w:tcPr>
            <w:tcW w:w="7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1160" w:type="dxa"/>
            <w:vAlign w:val="bottom"/>
            <w:tcBorders>
              <w:bottom w:val="single" w:sz="8" w:color="4C4C4C"/>
            </w:tcBorders>
          </w:tcPr>
          <w:p>
            <w:pPr>
              <w:spacing w:after="0"/>
              <w:rPr>
                <w:sz w:val="3"/>
                <w:szCs w:val="3"/>
                <w:color w:val="auto"/>
              </w:rPr>
            </w:pPr>
          </w:p>
        </w:tc>
        <w:tc>
          <w:tcPr>
            <w:tcW w:w="260" w:type="dxa"/>
            <w:vAlign w:val="bottom"/>
            <w:tcBorders>
              <w:bottom w:val="single" w:sz="8" w:color="4C4C4C"/>
            </w:tcBorders>
          </w:tcPr>
          <w:p>
            <w:pPr>
              <w:spacing w:after="0"/>
              <w:rPr>
                <w:sz w:val="3"/>
                <w:szCs w:val="3"/>
                <w:color w:val="auto"/>
              </w:rPr>
            </w:pPr>
          </w:p>
        </w:tc>
        <w:tc>
          <w:tcPr>
            <w:tcW w:w="106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320" w:hanging="419"/>
        <w:spacing w:after="0" w:line="244" w:lineRule="auto"/>
        <w:tabs>
          <w:tab w:leader="none" w:pos="700" w:val="left"/>
        </w:tabs>
        <w:numPr>
          <w:ilvl w:val="0"/>
          <w:numId w:val="143"/>
        </w:numPr>
        <w:rPr>
          <w:rFonts w:ascii="Arial" w:cs="Arial" w:eastAsia="Arial" w:hAnsi="Arial"/>
          <w:sz w:val="18"/>
          <w:szCs w:val="18"/>
          <w:color w:val="4C4C4C"/>
        </w:rPr>
      </w:pPr>
      <w:r>
        <w:rPr>
          <w:rFonts w:ascii="Arial" w:cs="Arial" w:eastAsia="Arial" w:hAnsi="Arial"/>
          <w:sz w:val="18"/>
          <w:szCs w:val="18"/>
          <w:b w:val="1"/>
          <w:bCs w:val="1"/>
          <w:color w:val="3F3F3F"/>
        </w:rPr>
        <w:t xml:space="preserve">Salary. </w:t>
      </w:r>
      <w:r>
        <w:rPr>
          <w:rFonts w:ascii="Arial" w:cs="Arial" w:eastAsia="Arial" w:hAnsi="Arial"/>
          <w:sz w:val="18"/>
          <w:szCs w:val="18"/>
          <w:color w:val="4C4C4C"/>
        </w:rPr>
        <w:t>Amounts reported in the Salary column reflect the actual amount of base salary paid to each NEO in that year for</w:t>
      </w:r>
      <w:r>
        <w:rPr>
          <w:rFonts w:ascii="Arial" w:cs="Arial" w:eastAsia="Arial" w:hAnsi="Arial"/>
          <w:sz w:val="18"/>
          <w:szCs w:val="18"/>
          <w:b w:val="1"/>
          <w:bCs w:val="1"/>
          <w:color w:val="3F3F3F"/>
        </w:rPr>
        <w:t xml:space="preserve"> </w:t>
      </w:r>
      <w:r>
        <w:rPr>
          <w:rFonts w:ascii="Arial" w:cs="Arial" w:eastAsia="Arial" w:hAnsi="Arial"/>
          <w:sz w:val="18"/>
          <w:szCs w:val="18"/>
          <w:color w:val="4C4C4C"/>
        </w:rPr>
        <w:t>services to Brighthouse and its subsidiaries. For the relationship of each NEO’s 2020 base salary earnings to that officer’s 2020 Target TDC, see page “</w:t>
      </w:r>
      <w:r>
        <w:rPr>
          <w:rFonts w:ascii="Arial" w:cs="Arial" w:eastAsia="Arial" w:hAnsi="Arial"/>
          <w:sz w:val="18"/>
          <w:szCs w:val="18"/>
          <w:color w:val="00ADBB"/>
        </w:rPr>
        <w:t>Compensation Discussion and Analysis – Section 2 – Our 2020 Executive Compensation Program –</w:t>
      </w:r>
      <w:r>
        <w:rPr>
          <w:rFonts w:ascii="Arial" w:cs="Arial" w:eastAsia="Arial" w:hAnsi="Arial"/>
          <w:sz w:val="18"/>
          <w:szCs w:val="18"/>
          <w:color w:val="4C4C4C"/>
        </w:rPr>
        <w:t xml:space="preserve"> </w:t>
      </w:r>
      <w:r>
        <w:rPr>
          <w:rFonts w:ascii="Arial" w:cs="Arial" w:eastAsia="Arial" w:hAnsi="Arial"/>
          <w:sz w:val="18"/>
          <w:szCs w:val="18"/>
          <w:color w:val="00ADBB"/>
        </w:rPr>
        <w:t>2020 Target Total Direct Compensation</w:t>
      </w:r>
      <w:r>
        <w:rPr>
          <w:rFonts w:ascii="Arial" w:cs="Arial" w:eastAsia="Arial" w:hAnsi="Arial"/>
          <w:sz w:val="18"/>
          <w:szCs w:val="18"/>
          <w:color w:val="4C4C4C"/>
        </w:rPr>
        <w:t>.” Mr. Steigerwalt’s salary reflects his base salary rate increase from $900,000 to</w:t>
      </w:r>
      <w:r>
        <w:rPr>
          <w:rFonts w:ascii="Arial" w:cs="Arial" w:eastAsia="Arial" w:hAnsi="Arial"/>
          <w:sz w:val="18"/>
          <w:szCs w:val="18"/>
          <w:color w:val="00ADBB"/>
        </w:rPr>
        <w:t xml:space="preserve"> </w:t>
      </w:r>
      <w:r>
        <w:rPr>
          <w:rFonts w:ascii="Arial" w:cs="Arial" w:eastAsia="Arial" w:hAnsi="Arial"/>
          <w:sz w:val="18"/>
          <w:szCs w:val="18"/>
          <w:color w:val="4C4C4C"/>
        </w:rPr>
        <w:t>$925,000, which was effective in March 2020.</w:t>
      </w:r>
    </w:p>
    <w:p>
      <w:pPr>
        <w:spacing w:after="0" w:line="41" w:lineRule="exact"/>
        <w:rPr>
          <w:rFonts w:ascii="Arial" w:cs="Arial" w:eastAsia="Arial" w:hAnsi="Arial"/>
          <w:sz w:val="18"/>
          <w:szCs w:val="18"/>
          <w:color w:val="4C4C4C"/>
        </w:rPr>
      </w:pPr>
    </w:p>
    <w:p>
      <w:pPr>
        <w:ind w:left="700" w:right="320" w:hanging="419"/>
        <w:spacing w:after="0" w:line="266" w:lineRule="auto"/>
        <w:tabs>
          <w:tab w:leader="none" w:pos="700" w:val="left"/>
        </w:tabs>
        <w:numPr>
          <w:ilvl w:val="0"/>
          <w:numId w:val="143"/>
        </w:numPr>
        <w:rPr>
          <w:rFonts w:ascii="Arial" w:cs="Arial" w:eastAsia="Arial" w:hAnsi="Arial"/>
          <w:sz w:val="17"/>
          <w:szCs w:val="17"/>
          <w:color w:val="4C4C4C"/>
        </w:rPr>
      </w:pPr>
      <w:r>
        <w:rPr>
          <w:rFonts w:ascii="Arial" w:cs="Arial" w:eastAsia="Arial" w:hAnsi="Arial"/>
          <w:sz w:val="17"/>
          <w:szCs w:val="17"/>
          <w:b w:val="1"/>
          <w:bCs w:val="1"/>
          <w:color w:val="3F3F3F"/>
        </w:rPr>
        <w:t xml:space="preserve">Stock Awards. </w:t>
      </w:r>
      <w:r>
        <w:rPr>
          <w:rFonts w:ascii="Arial" w:cs="Arial" w:eastAsia="Arial" w:hAnsi="Arial"/>
          <w:sz w:val="17"/>
          <w:szCs w:val="17"/>
          <w:color w:val="4C4C4C"/>
        </w:rPr>
        <w:t>Amounts reported in this column reflect the aggregate grant date fair value calculated in accordance with ASC</w:t>
      </w:r>
      <w:r>
        <w:rPr>
          <w:rFonts w:ascii="Arial" w:cs="Arial" w:eastAsia="Arial" w:hAnsi="Arial"/>
          <w:sz w:val="17"/>
          <w:szCs w:val="17"/>
          <w:b w:val="1"/>
          <w:bCs w:val="1"/>
          <w:color w:val="3F3F3F"/>
        </w:rPr>
        <w:t xml:space="preserve"> </w:t>
      </w:r>
      <w:r>
        <w:rPr>
          <w:rFonts w:ascii="Arial" w:cs="Arial" w:eastAsia="Arial" w:hAnsi="Arial"/>
          <w:sz w:val="17"/>
          <w:szCs w:val="17"/>
          <w:color w:val="4C4C4C"/>
        </w:rPr>
        <w:t>Topic 718, modified to exclude the effect of estimated forfeitures, of the 2020 LTI awards granted as RSUs and PSUs under the Employee Plan. For a description of the methodology and assumptions made in determining the aggregate grant date fair value of Share awards, see Note 10 of the Notes to the Consolidated Financial Statements in our 2020 Annual Report on Form 10-K.</w:t>
      </w:r>
    </w:p>
    <w:p>
      <w:pPr>
        <w:spacing w:after="0" w:line="55" w:lineRule="exact"/>
        <w:rPr>
          <w:rFonts w:ascii="Arial" w:cs="Arial" w:eastAsia="Arial" w:hAnsi="Arial"/>
          <w:sz w:val="17"/>
          <w:szCs w:val="17"/>
          <w:color w:val="4C4C4C"/>
        </w:rPr>
      </w:pPr>
    </w:p>
    <w:p>
      <w:pPr>
        <w:ind w:left="700" w:right="260"/>
        <w:spacing w:after="0" w:line="245" w:lineRule="auto"/>
        <w:rPr>
          <w:rFonts w:ascii="Arial" w:cs="Arial" w:eastAsia="Arial" w:hAnsi="Arial"/>
          <w:sz w:val="17"/>
          <w:szCs w:val="17"/>
          <w:color w:val="4C4C4C"/>
        </w:rPr>
      </w:pPr>
      <w:r>
        <w:rPr>
          <w:rFonts w:ascii="Arial" w:cs="Arial" w:eastAsia="Arial" w:hAnsi="Arial"/>
          <w:sz w:val="18"/>
          <w:szCs w:val="18"/>
          <w:i w:val="1"/>
          <w:iCs w:val="1"/>
          <w:color w:val="4C4C4C"/>
        </w:rPr>
        <w:t xml:space="preserve">2020 LTI Awards </w:t>
      </w:r>
      <w:r>
        <w:rPr>
          <w:rFonts w:ascii="Arial" w:cs="Arial" w:eastAsia="Arial" w:hAnsi="Arial"/>
          <w:sz w:val="18"/>
          <w:szCs w:val="18"/>
          <w:color w:val="4C4C4C"/>
        </w:rPr>
        <w:t>– For further discussion of the performance goals applicable to the PSU awards in 2020, see “</w:t>
      </w:r>
      <w:r>
        <w:rPr>
          <w:rFonts w:ascii="Arial" w:cs="Arial" w:eastAsia="Arial" w:hAnsi="Arial"/>
          <w:sz w:val="18"/>
          <w:szCs w:val="18"/>
          <w:color w:val="00ADBB"/>
        </w:rPr>
        <w:t>Compensation</w:t>
      </w:r>
      <w:r>
        <w:rPr>
          <w:rFonts w:ascii="Arial" w:cs="Arial" w:eastAsia="Arial" w:hAnsi="Arial"/>
          <w:sz w:val="18"/>
          <w:szCs w:val="18"/>
          <w:i w:val="1"/>
          <w:iCs w:val="1"/>
          <w:color w:val="4C4C4C"/>
        </w:rPr>
        <w:t xml:space="preserve"> </w:t>
      </w:r>
      <w:r>
        <w:rPr>
          <w:rFonts w:ascii="Arial" w:cs="Arial" w:eastAsia="Arial" w:hAnsi="Arial"/>
          <w:sz w:val="18"/>
          <w:szCs w:val="18"/>
          <w:color w:val="00ADBB"/>
        </w:rPr>
        <w:t>Discussion and Analysis – Section 2 – Our 2020 Executive Compensation Program – 2020 Long-Term Incentive Awards</w:t>
      </w:r>
      <w:r>
        <w:rPr>
          <w:rFonts w:ascii="Arial" w:cs="Arial" w:eastAsia="Arial" w:hAnsi="Arial"/>
          <w:sz w:val="18"/>
          <w:szCs w:val="18"/>
          <w:color w:val="4C4C4C"/>
        </w:rPr>
        <w:t>.” The</w:t>
      </w:r>
      <w:r>
        <w:rPr>
          <w:rFonts w:ascii="Arial" w:cs="Arial" w:eastAsia="Arial" w:hAnsi="Arial"/>
          <w:sz w:val="18"/>
          <w:szCs w:val="18"/>
          <w:color w:val="00ADBB"/>
        </w:rPr>
        <w:t xml:space="preserve"> </w:t>
      </w:r>
      <w:r>
        <w:rPr>
          <w:rFonts w:ascii="Arial" w:cs="Arial" w:eastAsia="Arial" w:hAnsi="Arial"/>
          <w:sz w:val="18"/>
          <w:szCs w:val="18"/>
          <w:color w:val="4C4C4C"/>
        </w:rPr>
        <w:t>table below reports the grant date fair value of the RSUs and PSUs (at the target performance level) granted as part of the 2020 LTI Award.</w:t>
      </w: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64 | 2021 Proxy Statement</w:t>
      </w:r>
    </w:p>
    <w:p>
      <w:pPr>
        <w:sectPr>
          <w:pgSz w:w="11900" w:h="16838" w:orient="portrait"/>
          <w:cols w:equalWidth="0" w:num="1">
            <w:col w:w="11140"/>
          </w:cols>
          <w:pgMar w:left="320" w:top="459" w:right="4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Summary Compensation Table for 2020</w:t>
      </w:r>
    </w:p>
    <w:p>
      <w:pPr>
        <w:spacing w:after="0" w:line="200" w:lineRule="exact"/>
        <w:rPr>
          <w:sz w:val="20"/>
          <w:szCs w:val="20"/>
          <w:color w:val="auto"/>
        </w:rPr>
      </w:pPr>
    </w:p>
    <w:p>
      <w:pPr>
        <w:sectPr>
          <w:pgSz w:w="11900" w:h="16838" w:orient="portrait"/>
          <w:cols w:equalWidth="0" w:num="2">
            <w:col w:w="8060" w:space="720"/>
            <w:col w:w="2360"/>
          </w:cols>
          <w:pgMar w:left="320" w:top="459" w:right="439" w:bottom="1440" w:gutter="0" w:footer="0" w:header="0"/>
          <w:type w:val="continuous"/>
        </w:sectPr>
      </w:pP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4C4C4C"/>
        </w:rPr>
        <w:t>The following table reports the grant date fair value of RSUs and PSUs (at the target performance level) granted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151765</wp:posOffset>
            </wp:positionV>
            <wp:extent cx="8255" cy="4972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151765</wp:posOffset>
            </wp:positionV>
            <wp:extent cx="8890" cy="4972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151765</wp:posOffset>
            </wp:positionV>
            <wp:extent cx="8890" cy="4972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151765</wp:posOffset>
            </wp:positionV>
            <wp:extent cx="8890" cy="4972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351"/>
        </w:trPr>
        <w:tc>
          <w:tcPr>
            <w:tcW w:w="6680" w:type="dxa"/>
            <w:vAlign w:val="bottom"/>
            <w:shd w:val="clear" w:color="auto" w:fill="00ADBB"/>
          </w:tcPr>
          <w:p>
            <w:pPr>
              <w:spacing w:after="0"/>
              <w:rPr>
                <w:sz w:val="24"/>
                <w:szCs w:val="24"/>
                <w:color w:val="auto"/>
              </w:rPr>
            </w:pPr>
          </w:p>
        </w:tc>
        <w:tc>
          <w:tcPr>
            <w:tcW w:w="880" w:type="dxa"/>
            <w:vAlign w:val="bottom"/>
            <w:shd w:val="clear" w:color="auto" w:fill="00ADBB"/>
          </w:tcPr>
          <w:p>
            <w:pPr>
              <w:spacing w:after="0"/>
              <w:rPr>
                <w:sz w:val="24"/>
                <w:szCs w:val="24"/>
                <w:color w:val="auto"/>
              </w:rPr>
            </w:pPr>
          </w:p>
        </w:tc>
        <w:tc>
          <w:tcPr>
            <w:tcW w:w="1060" w:type="dxa"/>
            <w:vAlign w:val="bottom"/>
            <w:gridSpan w:val="2"/>
            <w:shd w:val="clear" w:color="auto" w:fill="00ADBB"/>
          </w:tcPr>
          <w:p>
            <w:pPr>
              <w:ind w:left="160"/>
              <w:spacing w:after="0"/>
              <w:rPr>
                <w:sz w:val="20"/>
                <w:szCs w:val="20"/>
                <w:color w:val="auto"/>
              </w:rPr>
            </w:pPr>
            <w:r>
              <w:rPr>
                <w:rFonts w:ascii="Arial" w:cs="Arial" w:eastAsia="Arial" w:hAnsi="Arial"/>
                <w:sz w:val="14"/>
                <w:szCs w:val="14"/>
                <w:b w:val="1"/>
                <w:bCs w:val="1"/>
                <w:color w:val="FFFFFF"/>
              </w:rPr>
              <w:t>Grant Date</w:t>
            </w:r>
          </w:p>
        </w:tc>
        <w:tc>
          <w:tcPr>
            <w:tcW w:w="920" w:type="dxa"/>
            <w:vAlign w:val="bottom"/>
            <w:shd w:val="clear" w:color="auto" w:fill="00ADBB"/>
          </w:tcPr>
          <w:p>
            <w:pPr>
              <w:spacing w:after="0"/>
              <w:rPr>
                <w:sz w:val="24"/>
                <w:szCs w:val="24"/>
                <w:color w:val="auto"/>
              </w:rPr>
            </w:pPr>
          </w:p>
        </w:tc>
        <w:tc>
          <w:tcPr>
            <w:tcW w:w="1040" w:type="dxa"/>
            <w:vAlign w:val="bottom"/>
            <w:gridSpan w:val="2"/>
            <w:shd w:val="clear" w:color="auto" w:fill="00ADBB"/>
          </w:tcPr>
          <w:p>
            <w:pPr>
              <w:ind w:left="120"/>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6680" w:type="dxa"/>
            <w:vAlign w:val="bottom"/>
            <w:shd w:val="clear" w:color="auto" w:fill="00ADBB"/>
          </w:tcPr>
          <w:p>
            <w:pPr>
              <w:spacing w:after="0"/>
              <w:rPr>
                <w:sz w:val="14"/>
                <w:szCs w:val="14"/>
                <w:color w:val="auto"/>
              </w:rPr>
            </w:pPr>
          </w:p>
        </w:tc>
        <w:tc>
          <w:tcPr>
            <w:tcW w:w="880" w:type="dxa"/>
            <w:vAlign w:val="bottom"/>
            <w:shd w:val="clear" w:color="auto" w:fill="00ADBB"/>
          </w:tcPr>
          <w:p>
            <w:pPr>
              <w:spacing w:after="0"/>
              <w:rPr>
                <w:sz w:val="14"/>
                <w:szCs w:val="14"/>
                <w:color w:val="auto"/>
              </w:rPr>
            </w:pPr>
          </w:p>
        </w:tc>
        <w:tc>
          <w:tcPr>
            <w:tcW w:w="1060" w:type="dxa"/>
            <w:vAlign w:val="bottom"/>
            <w:gridSpan w:val="2"/>
            <w:shd w:val="clear" w:color="auto" w:fill="00ADBB"/>
          </w:tcPr>
          <w:p>
            <w:pPr>
              <w:ind w:left="80"/>
              <w:spacing w:after="0"/>
              <w:rPr>
                <w:sz w:val="20"/>
                <w:szCs w:val="20"/>
                <w:color w:val="auto"/>
              </w:rPr>
            </w:pPr>
            <w:r>
              <w:rPr>
                <w:rFonts w:ascii="Arial" w:cs="Arial" w:eastAsia="Arial" w:hAnsi="Arial"/>
                <w:sz w:val="14"/>
                <w:szCs w:val="14"/>
                <w:b w:val="1"/>
                <w:bCs w:val="1"/>
                <w:color w:val="FFFFFF"/>
              </w:rPr>
              <w:t>Value of 2020</w:t>
            </w:r>
          </w:p>
        </w:tc>
        <w:tc>
          <w:tcPr>
            <w:tcW w:w="92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820" w:type="dxa"/>
            <w:vAlign w:val="bottom"/>
            <w:shd w:val="clear" w:color="auto" w:fill="00ADBB"/>
          </w:tcPr>
          <w:p>
            <w:pPr>
              <w:jc w:val="right"/>
              <w:ind w:right="208"/>
              <w:spacing w:after="0"/>
              <w:rPr>
                <w:sz w:val="20"/>
                <w:szCs w:val="20"/>
                <w:color w:val="auto"/>
              </w:rPr>
            </w:pPr>
            <w:r>
              <w:rPr>
                <w:rFonts w:ascii="Arial" w:cs="Arial" w:eastAsia="Arial" w:hAnsi="Arial"/>
                <w:sz w:val="14"/>
                <w:szCs w:val="14"/>
                <w:b w:val="1"/>
                <w:bCs w:val="1"/>
                <w:color w:val="FFFFFF"/>
                <w:w w:val="95"/>
              </w:rPr>
              <w:t>Value of</w:t>
            </w:r>
          </w:p>
        </w:tc>
      </w:tr>
      <w:tr>
        <w:trPr>
          <w:trHeight w:val="190"/>
        </w:trPr>
        <w:tc>
          <w:tcPr>
            <w:tcW w:w="6680" w:type="dxa"/>
            <w:vAlign w:val="bottom"/>
            <w:shd w:val="clear" w:color="auto" w:fill="00ADBB"/>
          </w:tcPr>
          <w:p>
            <w:pPr>
              <w:ind w:left="26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ADBB"/>
          </w:tcPr>
          <w:p>
            <w:pPr>
              <w:jc w:val="right"/>
              <w:ind w:right="8"/>
              <w:spacing w:after="0"/>
              <w:rPr>
                <w:sz w:val="20"/>
                <w:szCs w:val="20"/>
                <w:color w:val="auto"/>
              </w:rPr>
            </w:pPr>
            <w:r>
              <w:rPr>
                <w:rFonts w:ascii="Arial" w:cs="Arial" w:eastAsia="Arial" w:hAnsi="Arial"/>
                <w:sz w:val="14"/>
                <w:szCs w:val="14"/>
                <w:b w:val="1"/>
                <w:bCs w:val="1"/>
                <w:color w:val="FFFFFF"/>
              </w:rPr>
              <w:t>2020 RSUs</w:t>
            </w:r>
          </w:p>
        </w:tc>
        <w:tc>
          <w:tcPr>
            <w:tcW w:w="240" w:type="dxa"/>
            <w:vAlign w:val="bottom"/>
            <w:shd w:val="clear" w:color="auto" w:fill="00ADBB"/>
          </w:tcPr>
          <w:p>
            <w:pPr>
              <w:spacing w:after="0"/>
              <w:rPr>
                <w:sz w:val="16"/>
                <w:szCs w:val="16"/>
                <w:color w:val="auto"/>
              </w:rPr>
            </w:pPr>
          </w:p>
        </w:tc>
        <w:tc>
          <w:tcPr>
            <w:tcW w:w="820" w:type="dxa"/>
            <w:vAlign w:val="bottom"/>
            <w:shd w:val="clear" w:color="auto" w:fill="00ADBB"/>
          </w:tcPr>
          <w:p>
            <w:pPr>
              <w:jc w:val="right"/>
              <w:ind w:right="268"/>
              <w:spacing w:after="0"/>
              <w:rPr>
                <w:sz w:val="20"/>
                <w:szCs w:val="20"/>
                <w:color w:val="auto"/>
              </w:rPr>
            </w:pPr>
            <w:r>
              <w:rPr>
                <w:rFonts w:ascii="Arial" w:cs="Arial" w:eastAsia="Arial" w:hAnsi="Arial"/>
                <w:sz w:val="14"/>
                <w:szCs w:val="14"/>
                <w:b w:val="1"/>
                <w:bCs w:val="1"/>
                <w:color w:val="FFFFFF"/>
              </w:rPr>
              <w:t>RSUs</w:t>
            </w:r>
          </w:p>
        </w:tc>
        <w:tc>
          <w:tcPr>
            <w:tcW w:w="920" w:type="dxa"/>
            <w:vAlign w:val="bottom"/>
            <w:shd w:val="clear" w:color="auto" w:fill="00ADBB"/>
          </w:tcPr>
          <w:p>
            <w:pPr>
              <w:jc w:val="right"/>
              <w:ind w:right="48"/>
              <w:spacing w:after="0"/>
              <w:rPr>
                <w:sz w:val="20"/>
                <w:szCs w:val="20"/>
                <w:color w:val="auto"/>
              </w:rPr>
            </w:pPr>
            <w:r>
              <w:rPr>
                <w:rFonts w:ascii="Arial" w:cs="Arial" w:eastAsia="Arial" w:hAnsi="Arial"/>
                <w:sz w:val="14"/>
                <w:szCs w:val="14"/>
                <w:b w:val="1"/>
                <w:bCs w:val="1"/>
                <w:color w:val="FFFFFF"/>
              </w:rPr>
              <w:t>2020 PSUs</w:t>
            </w:r>
          </w:p>
        </w:tc>
        <w:tc>
          <w:tcPr>
            <w:tcW w:w="1040" w:type="dxa"/>
            <w:vAlign w:val="bottom"/>
            <w:gridSpan w:val="2"/>
            <w:shd w:val="clear" w:color="auto" w:fill="00ADBB"/>
          </w:tcPr>
          <w:p>
            <w:pPr>
              <w:ind w:left="120"/>
              <w:spacing w:after="0"/>
              <w:rPr>
                <w:sz w:val="20"/>
                <w:szCs w:val="20"/>
                <w:color w:val="auto"/>
              </w:rPr>
            </w:pPr>
            <w:r>
              <w:rPr>
                <w:rFonts w:ascii="Arial" w:cs="Arial" w:eastAsia="Arial" w:hAnsi="Arial"/>
                <w:sz w:val="14"/>
                <w:szCs w:val="14"/>
                <w:b w:val="1"/>
                <w:bCs w:val="1"/>
                <w:color w:val="FFFFFF"/>
              </w:rPr>
              <w:t>2020 PSUs</w:t>
            </w:r>
          </w:p>
        </w:tc>
      </w:tr>
      <w:tr>
        <w:trPr>
          <w:trHeight w:val="80"/>
        </w:trPr>
        <w:tc>
          <w:tcPr>
            <w:tcW w:w="6680" w:type="dxa"/>
            <w:vAlign w:val="bottom"/>
            <w:shd w:val="clear" w:color="auto" w:fill="00ADBB"/>
          </w:tcPr>
          <w:p>
            <w:pPr>
              <w:spacing w:after="0"/>
              <w:rPr>
                <w:sz w:val="6"/>
                <w:szCs w:val="6"/>
                <w:color w:val="auto"/>
              </w:rPr>
            </w:pPr>
          </w:p>
        </w:tc>
        <w:tc>
          <w:tcPr>
            <w:tcW w:w="880" w:type="dxa"/>
            <w:vAlign w:val="bottom"/>
            <w:shd w:val="clear" w:color="auto" w:fill="00ADBB"/>
          </w:tcPr>
          <w:p>
            <w:pPr>
              <w:spacing w:after="0"/>
              <w:rPr>
                <w:sz w:val="6"/>
                <w:szCs w:val="6"/>
                <w:color w:val="auto"/>
              </w:rPr>
            </w:pPr>
          </w:p>
        </w:tc>
        <w:tc>
          <w:tcPr>
            <w:tcW w:w="240" w:type="dxa"/>
            <w:vAlign w:val="bottom"/>
            <w:shd w:val="clear" w:color="auto" w:fill="00ADBB"/>
          </w:tcPr>
          <w:p>
            <w:pPr>
              <w:spacing w:after="0"/>
              <w:rPr>
                <w:sz w:val="6"/>
                <w:szCs w:val="6"/>
                <w:color w:val="auto"/>
              </w:rPr>
            </w:pPr>
          </w:p>
        </w:tc>
        <w:tc>
          <w:tcPr>
            <w:tcW w:w="820" w:type="dxa"/>
            <w:vAlign w:val="bottom"/>
            <w:shd w:val="clear" w:color="auto" w:fill="00ADBB"/>
          </w:tcPr>
          <w:p>
            <w:pPr>
              <w:spacing w:after="0"/>
              <w:rPr>
                <w:sz w:val="6"/>
                <w:szCs w:val="6"/>
                <w:color w:val="auto"/>
              </w:rPr>
            </w:pPr>
          </w:p>
        </w:tc>
        <w:tc>
          <w:tcPr>
            <w:tcW w:w="920" w:type="dxa"/>
            <w:vAlign w:val="bottom"/>
            <w:shd w:val="clear" w:color="auto" w:fill="00ADBB"/>
          </w:tcPr>
          <w:p>
            <w:pPr>
              <w:spacing w:after="0"/>
              <w:rPr>
                <w:sz w:val="6"/>
                <w:szCs w:val="6"/>
                <w:color w:val="auto"/>
              </w:rPr>
            </w:pPr>
          </w:p>
        </w:tc>
        <w:tc>
          <w:tcPr>
            <w:tcW w:w="220" w:type="dxa"/>
            <w:vAlign w:val="bottom"/>
            <w:shd w:val="clear" w:color="auto" w:fill="00ADBB"/>
          </w:tcPr>
          <w:p>
            <w:pPr>
              <w:spacing w:after="0"/>
              <w:rPr>
                <w:sz w:val="6"/>
                <w:szCs w:val="6"/>
                <w:color w:val="auto"/>
              </w:rPr>
            </w:pPr>
          </w:p>
        </w:tc>
        <w:tc>
          <w:tcPr>
            <w:tcW w:w="820" w:type="dxa"/>
            <w:vAlign w:val="bottom"/>
            <w:shd w:val="clear" w:color="auto" w:fill="00ADBB"/>
          </w:tcPr>
          <w:p>
            <w:pPr>
              <w:spacing w:after="0"/>
              <w:rPr>
                <w:sz w:val="6"/>
                <w:szCs w:val="6"/>
                <w:color w:val="auto"/>
              </w:rPr>
            </w:pPr>
          </w:p>
        </w:tc>
      </w:tr>
      <w:tr>
        <w:trPr>
          <w:trHeight w:val="251"/>
        </w:trPr>
        <w:tc>
          <w:tcPr>
            <w:tcW w:w="668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Eric Steigerwalt</w:t>
            </w:r>
          </w:p>
        </w:tc>
        <w:tc>
          <w:tcPr>
            <w:tcW w:w="880" w:type="dxa"/>
            <w:vAlign w:val="bottom"/>
            <w:tcBorders>
              <w:bottom w:val="single" w:sz="8" w:color="4C4C4C"/>
            </w:tcBorders>
          </w:tcPr>
          <w:p>
            <w:pPr>
              <w:jc w:val="right"/>
              <w:ind w:right="128"/>
              <w:spacing w:after="0"/>
              <w:rPr>
                <w:sz w:val="20"/>
                <w:szCs w:val="20"/>
                <w:color w:val="auto"/>
              </w:rPr>
            </w:pPr>
            <w:r>
              <w:rPr>
                <w:rFonts w:ascii="Arial" w:cs="Arial" w:eastAsia="Arial" w:hAnsi="Arial"/>
                <w:sz w:val="14"/>
                <w:szCs w:val="14"/>
                <w:color w:val="4C4C4C"/>
              </w:rPr>
              <w:t>41,036</w:t>
            </w:r>
          </w:p>
        </w:tc>
        <w:tc>
          <w:tcPr>
            <w:tcW w:w="240" w:type="dxa"/>
            <w:vAlign w:val="bottom"/>
            <w:tcBorders>
              <w:bottom w:val="single" w:sz="8" w:color="4C4C4C"/>
            </w:tcBorders>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1,470,730</w:t>
            </w:r>
          </w:p>
        </w:tc>
        <w:tc>
          <w:tcPr>
            <w:tcW w:w="920" w:type="dxa"/>
            <w:vAlign w:val="bottom"/>
            <w:tcBorders>
              <w:bottom w:val="single" w:sz="8" w:color="4C4C4C"/>
            </w:tcBorders>
          </w:tcPr>
          <w:p>
            <w:pPr>
              <w:jc w:val="right"/>
              <w:ind w:right="168"/>
              <w:spacing w:after="0"/>
              <w:rPr>
                <w:sz w:val="20"/>
                <w:szCs w:val="20"/>
                <w:color w:val="auto"/>
              </w:rPr>
            </w:pPr>
            <w:r>
              <w:rPr>
                <w:rFonts w:ascii="Arial" w:cs="Arial" w:eastAsia="Arial" w:hAnsi="Arial"/>
                <w:sz w:val="14"/>
                <w:szCs w:val="14"/>
                <w:color w:val="4C4C4C"/>
              </w:rPr>
              <w:t>95,751</w:t>
            </w:r>
          </w:p>
        </w:tc>
        <w:tc>
          <w:tcPr>
            <w:tcW w:w="22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w:t>
            </w:r>
          </w:p>
        </w:tc>
        <w:tc>
          <w:tcPr>
            <w:tcW w:w="82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w w:val="99"/>
              </w:rPr>
              <w:t>3,431,715</w:t>
            </w:r>
          </w:p>
        </w:tc>
      </w:tr>
      <w:tr>
        <w:trPr>
          <w:trHeight w:val="236"/>
        </w:trPr>
        <w:tc>
          <w:tcPr>
            <w:tcW w:w="668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880" w:type="dxa"/>
            <w:vAlign w:val="bottom"/>
            <w:tcBorders>
              <w:bottom w:val="single" w:sz="8" w:color="4C4C4C"/>
            </w:tcBorders>
            <w:shd w:val="clear" w:color="auto" w:fill="E5F6F8"/>
          </w:tcPr>
          <w:p>
            <w:pPr>
              <w:jc w:val="right"/>
              <w:ind w:right="128"/>
              <w:spacing w:after="0"/>
              <w:rPr>
                <w:sz w:val="20"/>
                <w:szCs w:val="20"/>
                <w:color w:val="auto"/>
              </w:rPr>
            </w:pPr>
            <w:r>
              <w:rPr>
                <w:rFonts w:ascii="Arial" w:cs="Arial" w:eastAsia="Arial" w:hAnsi="Arial"/>
                <w:sz w:val="14"/>
                <w:szCs w:val="14"/>
                <w:color w:val="4C4C4C"/>
              </w:rPr>
              <w:t>11,718</w:t>
            </w:r>
          </w:p>
        </w:tc>
        <w:tc>
          <w:tcPr>
            <w:tcW w:w="240" w:type="dxa"/>
            <w:vAlign w:val="bottom"/>
            <w:tcBorders>
              <w:bottom w:val="single" w:sz="8" w:color="4C4C4C"/>
            </w:tcBorders>
            <w:shd w:val="clear" w:color="auto" w:fill="E5F6F8"/>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4C4C4C"/>
            </w:tcBorders>
            <w:shd w:val="clear" w:color="auto" w:fill="E5F6F8"/>
          </w:tcPr>
          <w:p>
            <w:pPr>
              <w:jc w:val="right"/>
              <w:ind w:right="88"/>
              <w:spacing w:after="0"/>
              <w:rPr>
                <w:sz w:val="20"/>
                <w:szCs w:val="20"/>
                <w:color w:val="auto"/>
              </w:rPr>
            </w:pPr>
            <w:r>
              <w:rPr>
                <w:rFonts w:ascii="Arial" w:cs="Arial" w:eastAsia="Arial" w:hAnsi="Arial"/>
                <w:sz w:val="14"/>
                <w:szCs w:val="14"/>
                <w:color w:val="4C4C4C"/>
              </w:rPr>
              <w:t>419,973</w:t>
            </w:r>
          </w:p>
        </w:tc>
        <w:tc>
          <w:tcPr>
            <w:tcW w:w="920" w:type="dxa"/>
            <w:vAlign w:val="bottom"/>
            <w:tcBorders>
              <w:bottom w:val="single" w:sz="8" w:color="4C4C4C"/>
            </w:tcBorders>
            <w:shd w:val="clear" w:color="auto" w:fill="E5F6F8"/>
          </w:tcPr>
          <w:p>
            <w:pPr>
              <w:jc w:val="right"/>
              <w:ind w:right="168"/>
              <w:spacing w:after="0"/>
              <w:rPr>
                <w:sz w:val="20"/>
                <w:szCs w:val="20"/>
                <w:color w:val="auto"/>
              </w:rPr>
            </w:pPr>
            <w:r>
              <w:rPr>
                <w:rFonts w:ascii="Arial" w:cs="Arial" w:eastAsia="Arial" w:hAnsi="Arial"/>
                <w:sz w:val="14"/>
                <w:szCs w:val="14"/>
                <w:color w:val="4C4C4C"/>
              </w:rPr>
              <w:t>17,578</w:t>
            </w:r>
          </w:p>
        </w:tc>
        <w:tc>
          <w:tcPr>
            <w:tcW w:w="220" w:type="dxa"/>
            <w:vAlign w:val="bottom"/>
            <w:tcBorders>
              <w:bottom w:val="single" w:sz="8" w:color="4C4C4C"/>
            </w:tcBorders>
            <w:shd w:val="clear" w:color="auto" w:fill="E5F6F8"/>
          </w:tcPr>
          <w:p>
            <w:pPr>
              <w:ind w:left="120"/>
              <w:spacing w:after="0"/>
              <w:rPr>
                <w:sz w:val="20"/>
                <w:szCs w:val="20"/>
                <w:color w:val="auto"/>
              </w:rPr>
            </w:pPr>
            <w:r>
              <w:rPr>
                <w:rFonts w:ascii="Arial" w:cs="Arial" w:eastAsia="Arial" w:hAnsi="Arial"/>
                <w:sz w:val="14"/>
                <w:szCs w:val="14"/>
                <w:color w:val="4C4C4C"/>
              </w:rPr>
              <w:t>$</w:t>
            </w:r>
          </w:p>
        </w:tc>
        <w:tc>
          <w:tcPr>
            <w:tcW w:w="82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629,995</w:t>
            </w:r>
          </w:p>
        </w:tc>
      </w:tr>
      <w:tr>
        <w:trPr>
          <w:trHeight w:val="237"/>
        </w:trPr>
        <w:tc>
          <w:tcPr>
            <w:tcW w:w="668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Christine DeBiase</w:t>
            </w:r>
          </w:p>
        </w:tc>
        <w:tc>
          <w:tcPr>
            <w:tcW w:w="880" w:type="dxa"/>
            <w:vAlign w:val="bottom"/>
            <w:tcBorders>
              <w:bottom w:val="single" w:sz="8" w:color="4C4C4C"/>
            </w:tcBorders>
          </w:tcPr>
          <w:p>
            <w:pPr>
              <w:jc w:val="right"/>
              <w:ind w:right="128"/>
              <w:spacing w:after="0"/>
              <w:rPr>
                <w:sz w:val="20"/>
                <w:szCs w:val="20"/>
                <w:color w:val="auto"/>
              </w:rPr>
            </w:pPr>
            <w:r>
              <w:rPr>
                <w:rFonts w:ascii="Arial" w:cs="Arial" w:eastAsia="Arial" w:hAnsi="Arial"/>
                <w:sz w:val="14"/>
                <w:szCs w:val="14"/>
                <w:color w:val="4C4C4C"/>
              </w:rPr>
              <w:t>11,718</w:t>
            </w:r>
          </w:p>
        </w:tc>
        <w:tc>
          <w:tcPr>
            <w:tcW w:w="240" w:type="dxa"/>
            <w:vAlign w:val="bottom"/>
            <w:tcBorders>
              <w:bottom w:val="single" w:sz="8" w:color="4C4C4C"/>
            </w:tcBorders>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419,973</w:t>
            </w:r>
          </w:p>
        </w:tc>
        <w:tc>
          <w:tcPr>
            <w:tcW w:w="920" w:type="dxa"/>
            <w:vAlign w:val="bottom"/>
            <w:tcBorders>
              <w:bottom w:val="single" w:sz="8" w:color="4C4C4C"/>
            </w:tcBorders>
          </w:tcPr>
          <w:p>
            <w:pPr>
              <w:jc w:val="right"/>
              <w:ind w:right="168"/>
              <w:spacing w:after="0"/>
              <w:rPr>
                <w:sz w:val="20"/>
                <w:szCs w:val="20"/>
                <w:color w:val="auto"/>
              </w:rPr>
            </w:pPr>
            <w:r>
              <w:rPr>
                <w:rFonts w:ascii="Arial" w:cs="Arial" w:eastAsia="Arial" w:hAnsi="Arial"/>
                <w:sz w:val="14"/>
                <w:szCs w:val="14"/>
                <w:color w:val="4C4C4C"/>
              </w:rPr>
              <w:t>17,578</w:t>
            </w:r>
          </w:p>
        </w:tc>
        <w:tc>
          <w:tcPr>
            <w:tcW w:w="22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w:t>
            </w:r>
          </w:p>
        </w:tc>
        <w:tc>
          <w:tcPr>
            <w:tcW w:w="82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629,995</w:t>
            </w:r>
          </w:p>
        </w:tc>
      </w:tr>
      <w:tr>
        <w:trPr>
          <w:trHeight w:val="236"/>
        </w:trPr>
        <w:tc>
          <w:tcPr>
            <w:tcW w:w="668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880" w:type="dxa"/>
            <w:vAlign w:val="bottom"/>
            <w:tcBorders>
              <w:bottom w:val="single" w:sz="8" w:color="4C4C4C"/>
            </w:tcBorders>
            <w:shd w:val="clear" w:color="auto" w:fill="E5F6F8"/>
          </w:tcPr>
          <w:p>
            <w:pPr>
              <w:jc w:val="right"/>
              <w:ind w:right="128"/>
              <w:spacing w:after="0"/>
              <w:rPr>
                <w:sz w:val="20"/>
                <w:szCs w:val="20"/>
                <w:color w:val="auto"/>
              </w:rPr>
            </w:pPr>
            <w:r>
              <w:rPr>
                <w:rFonts w:ascii="Arial" w:cs="Arial" w:eastAsia="Arial" w:hAnsi="Arial"/>
                <w:sz w:val="14"/>
                <w:szCs w:val="14"/>
                <w:color w:val="4C4C4C"/>
              </w:rPr>
              <w:t>12,723</w:t>
            </w:r>
          </w:p>
        </w:tc>
        <w:tc>
          <w:tcPr>
            <w:tcW w:w="240" w:type="dxa"/>
            <w:vAlign w:val="bottom"/>
            <w:tcBorders>
              <w:bottom w:val="single" w:sz="8" w:color="4C4C4C"/>
            </w:tcBorders>
            <w:shd w:val="clear" w:color="auto" w:fill="E5F6F8"/>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4C4C4C"/>
            </w:tcBorders>
            <w:shd w:val="clear" w:color="auto" w:fill="E5F6F8"/>
          </w:tcPr>
          <w:p>
            <w:pPr>
              <w:jc w:val="right"/>
              <w:ind w:right="88"/>
              <w:spacing w:after="0"/>
              <w:rPr>
                <w:sz w:val="20"/>
                <w:szCs w:val="20"/>
                <w:color w:val="auto"/>
              </w:rPr>
            </w:pPr>
            <w:r>
              <w:rPr>
                <w:rFonts w:ascii="Arial" w:cs="Arial" w:eastAsia="Arial" w:hAnsi="Arial"/>
                <w:sz w:val="14"/>
                <w:szCs w:val="14"/>
                <w:color w:val="4C4C4C"/>
              </w:rPr>
              <w:t>455,992</w:t>
            </w:r>
          </w:p>
        </w:tc>
        <w:tc>
          <w:tcPr>
            <w:tcW w:w="920" w:type="dxa"/>
            <w:vAlign w:val="bottom"/>
            <w:tcBorders>
              <w:bottom w:val="single" w:sz="8" w:color="4C4C4C"/>
            </w:tcBorders>
            <w:shd w:val="clear" w:color="auto" w:fill="E5F6F8"/>
          </w:tcPr>
          <w:p>
            <w:pPr>
              <w:jc w:val="right"/>
              <w:ind w:right="168"/>
              <w:spacing w:after="0"/>
              <w:rPr>
                <w:sz w:val="20"/>
                <w:szCs w:val="20"/>
                <w:color w:val="auto"/>
              </w:rPr>
            </w:pPr>
            <w:r>
              <w:rPr>
                <w:rFonts w:ascii="Arial" w:cs="Arial" w:eastAsia="Arial" w:hAnsi="Arial"/>
                <w:sz w:val="14"/>
                <w:szCs w:val="14"/>
                <w:color w:val="4C4C4C"/>
              </w:rPr>
              <w:t>19,084</w:t>
            </w:r>
          </w:p>
        </w:tc>
        <w:tc>
          <w:tcPr>
            <w:tcW w:w="220" w:type="dxa"/>
            <w:vAlign w:val="bottom"/>
            <w:tcBorders>
              <w:bottom w:val="single" w:sz="8" w:color="4C4C4C"/>
            </w:tcBorders>
            <w:shd w:val="clear" w:color="auto" w:fill="E5F6F8"/>
          </w:tcPr>
          <w:p>
            <w:pPr>
              <w:ind w:left="120"/>
              <w:spacing w:after="0"/>
              <w:rPr>
                <w:sz w:val="20"/>
                <w:szCs w:val="20"/>
                <w:color w:val="auto"/>
              </w:rPr>
            </w:pPr>
            <w:r>
              <w:rPr>
                <w:rFonts w:ascii="Arial" w:cs="Arial" w:eastAsia="Arial" w:hAnsi="Arial"/>
                <w:sz w:val="14"/>
                <w:szCs w:val="14"/>
                <w:color w:val="4C4C4C"/>
              </w:rPr>
              <w:t>$</w:t>
            </w:r>
          </w:p>
        </w:tc>
        <w:tc>
          <w:tcPr>
            <w:tcW w:w="82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683,970</w:t>
            </w:r>
          </w:p>
        </w:tc>
      </w:tr>
      <w:tr>
        <w:trPr>
          <w:trHeight w:val="236"/>
        </w:trPr>
        <w:tc>
          <w:tcPr>
            <w:tcW w:w="668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John Rosenthal</w:t>
            </w:r>
          </w:p>
        </w:tc>
        <w:tc>
          <w:tcPr>
            <w:tcW w:w="880" w:type="dxa"/>
            <w:vAlign w:val="bottom"/>
            <w:tcBorders>
              <w:bottom w:val="single" w:sz="8" w:color="4C4C4C"/>
            </w:tcBorders>
          </w:tcPr>
          <w:p>
            <w:pPr>
              <w:jc w:val="right"/>
              <w:ind w:right="128"/>
              <w:spacing w:after="0"/>
              <w:rPr>
                <w:sz w:val="20"/>
                <w:szCs w:val="20"/>
                <w:color w:val="auto"/>
              </w:rPr>
            </w:pPr>
            <w:r>
              <w:rPr>
                <w:rFonts w:ascii="Arial" w:cs="Arial" w:eastAsia="Arial" w:hAnsi="Arial"/>
                <w:sz w:val="14"/>
                <w:szCs w:val="14"/>
                <w:color w:val="4C4C4C"/>
              </w:rPr>
              <w:t>15,345</w:t>
            </w:r>
          </w:p>
        </w:tc>
        <w:tc>
          <w:tcPr>
            <w:tcW w:w="240" w:type="dxa"/>
            <w:vAlign w:val="bottom"/>
            <w:tcBorders>
              <w:bottom w:val="single" w:sz="8" w:color="4C4C4C"/>
            </w:tcBorders>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549,964</w:t>
            </w:r>
          </w:p>
        </w:tc>
        <w:tc>
          <w:tcPr>
            <w:tcW w:w="920" w:type="dxa"/>
            <w:vAlign w:val="bottom"/>
            <w:tcBorders>
              <w:bottom w:val="single" w:sz="8" w:color="4C4C4C"/>
            </w:tcBorders>
          </w:tcPr>
          <w:p>
            <w:pPr>
              <w:jc w:val="right"/>
              <w:ind w:right="168"/>
              <w:spacing w:after="0"/>
              <w:rPr>
                <w:sz w:val="20"/>
                <w:szCs w:val="20"/>
                <w:color w:val="auto"/>
              </w:rPr>
            </w:pPr>
            <w:r>
              <w:rPr>
                <w:rFonts w:ascii="Arial" w:cs="Arial" w:eastAsia="Arial" w:hAnsi="Arial"/>
                <w:sz w:val="14"/>
                <w:szCs w:val="14"/>
                <w:color w:val="4C4C4C"/>
              </w:rPr>
              <w:t>23,018</w:t>
            </w:r>
          </w:p>
        </w:tc>
        <w:tc>
          <w:tcPr>
            <w:tcW w:w="22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w:t>
            </w:r>
          </w:p>
        </w:tc>
        <w:tc>
          <w:tcPr>
            <w:tcW w:w="82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824,965</w:t>
            </w:r>
          </w:p>
        </w:tc>
      </w:tr>
    </w:tbl>
    <w:p>
      <w:pPr>
        <w:spacing w:after="0" w:line="107" w:lineRule="exact"/>
        <w:rPr>
          <w:sz w:val="20"/>
          <w:szCs w:val="20"/>
          <w:color w:val="auto"/>
        </w:rPr>
      </w:pPr>
    </w:p>
    <w:p>
      <w:pPr>
        <w:ind w:left="560" w:right="240"/>
        <w:spacing w:after="0" w:line="246" w:lineRule="auto"/>
        <w:rPr>
          <w:sz w:val="20"/>
          <w:szCs w:val="20"/>
          <w:color w:val="auto"/>
        </w:rPr>
      </w:pPr>
      <w:r>
        <w:rPr>
          <w:rFonts w:ascii="Arial" w:cs="Arial" w:eastAsia="Arial" w:hAnsi="Arial"/>
          <w:sz w:val="18"/>
          <w:szCs w:val="18"/>
          <w:color w:val="4C4C4C"/>
        </w:rPr>
        <w:t>The following table reports the hypothetical grant date fair value of the PSUs if maximum performance was achieved, in each case as of the date of stockholder approval of the Employee Plan. Maximum payout of the PSUs is 150%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142875</wp:posOffset>
            </wp:positionV>
            <wp:extent cx="8890" cy="4972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351"/>
        </w:trPr>
        <w:tc>
          <w:tcPr>
            <w:tcW w:w="8560" w:type="dxa"/>
            <w:vAlign w:val="bottom"/>
            <w:shd w:val="clear" w:color="auto" w:fill="00ADBB"/>
          </w:tcPr>
          <w:p>
            <w:pPr>
              <w:spacing w:after="0"/>
              <w:rPr>
                <w:sz w:val="24"/>
                <w:szCs w:val="24"/>
                <w:color w:val="auto"/>
              </w:rPr>
            </w:pPr>
          </w:p>
        </w:tc>
        <w:tc>
          <w:tcPr>
            <w:tcW w:w="2020" w:type="dxa"/>
            <w:vAlign w:val="bottom"/>
            <w:gridSpan w:val="2"/>
            <w:shd w:val="clear" w:color="auto" w:fill="00ADBB"/>
          </w:tcPr>
          <w:p>
            <w:pPr>
              <w:ind w:left="160"/>
              <w:spacing w:after="0"/>
              <w:rPr>
                <w:sz w:val="20"/>
                <w:szCs w:val="20"/>
                <w:color w:val="auto"/>
              </w:rPr>
            </w:pPr>
            <w:r>
              <w:rPr>
                <w:rFonts w:ascii="Arial" w:cs="Arial" w:eastAsia="Arial" w:hAnsi="Arial"/>
                <w:sz w:val="14"/>
                <w:szCs w:val="14"/>
                <w:b w:val="1"/>
                <w:bCs w:val="1"/>
                <w:color w:val="FFFFFF"/>
              </w:rPr>
              <w:t>Grant Date Value of 2020</w:t>
            </w:r>
          </w:p>
        </w:tc>
      </w:tr>
      <w:tr>
        <w:trPr>
          <w:trHeight w:val="162"/>
        </w:trPr>
        <w:tc>
          <w:tcPr>
            <w:tcW w:w="8560" w:type="dxa"/>
            <w:vAlign w:val="bottom"/>
            <w:shd w:val="clear" w:color="auto" w:fill="00ADBB"/>
          </w:tcPr>
          <w:p>
            <w:pPr>
              <w:spacing w:after="0"/>
              <w:rPr>
                <w:sz w:val="14"/>
                <w:szCs w:val="14"/>
                <w:color w:val="auto"/>
              </w:rPr>
            </w:pPr>
          </w:p>
        </w:tc>
        <w:tc>
          <w:tcPr>
            <w:tcW w:w="320" w:type="dxa"/>
            <w:vAlign w:val="bottom"/>
            <w:shd w:val="clear" w:color="auto" w:fill="00ADBB"/>
          </w:tcPr>
          <w:p>
            <w:pPr>
              <w:spacing w:after="0"/>
              <w:rPr>
                <w:sz w:val="14"/>
                <w:szCs w:val="14"/>
                <w:color w:val="auto"/>
              </w:rPr>
            </w:pPr>
          </w:p>
        </w:tc>
        <w:tc>
          <w:tcPr>
            <w:tcW w:w="1700" w:type="dxa"/>
            <w:vAlign w:val="bottom"/>
            <w:shd w:val="clear" w:color="auto" w:fill="00ADBB"/>
          </w:tcPr>
          <w:p>
            <w:pPr>
              <w:jc w:val="right"/>
              <w:ind w:right="308"/>
              <w:spacing w:after="0"/>
              <w:rPr>
                <w:sz w:val="20"/>
                <w:szCs w:val="20"/>
                <w:color w:val="auto"/>
              </w:rPr>
            </w:pPr>
            <w:r>
              <w:rPr>
                <w:rFonts w:ascii="Arial" w:cs="Arial" w:eastAsia="Arial" w:hAnsi="Arial"/>
                <w:sz w:val="14"/>
                <w:szCs w:val="14"/>
                <w:b w:val="1"/>
                <w:bCs w:val="1"/>
                <w:color w:val="FFFFFF"/>
              </w:rPr>
              <w:t>PSUs at Maximum</w:t>
            </w:r>
          </w:p>
        </w:tc>
      </w:tr>
      <w:tr>
        <w:trPr>
          <w:trHeight w:val="190"/>
        </w:trPr>
        <w:tc>
          <w:tcPr>
            <w:tcW w:w="8560" w:type="dxa"/>
            <w:vAlign w:val="bottom"/>
            <w:shd w:val="clear" w:color="auto" w:fill="00ADBB"/>
          </w:tcPr>
          <w:p>
            <w:pPr>
              <w:ind w:left="100"/>
              <w:spacing w:after="0"/>
              <w:rPr>
                <w:sz w:val="20"/>
                <w:szCs w:val="20"/>
                <w:color w:val="auto"/>
              </w:rPr>
            </w:pPr>
            <w:r>
              <w:rPr>
                <w:rFonts w:ascii="Arial" w:cs="Arial" w:eastAsia="Arial" w:hAnsi="Arial"/>
                <w:sz w:val="14"/>
                <w:szCs w:val="14"/>
                <w:b w:val="1"/>
                <w:bCs w:val="1"/>
                <w:color w:val="FFFFFF"/>
              </w:rPr>
              <w:t>Name</w:t>
            </w:r>
          </w:p>
        </w:tc>
        <w:tc>
          <w:tcPr>
            <w:tcW w:w="320" w:type="dxa"/>
            <w:vAlign w:val="bottom"/>
            <w:shd w:val="clear" w:color="auto" w:fill="00ADBB"/>
          </w:tcPr>
          <w:p>
            <w:pPr>
              <w:spacing w:after="0"/>
              <w:rPr>
                <w:sz w:val="16"/>
                <w:szCs w:val="16"/>
                <w:color w:val="auto"/>
              </w:rPr>
            </w:pPr>
          </w:p>
        </w:tc>
        <w:tc>
          <w:tcPr>
            <w:tcW w:w="1700" w:type="dxa"/>
            <w:vAlign w:val="bottom"/>
            <w:shd w:val="clear" w:color="auto" w:fill="00ADBB"/>
          </w:tcPr>
          <w:p>
            <w:pPr>
              <w:jc w:val="right"/>
              <w:ind w:right="288"/>
              <w:spacing w:after="0"/>
              <w:rPr>
                <w:sz w:val="20"/>
                <w:szCs w:val="20"/>
                <w:color w:val="auto"/>
              </w:rPr>
            </w:pPr>
            <w:r>
              <w:rPr>
                <w:rFonts w:ascii="Arial" w:cs="Arial" w:eastAsia="Arial" w:hAnsi="Arial"/>
                <w:sz w:val="14"/>
                <w:szCs w:val="14"/>
                <w:b w:val="1"/>
                <w:bCs w:val="1"/>
                <w:color w:val="FFFFFF"/>
              </w:rPr>
              <w:t>Performance Level</w:t>
            </w:r>
          </w:p>
        </w:tc>
      </w:tr>
      <w:tr>
        <w:trPr>
          <w:trHeight w:val="80"/>
        </w:trPr>
        <w:tc>
          <w:tcPr>
            <w:tcW w:w="8560" w:type="dxa"/>
            <w:vAlign w:val="bottom"/>
            <w:shd w:val="clear" w:color="auto" w:fill="00ADBB"/>
          </w:tcPr>
          <w:p>
            <w:pPr>
              <w:spacing w:after="0"/>
              <w:rPr>
                <w:sz w:val="6"/>
                <w:szCs w:val="6"/>
                <w:color w:val="auto"/>
              </w:rPr>
            </w:pPr>
          </w:p>
        </w:tc>
        <w:tc>
          <w:tcPr>
            <w:tcW w:w="320" w:type="dxa"/>
            <w:vAlign w:val="bottom"/>
            <w:shd w:val="clear" w:color="auto" w:fill="00ADBB"/>
          </w:tcPr>
          <w:p>
            <w:pPr>
              <w:spacing w:after="0"/>
              <w:rPr>
                <w:sz w:val="6"/>
                <w:szCs w:val="6"/>
                <w:color w:val="auto"/>
              </w:rPr>
            </w:pPr>
          </w:p>
        </w:tc>
        <w:tc>
          <w:tcPr>
            <w:tcW w:w="1700" w:type="dxa"/>
            <w:vAlign w:val="bottom"/>
            <w:shd w:val="clear" w:color="auto" w:fill="00ADBB"/>
          </w:tcPr>
          <w:p>
            <w:pPr>
              <w:spacing w:after="0"/>
              <w:rPr>
                <w:sz w:val="6"/>
                <w:szCs w:val="6"/>
                <w:color w:val="auto"/>
              </w:rPr>
            </w:pPr>
          </w:p>
        </w:tc>
      </w:tr>
      <w:tr>
        <w:trPr>
          <w:trHeight w:val="251"/>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Eric Steigerwalt</w:t>
            </w:r>
          </w:p>
        </w:tc>
        <w:tc>
          <w:tcPr>
            <w:tcW w:w="320" w:type="dxa"/>
            <w:vAlign w:val="bottom"/>
            <w:tcBorders>
              <w:bottom w:val="single" w:sz="8" w:color="4C4C4C"/>
            </w:tcBorders>
          </w:tcPr>
          <w:p>
            <w:pPr>
              <w:ind w:left="180"/>
              <w:spacing w:after="0"/>
              <w:rPr>
                <w:sz w:val="20"/>
                <w:szCs w:val="20"/>
                <w:color w:val="auto"/>
              </w:rPr>
            </w:pPr>
            <w:r>
              <w:rPr>
                <w:rFonts w:ascii="Arial" w:cs="Arial" w:eastAsia="Arial" w:hAnsi="Arial"/>
                <w:sz w:val="14"/>
                <w:szCs w:val="14"/>
                <w:color w:val="4C4C4C"/>
              </w:rPr>
              <w:t>$</w:t>
            </w:r>
          </w:p>
        </w:tc>
        <w:tc>
          <w:tcPr>
            <w:tcW w:w="170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5,147,556</w:t>
            </w:r>
          </w:p>
        </w:tc>
      </w:tr>
      <w:tr>
        <w:trPr>
          <w:trHeight w:val="236"/>
        </w:trPr>
        <w:tc>
          <w:tcPr>
            <w:tcW w:w="85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320" w:type="dxa"/>
            <w:vAlign w:val="bottom"/>
            <w:tcBorders>
              <w:bottom w:val="single" w:sz="8" w:color="4C4C4C"/>
            </w:tcBorders>
            <w:shd w:val="clear" w:color="auto" w:fill="E5F6F8"/>
          </w:tcPr>
          <w:p>
            <w:pPr>
              <w:ind w:left="180"/>
              <w:spacing w:after="0"/>
              <w:rPr>
                <w:sz w:val="20"/>
                <w:szCs w:val="20"/>
                <w:color w:val="auto"/>
              </w:rPr>
            </w:pPr>
            <w:r>
              <w:rPr>
                <w:rFonts w:ascii="Arial" w:cs="Arial" w:eastAsia="Arial" w:hAnsi="Arial"/>
                <w:sz w:val="14"/>
                <w:szCs w:val="14"/>
                <w:color w:val="4C4C4C"/>
              </w:rPr>
              <w:t>$</w:t>
            </w:r>
          </w:p>
        </w:tc>
        <w:tc>
          <w:tcPr>
            <w:tcW w:w="170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944,993</w:t>
            </w:r>
          </w:p>
        </w:tc>
      </w:tr>
      <w:tr>
        <w:trPr>
          <w:trHeight w:val="236"/>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Christine DeBiase</w:t>
            </w:r>
          </w:p>
        </w:tc>
        <w:tc>
          <w:tcPr>
            <w:tcW w:w="320" w:type="dxa"/>
            <w:vAlign w:val="bottom"/>
            <w:tcBorders>
              <w:bottom w:val="single" w:sz="8" w:color="4C4C4C"/>
            </w:tcBorders>
          </w:tcPr>
          <w:p>
            <w:pPr>
              <w:ind w:left="180"/>
              <w:spacing w:after="0"/>
              <w:rPr>
                <w:sz w:val="20"/>
                <w:szCs w:val="20"/>
                <w:color w:val="auto"/>
              </w:rPr>
            </w:pPr>
            <w:r>
              <w:rPr>
                <w:rFonts w:ascii="Arial" w:cs="Arial" w:eastAsia="Arial" w:hAnsi="Arial"/>
                <w:sz w:val="14"/>
                <w:szCs w:val="14"/>
                <w:color w:val="4C4C4C"/>
              </w:rPr>
              <w:t>$</w:t>
            </w:r>
          </w:p>
        </w:tc>
        <w:tc>
          <w:tcPr>
            <w:tcW w:w="170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944,993</w:t>
            </w:r>
          </w:p>
        </w:tc>
      </w:tr>
      <w:tr>
        <w:trPr>
          <w:trHeight w:val="237"/>
        </w:trPr>
        <w:tc>
          <w:tcPr>
            <w:tcW w:w="85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320" w:type="dxa"/>
            <w:vAlign w:val="bottom"/>
            <w:tcBorders>
              <w:bottom w:val="single" w:sz="8" w:color="4C4C4C"/>
            </w:tcBorders>
            <w:shd w:val="clear" w:color="auto" w:fill="E5F6F8"/>
          </w:tcPr>
          <w:p>
            <w:pPr>
              <w:ind w:left="180"/>
              <w:spacing w:after="0"/>
              <w:rPr>
                <w:sz w:val="20"/>
                <w:szCs w:val="20"/>
                <w:color w:val="auto"/>
              </w:rPr>
            </w:pPr>
            <w:r>
              <w:rPr>
                <w:rFonts w:ascii="Arial" w:cs="Arial" w:eastAsia="Arial" w:hAnsi="Arial"/>
                <w:sz w:val="14"/>
                <w:szCs w:val="14"/>
                <w:color w:val="4C4C4C"/>
              </w:rPr>
              <w:t>$</w:t>
            </w:r>
          </w:p>
        </w:tc>
        <w:tc>
          <w:tcPr>
            <w:tcW w:w="170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1,025,956</w:t>
            </w:r>
          </w:p>
        </w:tc>
      </w:tr>
      <w:tr>
        <w:trPr>
          <w:trHeight w:val="237"/>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John Rosenthal</w:t>
            </w:r>
          </w:p>
        </w:tc>
        <w:tc>
          <w:tcPr>
            <w:tcW w:w="320" w:type="dxa"/>
            <w:vAlign w:val="bottom"/>
            <w:tcBorders>
              <w:bottom w:val="single" w:sz="8" w:color="4C4C4C"/>
            </w:tcBorders>
          </w:tcPr>
          <w:p>
            <w:pPr>
              <w:ind w:left="180"/>
              <w:spacing w:after="0"/>
              <w:rPr>
                <w:sz w:val="20"/>
                <w:szCs w:val="20"/>
                <w:color w:val="auto"/>
              </w:rPr>
            </w:pPr>
            <w:r>
              <w:rPr>
                <w:rFonts w:ascii="Arial" w:cs="Arial" w:eastAsia="Arial" w:hAnsi="Arial"/>
                <w:sz w:val="14"/>
                <w:szCs w:val="14"/>
                <w:color w:val="4C4C4C"/>
              </w:rPr>
              <w:t>$</w:t>
            </w:r>
          </w:p>
        </w:tc>
        <w:tc>
          <w:tcPr>
            <w:tcW w:w="170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1,237,448</w:t>
            </w:r>
          </w:p>
        </w:tc>
      </w:tr>
    </w:tbl>
    <w:p>
      <w:pPr>
        <w:spacing w:after="0" w:line="107" w:lineRule="exact"/>
        <w:rPr>
          <w:sz w:val="20"/>
          <w:szCs w:val="20"/>
          <w:color w:val="auto"/>
        </w:rPr>
      </w:pPr>
    </w:p>
    <w:p>
      <w:pPr>
        <w:ind w:left="560" w:right="140"/>
        <w:spacing w:after="0"/>
        <w:rPr>
          <w:sz w:val="20"/>
          <w:szCs w:val="20"/>
          <w:color w:val="auto"/>
        </w:rPr>
      </w:pPr>
      <w:r>
        <w:rPr>
          <w:rFonts w:ascii="Arial" w:cs="Arial" w:eastAsia="Arial" w:hAnsi="Arial"/>
          <w:sz w:val="18"/>
          <w:szCs w:val="18"/>
          <w:color w:val="4C4C4C"/>
        </w:rPr>
        <w:t>Amounts reported in this column for 2018 include one-time performance awards that were made to the NEOs in connection with the Separation. For additional information on these awards, see “</w:t>
      </w:r>
      <w:r>
        <w:rPr>
          <w:rFonts w:ascii="Arial" w:cs="Arial" w:eastAsia="Arial" w:hAnsi="Arial"/>
          <w:sz w:val="18"/>
          <w:szCs w:val="18"/>
          <w:color w:val="00ADBB"/>
        </w:rPr>
        <w:t>Section 2 – Our 2018 Executive Compensation Program – Founders’</w:t>
      </w:r>
      <w:r>
        <w:rPr>
          <w:rFonts w:ascii="Arial" w:cs="Arial" w:eastAsia="Arial" w:hAnsi="Arial"/>
          <w:sz w:val="18"/>
          <w:szCs w:val="18"/>
          <w:color w:val="4C4C4C"/>
        </w:rPr>
        <w:t xml:space="preserve"> </w:t>
      </w:r>
      <w:r>
        <w:rPr>
          <w:rFonts w:ascii="Arial" w:cs="Arial" w:eastAsia="Arial" w:hAnsi="Arial"/>
          <w:sz w:val="18"/>
          <w:szCs w:val="18"/>
          <w:color w:val="00ADBB"/>
        </w:rPr>
        <w:t>Grants” of our 2019 Proxy Statement</w:t>
      </w:r>
      <w:r>
        <w:rPr>
          <w:rFonts w:ascii="Arial" w:cs="Arial" w:eastAsia="Arial" w:hAnsi="Arial"/>
          <w:sz w:val="18"/>
          <w:szCs w:val="18"/>
          <w:color w:val="4C4C4C"/>
        </w:rPr>
        <w:t>.</w:t>
      </w:r>
    </w:p>
    <w:p>
      <w:pPr>
        <w:spacing w:after="0" w:line="86"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color w:val="4C4C4C"/>
        </w:rPr>
      </w:pPr>
      <w:r>
        <w:rPr>
          <w:rFonts w:ascii="Arial" w:cs="Arial" w:eastAsia="Arial" w:hAnsi="Arial"/>
          <w:sz w:val="18"/>
          <w:szCs w:val="18"/>
          <w:b w:val="1"/>
          <w:bCs w:val="1"/>
          <w:color w:val="3F3F3F"/>
        </w:rPr>
        <w:t xml:space="preserve">Option Awards. </w:t>
      </w:r>
      <w:r>
        <w:rPr>
          <w:rFonts w:ascii="Arial" w:cs="Arial" w:eastAsia="Arial" w:hAnsi="Arial"/>
          <w:sz w:val="18"/>
          <w:szCs w:val="18"/>
          <w:color w:val="4C4C4C"/>
        </w:rPr>
        <w:t>No options awards were granted in 2020.</w:t>
      </w:r>
    </w:p>
    <w:p>
      <w:pPr>
        <w:spacing w:after="0" w:line="76" w:lineRule="exact"/>
        <w:rPr>
          <w:rFonts w:ascii="Arial" w:cs="Arial" w:eastAsia="Arial" w:hAnsi="Arial"/>
          <w:sz w:val="18"/>
          <w:szCs w:val="18"/>
          <w:color w:val="4C4C4C"/>
        </w:rPr>
      </w:pPr>
    </w:p>
    <w:p>
      <w:pPr>
        <w:ind w:left="540" w:right="80" w:hanging="424"/>
        <w:spacing w:after="0" w:line="247" w:lineRule="auto"/>
        <w:tabs>
          <w:tab w:leader="none" w:pos="540" w:val="left"/>
        </w:tabs>
        <w:numPr>
          <w:ilvl w:val="0"/>
          <w:numId w:val="144"/>
        </w:numPr>
        <w:rPr>
          <w:rFonts w:ascii="Arial" w:cs="Arial" w:eastAsia="Arial" w:hAnsi="Arial"/>
          <w:sz w:val="18"/>
          <w:szCs w:val="18"/>
          <w:color w:val="4C4C4C"/>
        </w:rPr>
      </w:pPr>
      <w:r>
        <w:rPr>
          <w:rFonts w:ascii="Arial" w:cs="Arial" w:eastAsia="Arial" w:hAnsi="Arial"/>
          <w:sz w:val="18"/>
          <w:szCs w:val="18"/>
          <w:b w:val="1"/>
          <w:bCs w:val="1"/>
          <w:color w:val="3F3F3F"/>
        </w:rPr>
        <w:t xml:space="preserve">Non-Equity Incentive Plan Compensation. </w:t>
      </w:r>
      <w:r>
        <w:rPr>
          <w:rFonts w:ascii="Arial" w:cs="Arial" w:eastAsia="Arial" w:hAnsi="Arial"/>
          <w:sz w:val="18"/>
          <w:szCs w:val="18"/>
          <w:color w:val="4C4C4C"/>
        </w:rPr>
        <w:t>The amounts in this column include each NEO’s 2020 STI Award earned in respect of</w:t>
      </w:r>
      <w:r>
        <w:rPr>
          <w:rFonts w:ascii="Arial" w:cs="Arial" w:eastAsia="Arial" w:hAnsi="Arial"/>
          <w:sz w:val="18"/>
          <w:szCs w:val="18"/>
          <w:b w:val="1"/>
          <w:bCs w:val="1"/>
          <w:color w:val="3F3F3F"/>
        </w:rPr>
        <w:t xml:space="preserve"> </w:t>
      </w:r>
      <w:r>
        <w:rPr>
          <w:rFonts w:ascii="Arial" w:cs="Arial" w:eastAsia="Arial" w:hAnsi="Arial"/>
          <w:sz w:val="18"/>
          <w:szCs w:val="18"/>
          <w:color w:val="4C4C4C"/>
        </w:rPr>
        <w:t>service in 2020. The terms of the STI Award are summarized under “</w:t>
      </w:r>
      <w:r>
        <w:rPr>
          <w:rFonts w:ascii="Arial" w:cs="Arial" w:eastAsia="Arial" w:hAnsi="Arial"/>
          <w:sz w:val="18"/>
          <w:szCs w:val="18"/>
          <w:color w:val="00ADBB"/>
        </w:rPr>
        <w:t>Compensation Discussion and Analysis – Section 2 – Our 2020</w:t>
      </w:r>
      <w:r>
        <w:rPr>
          <w:rFonts w:ascii="Arial" w:cs="Arial" w:eastAsia="Arial" w:hAnsi="Arial"/>
          <w:sz w:val="18"/>
          <w:szCs w:val="18"/>
          <w:color w:val="4C4C4C"/>
        </w:rPr>
        <w:t xml:space="preserve"> </w:t>
      </w:r>
      <w:r>
        <w:rPr>
          <w:rFonts w:ascii="Arial" w:cs="Arial" w:eastAsia="Arial" w:hAnsi="Arial"/>
          <w:sz w:val="18"/>
          <w:szCs w:val="18"/>
          <w:color w:val="00ADBB"/>
        </w:rPr>
        <w:t>Executive Compensation Program – 2020 STI Metrics</w:t>
      </w:r>
      <w:r>
        <w:rPr>
          <w:rFonts w:ascii="Arial" w:cs="Arial" w:eastAsia="Arial" w:hAnsi="Arial"/>
          <w:sz w:val="18"/>
          <w:szCs w:val="18"/>
          <w:color w:val="4C4C4C"/>
        </w:rPr>
        <w:t>.” The following table shows the amount earned by each NEO in 2020 under</w:t>
      </w:r>
      <w:r>
        <w:rPr>
          <w:rFonts w:ascii="Arial" w:cs="Arial" w:eastAsia="Arial" w:hAnsi="Arial"/>
          <w:sz w:val="18"/>
          <w:szCs w:val="18"/>
          <w:color w:val="00ADBB"/>
        </w:rPr>
        <w:t xml:space="preserve"> </w:t>
      </w:r>
      <w:r>
        <w:rPr>
          <w:rFonts w:ascii="Arial" w:cs="Arial" w:eastAsia="Arial" w:hAnsi="Arial"/>
          <w:sz w:val="18"/>
          <w:szCs w:val="18"/>
          <w:color w:val="4C4C4C"/>
        </w:rPr>
        <w:t>the STI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142240</wp:posOffset>
            </wp:positionV>
            <wp:extent cx="8890" cy="291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380"/>
        </w:trPr>
        <w:tc>
          <w:tcPr>
            <w:tcW w:w="8560" w:type="dxa"/>
            <w:vAlign w:val="bottom"/>
            <w:shd w:val="clear" w:color="auto" w:fill="00ADBB"/>
          </w:tcPr>
          <w:p>
            <w:pPr>
              <w:ind w:left="100"/>
              <w:spacing w:after="0"/>
              <w:rPr>
                <w:sz w:val="20"/>
                <w:szCs w:val="20"/>
                <w:color w:val="auto"/>
              </w:rPr>
            </w:pPr>
            <w:r>
              <w:rPr>
                <w:rFonts w:ascii="Arial" w:cs="Arial" w:eastAsia="Arial" w:hAnsi="Arial"/>
                <w:sz w:val="14"/>
                <w:szCs w:val="14"/>
                <w:b w:val="1"/>
                <w:bCs w:val="1"/>
                <w:color w:val="FFFFFF"/>
              </w:rPr>
              <w:t>Name</w:t>
            </w:r>
          </w:p>
        </w:tc>
        <w:tc>
          <w:tcPr>
            <w:tcW w:w="380" w:type="dxa"/>
            <w:vAlign w:val="bottom"/>
            <w:shd w:val="clear" w:color="auto" w:fill="00ADBB"/>
          </w:tcPr>
          <w:p>
            <w:pPr>
              <w:spacing w:after="0"/>
              <w:rPr>
                <w:sz w:val="24"/>
                <w:szCs w:val="24"/>
                <w:color w:val="auto"/>
              </w:rPr>
            </w:pPr>
          </w:p>
        </w:tc>
        <w:tc>
          <w:tcPr>
            <w:tcW w:w="1640" w:type="dxa"/>
            <w:vAlign w:val="bottom"/>
            <w:shd w:val="clear" w:color="auto" w:fill="00ADBB"/>
          </w:tcPr>
          <w:p>
            <w:pPr>
              <w:jc w:val="right"/>
              <w:ind w:right="408"/>
              <w:spacing w:after="0"/>
              <w:rPr>
                <w:sz w:val="20"/>
                <w:szCs w:val="20"/>
                <w:color w:val="auto"/>
              </w:rPr>
            </w:pPr>
            <w:r>
              <w:rPr>
                <w:rFonts w:ascii="Arial" w:cs="Arial" w:eastAsia="Arial" w:hAnsi="Arial"/>
                <w:sz w:val="14"/>
                <w:szCs w:val="14"/>
                <w:b w:val="1"/>
                <w:bCs w:val="1"/>
                <w:color w:val="FFFFFF"/>
              </w:rPr>
              <w:t>2020 STI Award</w:t>
            </w:r>
          </w:p>
        </w:tc>
      </w:tr>
      <w:tr>
        <w:trPr>
          <w:trHeight w:val="80"/>
        </w:trPr>
        <w:tc>
          <w:tcPr>
            <w:tcW w:w="8560" w:type="dxa"/>
            <w:vAlign w:val="bottom"/>
            <w:shd w:val="clear" w:color="auto" w:fill="00ADBB"/>
          </w:tcPr>
          <w:p>
            <w:pPr>
              <w:spacing w:after="0"/>
              <w:rPr>
                <w:sz w:val="6"/>
                <w:szCs w:val="6"/>
                <w:color w:val="auto"/>
              </w:rPr>
            </w:pPr>
          </w:p>
        </w:tc>
        <w:tc>
          <w:tcPr>
            <w:tcW w:w="380" w:type="dxa"/>
            <w:vAlign w:val="bottom"/>
            <w:shd w:val="clear" w:color="auto" w:fill="00ADBB"/>
          </w:tcPr>
          <w:p>
            <w:pPr>
              <w:spacing w:after="0"/>
              <w:rPr>
                <w:sz w:val="6"/>
                <w:szCs w:val="6"/>
                <w:color w:val="auto"/>
              </w:rPr>
            </w:pPr>
          </w:p>
        </w:tc>
        <w:tc>
          <w:tcPr>
            <w:tcW w:w="1640" w:type="dxa"/>
            <w:vAlign w:val="bottom"/>
            <w:shd w:val="clear" w:color="auto" w:fill="00ADBB"/>
          </w:tcPr>
          <w:p>
            <w:pPr>
              <w:spacing w:after="0"/>
              <w:rPr>
                <w:sz w:val="6"/>
                <w:szCs w:val="6"/>
                <w:color w:val="auto"/>
              </w:rPr>
            </w:pPr>
          </w:p>
        </w:tc>
      </w:tr>
      <w:tr>
        <w:trPr>
          <w:trHeight w:val="250"/>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Eric Steigerwalt</w:t>
            </w:r>
          </w:p>
        </w:tc>
        <w:tc>
          <w:tcPr>
            <w:tcW w:w="380" w:type="dxa"/>
            <w:vAlign w:val="bottom"/>
            <w:tcBorders>
              <w:bottom w:val="single" w:sz="8" w:color="4C4C4C"/>
            </w:tcBorders>
          </w:tcPr>
          <w:p>
            <w:pPr>
              <w:jc w:val="right"/>
              <w:ind w:right="28"/>
              <w:spacing w:after="0"/>
              <w:rPr>
                <w:sz w:val="20"/>
                <w:szCs w:val="20"/>
                <w:color w:val="auto"/>
              </w:rPr>
            </w:pPr>
            <w:r>
              <w:rPr>
                <w:rFonts w:ascii="Arial" w:cs="Arial" w:eastAsia="Arial" w:hAnsi="Arial"/>
                <w:sz w:val="14"/>
                <w:szCs w:val="14"/>
                <w:color w:val="4C4C4C"/>
              </w:rPr>
              <w:t>$</w:t>
            </w:r>
          </w:p>
        </w:tc>
        <w:tc>
          <w:tcPr>
            <w:tcW w:w="164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2,035,000</w:t>
            </w:r>
          </w:p>
        </w:tc>
      </w:tr>
      <w:tr>
        <w:trPr>
          <w:trHeight w:val="236"/>
        </w:trPr>
        <w:tc>
          <w:tcPr>
            <w:tcW w:w="85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380" w:type="dxa"/>
            <w:vAlign w:val="bottom"/>
            <w:tcBorders>
              <w:bottom w:val="single" w:sz="8" w:color="4C4C4C"/>
            </w:tcBorders>
            <w:shd w:val="clear" w:color="auto" w:fill="E5F6F8"/>
          </w:tcPr>
          <w:p>
            <w:pPr>
              <w:jc w:val="right"/>
              <w:ind w:right="28"/>
              <w:spacing w:after="0"/>
              <w:rPr>
                <w:sz w:val="20"/>
                <w:szCs w:val="20"/>
                <w:color w:val="auto"/>
              </w:rPr>
            </w:pPr>
            <w:r>
              <w:rPr>
                <w:rFonts w:ascii="Arial" w:cs="Arial" w:eastAsia="Arial" w:hAnsi="Arial"/>
                <w:sz w:val="14"/>
                <w:szCs w:val="14"/>
                <w:color w:val="4C4C4C"/>
              </w:rPr>
              <w:t>$</w:t>
            </w:r>
          </w:p>
        </w:tc>
        <w:tc>
          <w:tcPr>
            <w:tcW w:w="164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924,000</w:t>
            </w:r>
          </w:p>
        </w:tc>
      </w:tr>
      <w:tr>
        <w:trPr>
          <w:trHeight w:val="237"/>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Christine DeBiase</w:t>
            </w:r>
          </w:p>
        </w:tc>
        <w:tc>
          <w:tcPr>
            <w:tcW w:w="380" w:type="dxa"/>
            <w:vAlign w:val="bottom"/>
            <w:tcBorders>
              <w:bottom w:val="single" w:sz="8" w:color="4C4C4C"/>
            </w:tcBorders>
          </w:tcPr>
          <w:p>
            <w:pPr>
              <w:jc w:val="right"/>
              <w:ind w:right="28"/>
              <w:spacing w:after="0"/>
              <w:rPr>
                <w:sz w:val="20"/>
                <w:szCs w:val="20"/>
                <w:color w:val="auto"/>
              </w:rPr>
            </w:pPr>
            <w:r>
              <w:rPr>
                <w:rFonts w:ascii="Arial" w:cs="Arial" w:eastAsia="Arial" w:hAnsi="Arial"/>
                <w:sz w:val="14"/>
                <w:szCs w:val="14"/>
                <w:color w:val="4C4C4C"/>
              </w:rPr>
              <w:t>$</w:t>
            </w:r>
          </w:p>
        </w:tc>
        <w:tc>
          <w:tcPr>
            <w:tcW w:w="164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924,000</w:t>
            </w:r>
          </w:p>
        </w:tc>
      </w:tr>
      <w:tr>
        <w:trPr>
          <w:trHeight w:val="237"/>
        </w:trPr>
        <w:tc>
          <w:tcPr>
            <w:tcW w:w="85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380" w:type="dxa"/>
            <w:vAlign w:val="bottom"/>
            <w:tcBorders>
              <w:bottom w:val="single" w:sz="8" w:color="4C4C4C"/>
            </w:tcBorders>
            <w:shd w:val="clear" w:color="auto" w:fill="E5F6F8"/>
          </w:tcPr>
          <w:p>
            <w:pPr>
              <w:jc w:val="right"/>
              <w:ind w:right="28"/>
              <w:spacing w:after="0"/>
              <w:rPr>
                <w:sz w:val="20"/>
                <w:szCs w:val="20"/>
                <w:color w:val="auto"/>
              </w:rPr>
            </w:pPr>
            <w:r>
              <w:rPr>
                <w:rFonts w:ascii="Arial" w:cs="Arial" w:eastAsia="Arial" w:hAnsi="Arial"/>
                <w:sz w:val="14"/>
                <w:szCs w:val="14"/>
                <w:color w:val="4C4C4C"/>
              </w:rPr>
              <w:t>$</w:t>
            </w:r>
          </w:p>
        </w:tc>
        <w:tc>
          <w:tcPr>
            <w:tcW w:w="1640" w:type="dxa"/>
            <w:vAlign w:val="bottom"/>
            <w:tcBorders>
              <w:bottom w:val="single" w:sz="8" w:color="4C4C4C"/>
            </w:tcBorders>
            <w:shd w:val="clear" w:color="auto" w:fill="E5F6F8"/>
          </w:tcPr>
          <w:p>
            <w:pPr>
              <w:jc w:val="right"/>
              <w:ind w:right="108"/>
              <w:spacing w:after="0"/>
              <w:rPr>
                <w:sz w:val="20"/>
                <w:szCs w:val="20"/>
                <w:color w:val="auto"/>
              </w:rPr>
            </w:pPr>
            <w:r>
              <w:rPr>
                <w:rFonts w:ascii="Arial" w:cs="Arial" w:eastAsia="Arial" w:hAnsi="Arial"/>
                <w:sz w:val="14"/>
                <w:szCs w:val="14"/>
                <w:color w:val="4C4C4C"/>
              </w:rPr>
              <w:t>907,000</w:t>
            </w:r>
          </w:p>
        </w:tc>
      </w:tr>
      <w:tr>
        <w:trPr>
          <w:trHeight w:val="236"/>
        </w:trPr>
        <w:tc>
          <w:tcPr>
            <w:tcW w:w="85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John Rosenthal</w:t>
            </w:r>
          </w:p>
        </w:tc>
        <w:tc>
          <w:tcPr>
            <w:tcW w:w="380" w:type="dxa"/>
            <w:vAlign w:val="bottom"/>
            <w:tcBorders>
              <w:bottom w:val="single" w:sz="8" w:color="4C4C4C"/>
            </w:tcBorders>
          </w:tcPr>
          <w:p>
            <w:pPr>
              <w:jc w:val="right"/>
              <w:ind w:right="28"/>
              <w:spacing w:after="0"/>
              <w:rPr>
                <w:sz w:val="20"/>
                <w:szCs w:val="20"/>
                <w:color w:val="auto"/>
              </w:rPr>
            </w:pPr>
            <w:r>
              <w:rPr>
                <w:rFonts w:ascii="Arial" w:cs="Arial" w:eastAsia="Arial" w:hAnsi="Arial"/>
                <w:sz w:val="14"/>
                <w:szCs w:val="14"/>
                <w:color w:val="4C4C4C"/>
              </w:rPr>
              <w:t>$</w:t>
            </w:r>
          </w:p>
        </w:tc>
        <w:tc>
          <w:tcPr>
            <w:tcW w:w="1640" w:type="dxa"/>
            <w:vAlign w:val="bottom"/>
            <w:tcBorders>
              <w:bottom w:val="single" w:sz="8" w:color="4C4C4C"/>
            </w:tcBorders>
          </w:tcPr>
          <w:p>
            <w:pPr>
              <w:jc w:val="right"/>
              <w:ind w:right="108"/>
              <w:spacing w:after="0"/>
              <w:rPr>
                <w:sz w:val="20"/>
                <w:szCs w:val="20"/>
                <w:color w:val="auto"/>
              </w:rPr>
            </w:pPr>
            <w:r>
              <w:rPr>
                <w:rFonts w:ascii="Arial" w:cs="Arial" w:eastAsia="Arial" w:hAnsi="Arial"/>
                <w:sz w:val="14"/>
                <w:szCs w:val="14"/>
                <w:color w:val="4C4C4C"/>
              </w:rPr>
              <w:t>1,179,750</w:t>
            </w:r>
          </w:p>
        </w:tc>
      </w:tr>
    </w:tbl>
    <w:p>
      <w:pPr>
        <w:spacing w:after="0" w:line="1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65</w:t>
      </w:r>
    </w:p>
    <w:p>
      <w:pPr>
        <w:sectPr>
          <w:pgSz w:w="11900" w:h="16838" w:orient="portrait"/>
          <w:cols w:equalWidth="0" w:num="1">
            <w:col w:w="11140"/>
          </w:cols>
          <w:pgMar w:left="320" w:top="459" w:right="4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Summary Compensation Table for 2020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18" w:lineRule="exact"/>
        <w:rPr>
          <w:sz w:val="20"/>
          <w:szCs w:val="20"/>
          <w:color w:val="auto"/>
        </w:rPr>
      </w:pPr>
    </w:p>
    <w:p>
      <w:pPr>
        <w:ind w:left="700" w:right="640" w:hanging="419"/>
        <w:spacing w:after="0" w:line="271" w:lineRule="auto"/>
        <w:tabs>
          <w:tab w:leader="none" w:pos="700" w:val="left"/>
        </w:tabs>
        <w:numPr>
          <w:ilvl w:val="0"/>
          <w:numId w:val="145"/>
        </w:numPr>
        <w:rPr>
          <w:rFonts w:ascii="Arial" w:cs="Arial" w:eastAsia="Arial" w:hAnsi="Arial"/>
          <w:sz w:val="18"/>
          <w:szCs w:val="18"/>
          <w:color w:val="4C4C4C"/>
        </w:rPr>
      </w:pPr>
      <w:r>
        <w:rPr>
          <w:rFonts w:ascii="Arial" w:cs="Arial" w:eastAsia="Arial" w:hAnsi="Arial"/>
          <w:sz w:val="18"/>
          <w:szCs w:val="18"/>
          <w:b w:val="1"/>
          <w:bCs w:val="1"/>
          <w:color w:val="3F3F3F"/>
        </w:rPr>
        <w:t xml:space="preserve">All Other Compensation. </w:t>
      </w:r>
      <w:r>
        <w:rPr>
          <w:rFonts w:ascii="Arial" w:cs="Arial" w:eastAsia="Arial" w:hAnsi="Arial"/>
          <w:sz w:val="18"/>
          <w:szCs w:val="18"/>
          <w:color w:val="4C4C4C"/>
        </w:rPr>
        <w:t>This column includes Company contributions to each NEO in respect of 2019 to the Brighthouse</w:t>
      </w:r>
      <w:r>
        <w:rPr>
          <w:rFonts w:ascii="Arial" w:cs="Arial" w:eastAsia="Arial" w:hAnsi="Arial"/>
          <w:sz w:val="18"/>
          <w:szCs w:val="18"/>
          <w:b w:val="1"/>
          <w:bCs w:val="1"/>
          <w:color w:val="3F3F3F"/>
        </w:rPr>
        <w:t xml:space="preserve"> </w:t>
      </w:r>
      <w:r>
        <w:rPr>
          <w:rFonts w:ascii="Arial" w:cs="Arial" w:eastAsia="Arial" w:hAnsi="Arial"/>
          <w:sz w:val="18"/>
          <w:szCs w:val="18"/>
          <w:color w:val="4C4C4C"/>
        </w:rPr>
        <w:t>Savings Plan and the Auxiliary Plan,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128905</wp:posOffset>
            </wp:positionV>
            <wp:extent cx="8255" cy="4032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40322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128905</wp:posOffset>
            </wp:positionV>
            <wp:extent cx="8890" cy="4032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403225"/>
                    </a:xfrm>
                    <a:prstGeom prst="rect">
                      <a:avLst/>
                    </a:prstGeom>
                    <a:noFill/>
                  </pic:spPr>
                </pic:pic>
              </a:graphicData>
            </a:graphic>
          </wp:anchor>
        </w:drawing>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365"/>
        </w:trPr>
        <w:tc>
          <w:tcPr>
            <w:tcW w:w="8360" w:type="dxa"/>
            <w:vAlign w:val="bottom"/>
            <w:shd w:val="clear" w:color="auto" w:fill="00ADBB"/>
          </w:tcPr>
          <w:p>
            <w:pPr>
              <w:spacing w:after="0"/>
              <w:rPr>
                <w:sz w:val="24"/>
                <w:szCs w:val="24"/>
                <w:color w:val="auto"/>
              </w:rPr>
            </w:pPr>
          </w:p>
        </w:tc>
        <w:tc>
          <w:tcPr>
            <w:tcW w:w="1000" w:type="dxa"/>
            <w:vAlign w:val="bottom"/>
            <w:shd w:val="clear" w:color="auto" w:fill="00ADBB"/>
          </w:tcPr>
          <w:p>
            <w:pPr>
              <w:jc w:val="center"/>
              <w:ind w:right="8"/>
              <w:spacing w:after="0"/>
              <w:rPr>
                <w:sz w:val="20"/>
                <w:szCs w:val="20"/>
                <w:color w:val="auto"/>
              </w:rPr>
            </w:pPr>
            <w:r>
              <w:rPr>
                <w:rFonts w:ascii="Arial" w:cs="Arial" w:eastAsia="Arial" w:hAnsi="Arial"/>
                <w:sz w:val="14"/>
                <w:szCs w:val="14"/>
                <w:b w:val="1"/>
                <w:bCs w:val="1"/>
                <w:color w:val="FFFFFF"/>
              </w:rPr>
              <w:t>Brighthouse</w:t>
            </w:r>
          </w:p>
        </w:tc>
        <w:tc>
          <w:tcPr>
            <w:tcW w:w="880" w:type="dxa"/>
            <w:vAlign w:val="bottom"/>
            <w:shd w:val="clear" w:color="auto" w:fill="00ADBB"/>
          </w:tcPr>
          <w:p>
            <w:pPr>
              <w:spacing w:after="0"/>
              <w:rPr>
                <w:sz w:val="24"/>
                <w:szCs w:val="24"/>
                <w:color w:val="auto"/>
              </w:rPr>
            </w:pPr>
          </w:p>
        </w:tc>
      </w:tr>
      <w:tr>
        <w:trPr>
          <w:trHeight w:val="190"/>
        </w:trPr>
        <w:tc>
          <w:tcPr>
            <w:tcW w:w="8360" w:type="dxa"/>
            <w:vAlign w:val="bottom"/>
            <w:shd w:val="clear" w:color="auto" w:fill="00ADBB"/>
          </w:tcPr>
          <w:p>
            <w:pPr>
              <w:ind w:left="100"/>
              <w:spacing w:after="0"/>
              <w:rPr>
                <w:sz w:val="20"/>
                <w:szCs w:val="20"/>
                <w:color w:val="auto"/>
              </w:rPr>
            </w:pPr>
            <w:r>
              <w:rPr>
                <w:rFonts w:ascii="Arial" w:cs="Arial" w:eastAsia="Arial" w:hAnsi="Arial"/>
                <w:sz w:val="14"/>
                <w:szCs w:val="14"/>
                <w:b w:val="1"/>
                <w:bCs w:val="1"/>
                <w:color w:val="FFFFFF"/>
              </w:rPr>
              <w:t>Name</w:t>
            </w:r>
          </w:p>
        </w:tc>
        <w:tc>
          <w:tcPr>
            <w:tcW w:w="1880" w:type="dxa"/>
            <w:vAlign w:val="bottom"/>
            <w:gridSpan w:val="2"/>
            <w:shd w:val="clear" w:color="auto" w:fill="00ADBB"/>
          </w:tcPr>
          <w:p>
            <w:pPr>
              <w:jc w:val="right"/>
              <w:spacing w:after="0"/>
              <w:rPr>
                <w:sz w:val="20"/>
                <w:szCs w:val="20"/>
                <w:color w:val="auto"/>
              </w:rPr>
            </w:pPr>
            <w:r>
              <w:rPr>
                <w:rFonts w:ascii="Arial" w:cs="Arial" w:eastAsia="Arial" w:hAnsi="Arial"/>
                <w:sz w:val="14"/>
                <w:szCs w:val="14"/>
                <w:b w:val="1"/>
                <w:bCs w:val="1"/>
                <w:color w:val="FFFFFF"/>
              </w:rPr>
              <w:t>Savings Plan Auxiliary Plan</w:t>
            </w:r>
          </w:p>
        </w:tc>
      </w:tr>
      <w:tr>
        <w:trPr>
          <w:trHeight w:val="80"/>
        </w:trPr>
        <w:tc>
          <w:tcPr>
            <w:tcW w:w="8360" w:type="dxa"/>
            <w:vAlign w:val="bottom"/>
            <w:shd w:val="clear" w:color="auto" w:fill="00ADBB"/>
          </w:tcPr>
          <w:p>
            <w:pPr>
              <w:spacing w:after="0"/>
              <w:rPr>
                <w:sz w:val="6"/>
                <w:szCs w:val="6"/>
                <w:color w:val="auto"/>
              </w:rPr>
            </w:pPr>
          </w:p>
        </w:tc>
        <w:tc>
          <w:tcPr>
            <w:tcW w:w="1000" w:type="dxa"/>
            <w:vAlign w:val="bottom"/>
            <w:shd w:val="clear" w:color="auto" w:fill="00ADBB"/>
          </w:tcPr>
          <w:p>
            <w:pPr>
              <w:spacing w:after="0"/>
              <w:rPr>
                <w:sz w:val="6"/>
                <w:szCs w:val="6"/>
                <w:color w:val="auto"/>
              </w:rPr>
            </w:pPr>
          </w:p>
        </w:tc>
        <w:tc>
          <w:tcPr>
            <w:tcW w:w="880" w:type="dxa"/>
            <w:vAlign w:val="bottom"/>
            <w:shd w:val="clear" w:color="auto" w:fill="00ADBB"/>
          </w:tcPr>
          <w:p>
            <w:pPr>
              <w:spacing w:after="0"/>
              <w:rPr>
                <w:sz w:val="6"/>
                <w:szCs w:val="6"/>
                <w:color w:val="auto"/>
              </w:rPr>
            </w:pPr>
          </w:p>
        </w:tc>
      </w:tr>
      <w:tr>
        <w:trPr>
          <w:trHeight w:val="250"/>
        </w:trPr>
        <w:tc>
          <w:tcPr>
            <w:tcW w:w="83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Eric Steigerwalt</w:t>
            </w:r>
          </w:p>
        </w:tc>
        <w:tc>
          <w:tcPr>
            <w:tcW w:w="1000" w:type="dxa"/>
            <w:vAlign w:val="bottom"/>
            <w:tcBorders>
              <w:bottom w:val="single" w:sz="8" w:color="4C4C4C"/>
            </w:tcBorders>
          </w:tcPr>
          <w:p>
            <w:pPr>
              <w:jc w:val="center"/>
              <w:ind w:right="8"/>
              <w:spacing w:after="0"/>
              <w:rPr>
                <w:sz w:val="20"/>
                <w:szCs w:val="20"/>
                <w:color w:val="auto"/>
              </w:rPr>
            </w:pPr>
            <w:r>
              <w:rPr>
                <w:rFonts w:ascii="Arial" w:cs="Arial" w:eastAsia="Arial" w:hAnsi="Arial"/>
                <w:sz w:val="14"/>
                <w:szCs w:val="14"/>
                <w:color w:val="4C4C4C"/>
              </w:rPr>
              <w:t>$ 27,767</w:t>
            </w:r>
          </w:p>
        </w:tc>
        <w:tc>
          <w:tcPr>
            <w:tcW w:w="88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$247,940</w:t>
            </w:r>
          </w:p>
        </w:tc>
      </w:tr>
      <w:tr>
        <w:trPr>
          <w:trHeight w:val="237"/>
        </w:trPr>
        <w:tc>
          <w:tcPr>
            <w:tcW w:w="83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1000" w:type="dxa"/>
            <w:vAlign w:val="bottom"/>
            <w:tcBorders>
              <w:bottom w:val="single" w:sz="8" w:color="4C4C4C"/>
            </w:tcBorders>
            <w:shd w:val="clear" w:color="auto" w:fill="E5F6F8"/>
          </w:tcPr>
          <w:p>
            <w:pPr>
              <w:jc w:val="center"/>
              <w:ind w:right="8"/>
              <w:spacing w:after="0"/>
              <w:rPr>
                <w:sz w:val="20"/>
                <w:szCs w:val="20"/>
                <w:color w:val="auto"/>
              </w:rPr>
            </w:pPr>
            <w:r>
              <w:rPr>
                <w:rFonts w:ascii="Arial" w:cs="Arial" w:eastAsia="Arial" w:hAnsi="Arial"/>
                <w:sz w:val="14"/>
                <w:szCs w:val="14"/>
                <w:color w:val="4C4C4C"/>
              </w:rPr>
              <w:t>$ 36,097</w:t>
            </w:r>
          </w:p>
        </w:tc>
        <w:tc>
          <w:tcPr>
            <w:tcW w:w="880" w:type="dxa"/>
            <w:vAlign w:val="bottom"/>
            <w:tcBorders>
              <w:bottom w:val="single" w:sz="8" w:color="4C4C4C"/>
            </w:tcBorders>
            <w:shd w:val="clear" w:color="auto" w:fill="E5F6F8"/>
          </w:tcPr>
          <w:p>
            <w:pPr>
              <w:jc w:val="right"/>
              <w:ind w:right="88"/>
              <w:spacing w:after="0"/>
              <w:rPr>
                <w:sz w:val="20"/>
                <w:szCs w:val="20"/>
                <w:color w:val="auto"/>
              </w:rPr>
            </w:pPr>
            <w:r>
              <w:rPr>
                <w:rFonts w:ascii="Arial" w:cs="Arial" w:eastAsia="Arial" w:hAnsi="Arial"/>
                <w:sz w:val="14"/>
                <w:szCs w:val="14"/>
                <w:color w:val="4C4C4C"/>
              </w:rPr>
              <w:t>$122,690</w:t>
            </w:r>
          </w:p>
        </w:tc>
      </w:tr>
      <w:tr>
        <w:trPr>
          <w:trHeight w:val="236"/>
        </w:trPr>
        <w:tc>
          <w:tcPr>
            <w:tcW w:w="83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Christine DeBiase</w:t>
            </w:r>
          </w:p>
        </w:tc>
        <w:tc>
          <w:tcPr>
            <w:tcW w:w="1000" w:type="dxa"/>
            <w:vAlign w:val="bottom"/>
            <w:tcBorders>
              <w:bottom w:val="single" w:sz="8" w:color="4C4C4C"/>
            </w:tcBorders>
          </w:tcPr>
          <w:p>
            <w:pPr>
              <w:jc w:val="center"/>
              <w:ind w:right="8"/>
              <w:spacing w:after="0"/>
              <w:rPr>
                <w:sz w:val="20"/>
                <w:szCs w:val="20"/>
                <w:color w:val="auto"/>
              </w:rPr>
            </w:pPr>
            <w:r>
              <w:rPr>
                <w:rFonts w:ascii="Arial" w:cs="Arial" w:eastAsia="Arial" w:hAnsi="Arial"/>
                <w:sz w:val="14"/>
                <w:szCs w:val="14"/>
                <w:color w:val="4C4C4C"/>
              </w:rPr>
              <w:t>$ 27,334</w:t>
            </w:r>
          </w:p>
        </w:tc>
        <w:tc>
          <w:tcPr>
            <w:tcW w:w="88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$110,314</w:t>
            </w:r>
          </w:p>
        </w:tc>
      </w:tr>
      <w:tr>
        <w:trPr>
          <w:trHeight w:val="237"/>
        </w:trPr>
        <w:tc>
          <w:tcPr>
            <w:tcW w:w="836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1000" w:type="dxa"/>
            <w:vAlign w:val="bottom"/>
            <w:tcBorders>
              <w:bottom w:val="single" w:sz="8" w:color="4C4C4C"/>
            </w:tcBorders>
            <w:shd w:val="clear" w:color="auto" w:fill="E5F6F8"/>
          </w:tcPr>
          <w:p>
            <w:pPr>
              <w:jc w:val="center"/>
              <w:ind w:right="8"/>
              <w:spacing w:after="0"/>
              <w:rPr>
                <w:sz w:val="20"/>
                <w:szCs w:val="20"/>
                <w:color w:val="auto"/>
              </w:rPr>
            </w:pPr>
            <w:r>
              <w:rPr>
                <w:rFonts w:ascii="Arial" w:cs="Arial" w:eastAsia="Arial" w:hAnsi="Arial"/>
                <w:sz w:val="14"/>
                <w:szCs w:val="14"/>
                <w:color w:val="4C4C4C"/>
              </w:rPr>
              <w:t>$ 27,337</w:t>
            </w:r>
          </w:p>
        </w:tc>
        <w:tc>
          <w:tcPr>
            <w:tcW w:w="880" w:type="dxa"/>
            <w:vAlign w:val="bottom"/>
            <w:tcBorders>
              <w:bottom w:val="single" w:sz="8" w:color="4C4C4C"/>
            </w:tcBorders>
            <w:shd w:val="clear" w:color="auto" w:fill="E5F6F8"/>
          </w:tcPr>
          <w:p>
            <w:pPr>
              <w:jc w:val="right"/>
              <w:ind w:right="88"/>
              <w:spacing w:after="0"/>
              <w:rPr>
                <w:sz w:val="20"/>
                <w:szCs w:val="20"/>
                <w:color w:val="auto"/>
              </w:rPr>
            </w:pPr>
            <w:r>
              <w:rPr>
                <w:rFonts w:ascii="Arial" w:cs="Arial" w:eastAsia="Arial" w:hAnsi="Arial"/>
                <w:sz w:val="14"/>
                <w:szCs w:val="14"/>
                <w:color w:val="4C4C4C"/>
              </w:rPr>
              <w:t>$115,123</w:t>
            </w:r>
          </w:p>
        </w:tc>
      </w:tr>
      <w:tr>
        <w:trPr>
          <w:trHeight w:val="236"/>
        </w:trPr>
        <w:tc>
          <w:tcPr>
            <w:tcW w:w="836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John Rosenthal</w:t>
            </w:r>
          </w:p>
        </w:tc>
        <w:tc>
          <w:tcPr>
            <w:tcW w:w="1000" w:type="dxa"/>
            <w:vAlign w:val="bottom"/>
            <w:tcBorders>
              <w:bottom w:val="single" w:sz="8" w:color="4C4C4C"/>
            </w:tcBorders>
          </w:tcPr>
          <w:p>
            <w:pPr>
              <w:jc w:val="center"/>
              <w:ind w:right="8"/>
              <w:spacing w:after="0"/>
              <w:rPr>
                <w:sz w:val="20"/>
                <w:szCs w:val="20"/>
                <w:color w:val="auto"/>
              </w:rPr>
            </w:pPr>
            <w:r>
              <w:rPr>
                <w:rFonts w:ascii="Arial" w:cs="Arial" w:eastAsia="Arial" w:hAnsi="Arial"/>
                <w:sz w:val="14"/>
                <w:szCs w:val="14"/>
                <w:color w:val="4C4C4C"/>
              </w:rPr>
              <w:t>$ 27,246</w:t>
            </w:r>
          </w:p>
        </w:tc>
        <w:tc>
          <w:tcPr>
            <w:tcW w:w="880" w:type="dxa"/>
            <w:vAlign w:val="bottom"/>
            <w:tcBorders>
              <w:bottom w:val="single" w:sz="8" w:color="4C4C4C"/>
            </w:tcBorders>
          </w:tcPr>
          <w:p>
            <w:pPr>
              <w:jc w:val="right"/>
              <w:ind w:right="88"/>
              <w:spacing w:after="0"/>
              <w:rPr>
                <w:sz w:val="20"/>
                <w:szCs w:val="20"/>
                <w:color w:val="auto"/>
              </w:rPr>
            </w:pPr>
            <w:r>
              <w:rPr>
                <w:rFonts w:ascii="Arial" w:cs="Arial" w:eastAsia="Arial" w:hAnsi="Arial"/>
                <w:sz w:val="14"/>
                <w:szCs w:val="14"/>
                <w:color w:val="4C4C4C"/>
              </w:rPr>
              <w:t>$136,475</w:t>
            </w:r>
          </w:p>
        </w:tc>
      </w:tr>
    </w:tbl>
    <w:p>
      <w:pPr>
        <w:spacing w:after="0" w:line="107" w:lineRule="exact"/>
        <w:rPr>
          <w:sz w:val="20"/>
          <w:szCs w:val="20"/>
          <w:color w:val="auto"/>
        </w:rPr>
      </w:pPr>
    </w:p>
    <w:p>
      <w:pPr>
        <w:ind w:left="700" w:right="380"/>
        <w:spacing w:after="0"/>
        <w:rPr>
          <w:sz w:val="20"/>
          <w:szCs w:val="20"/>
          <w:color w:val="auto"/>
        </w:rPr>
      </w:pPr>
      <w:r>
        <w:rPr>
          <w:rFonts w:ascii="Arial" w:cs="Arial" w:eastAsia="Arial" w:hAnsi="Arial"/>
          <w:sz w:val="18"/>
          <w:szCs w:val="18"/>
          <w:color w:val="4C4C4C"/>
        </w:rPr>
        <w:t>For Mr. Spehar, the amount disclosed in this column also includes amounts paid by the Company for relocation and related expenses ($223,906, of which $123,737 was reimbursement for the payment of taxes) under the Brighthouse relocation policy, annual corporate credit card fees and event tickets.</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66 | 2021 Proxy Statement</w:t>
      </w:r>
    </w:p>
    <w:p>
      <w:pPr>
        <w:sectPr>
          <w:pgSz w:w="11900" w:h="16838" w:orient="portrait"/>
          <w:cols w:equalWidth="0" w:num="1">
            <w:col w:w="11140"/>
          </w:cols>
          <w:pgMar w:left="320" w:top="459" w:right="4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Grants of Plan-Based Awards in 2020</w:t>
      </w:r>
    </w:p>
    <w:p>
      <w:pPr>
        <w:spacing w:after="0" w:line="200" w:lineRule="exact"/>
        <w:rPr>
          <w:sz w:val="20"/>
          <w:szCs w:val="20"/>
          <w:color w:val="auto"/>
        </w:rPr>
      </w:pPr>
    </w:p>
    <w:p>
      <w:pPr>
        <w:sectPr>
          <w:pgSz w:w="11900" w:h="16838" w:orient="portrait"/>
          <w:cols w:equalWidth="0" w:num="2">
            <w:col w:w="8180" w:space="720"/>
            <w:col w:w="2240"/>
          </w:cols>
          <w:pgMar w:left="320" w:top="459" w:right="439" w:bottom="1440" w:gutter="0" w:footer="0" w:header="0"/>
          <w:type w:val="continuous"/>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Grants of Plan-Based Awards in 2020</w:t>
      </w:r>
    </w:p>
    <w:p>
      <w:pPr>
        <w:spacing w:after="0" w:line="125"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4C4C4C"/>
        </w:rPr>
        <w:t>The following table presents individual awards granted to each NEO for 2020. For information about these awards, see “</w:t>
      </w:r>
      <w:r>
        <w:rPr>
          <w:rFonts w:ascii="Arial" w:cs="Arial" w:eastAsia="Arial" w:hAnsi="Arial"/>
          <w:sz w:val="18"/>
          <w:szCs w:val="18"/>
          <w:color w:val="00ADBB"/>
        </w:rPr>
        <w:t>Compensation</w:t>
      </w:r>
      <w:r>
        <w:rPr>
          <w:rFonts w:ascii="Arial" w:cs="Arial" w:eastAsia="Arial" w:hAnsi="Arial"/>
          <w:sz w:val="18"/>
          <w:szCs w:val="18"/>
          <w:color w:val="4C4C4C"/>
        </w:rPr>
        <w:t xml:space="preserve"> </w:t>
      </w:r>
      <w:r>
        <w:rPr>
          <w:rFonts w:ascii="Arial" w:cs="Arial" w:eastAsia="Arial" w:hAnsi="Arial"/>
          <w:sz w:val="18"/>
          <w:szCs w:val="18"/>
          <w:color w:val="00ADBB"/>
        </w:rPr>
        <w:t>Discussion and Analysis – Section 2 – Our 2020 Executive Compensation Program</w:t>
      </w:r>
      <w:r>
        <w:rPr>
          <w:rFonts w:ascii="Arial" w:cs="Arial" w:eastAsia="Arial" w:hAnsi="Arial"/>
          <w:sz w:val="18"/>
          <w:szCs w:val="18"/>
          <w:color w:val="4C4C4C"/>
        </w:rPr>
        <w: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140" w:type="dxa"/>
            <w:vAlign w:val="bottom"/>
            <w:shd w:val="clear" w:color="auto" w:fill="00ADBB"/>
          </w:tcPr>
          <w:p>
            <w:pPr>
              <w:spacing w:after="0"/>
              <w:rPr>
                <w:sz w:val="10"/>
                <w:szCs w:val="10"/>
                <w:color w:val="auto"/>
              </w:rPr>
            </w:pPr>
          </w:p>
        </w:tc>
        <w:tc>
          <w:tcPr>
            <w:tcW w:w="60" w:type="dxa"/>
            <w:vAlign w:val="bottom"/>
            <w:shd w:val="clear" w:color="auto" w:fill="00ADBB"/>
          </w:tcPr>
          <w:p>
            <w:pPr>
              <w:spacing w:after="0"/>
              <w:rPr>
                <w:sz w:val="10"/>
                <w:szCs w:val="10"/>
                <w:color w:val="auto"/>
              </w:rPr>
            </w:pPr>
          </w:p>
        </w:tc>
        <w:tc>
          <w:tcPr>
            <w:tcW w:w="2040" w:type="dxa"/>
            <w:vAlign w:val="bottom"/>
            <w:shd w:val="clear" w:color="auto" w:fill="00ADBB"/>
          </w:tcPr>
          <w:p>
            <w:pPr>
              <w:spacing w:after="0"/>
              <w:rPr>
                <w:sz w:val="10"/>
                <w:szCs w:val="10"/>
                <w:color w:val="auto"/>
              </w:rPr>
            </w:pPr>
          </w:p>
        </w:tc>
        <w:tc>
          <w:tcPr>
            <w:tcW w:w="600" w:type="dxa"/>
            <w:vAlign w:val="bottom"/>
            <w:shd w:val="clear" w:color="auto" w:fill="00ADBB"/>
          </w:tcPr>
          <w:p>
            <w:pPr>
              <w:spacing w:after="0"/>
              <w:rPr>
                <w:sz w:val="10"/>
                <w:szCs w:val="10"/>
                <w:color w:val="auto"/>
              </w:rPr>
            </w:pPr>
          </w:p>
        </w:tc>
        <w:tc>
          <w:tcPr>
            <w:tcW w:w="700" w:type="dxa"/>
            <w:vAlign w:val="bottom"/>
            <w:shd w:val="clear" w:color="auto" w:fill="00ADBB"/>
          </w:tcPr>
          <w:p>
            <w:pPr>
              <w:spacing w:after="0"/>
              <w:rPr>
                <w:sz w:val="10"/>
                <w:szCs w:val="10"/>
                <w:color w:val="auto"/>
              </w:rPr>
            </w:pPr>
          </w:p>
        </w:tc>
        <w:tc>
          <w:tcPr>
            <w:tcW w:w="4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720" w:type="dxa"/>
            <w:vAlign w:val="bottom"/>
            <w:shd w:val="clear" w:color="auto" w:fill="00ADBB"/>
          </w:tcPr>
          <w:p>
            <w:pPr>
              <w:spacing w:after="0"/>
              <w:rPr>
                <w:sz w:val="10"/>
                <w:szCs w:val="10"/>
                <w:color w:val="auto"/>
              </w:rPr>
            </w:pPr>
          </w:p>
        </w:tc>
        <w:tc>
          <w:tcPr>
            <w:tcW w:w="9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16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w w:val="95"/>
              </w:rPr>
              <w:t>Grant</w:t>
            </w:r>
          </w:p>
        </w:tc>
        <w:tc>
          <w:tcPr>
            <w:tcW w:w="0" w:type="dxa"/>
            <w:vAlign w:val="bottom"/>
          </w:tcPr>
          <w:p>
            <w:pPr>
              <w:spacing w:after="0"/>
              <w:rPr>
                <w:sz w:val="1"/>
                <w:szCs w:val="1"/>
                <w:color w:val="auto"/>
              </w:rPr>
            </w:pPr>
          </w:p>
        </w:tc>
      </w:tr>
      <w:tr>
        <w:trPr>
          <w:trHeight w:val="122"/>
        </w:trPr>
        <w:tc>
          <w:tcPr>
            <w:tcW w:w="1140" w:type="dxa"/>
            <w:vAlign w:val="bottom"/>
            <w:shd w:val="clear" w:color="auto" w:fill="00ADBB"/>
          </w:tcPr>
          <w:p>
            <w:pPr>
              <w:spacing w:after="0"/>
              <w:rPr>
                <w:sz w:val="10"/>
                <w:szCs w:val="10"/>
                <w:color w:val="auto"/>
              </w:rPr>
            </w:pPr>
          </w:p>
        </w:tc>
        <w:tc>
          <w:tcPr>
            <w:tcW w:w="60" w:type="dxa"/>
            <w:vAlign w:val="bottom"/>
            <w:shd w:val="clear" w:color="auto" w:fill="00ADBB"/>
          </w:tcPr>
          <w:p>
            <w:pPr>
              <w:spacing w:after="0"/>
              <w:rPr>
                <w:sz w:val="10"/>
                <w:szCs w:val="10"/>
                <w:color w:val="auto"/>
              </w:rPr>
            </w:pPr>
          </w:p>
        </w:tc>
        <w:tc>
          <w:tcPr>
            <w:tcW w:w="2040" w:type="dxa"/>
            <w:vAlign w:val="bottom"/>
            <w:shd w:val="clear" w:color="auto" w:fill="00ADBB"/>
          </w:tcPr>
          <w:p>
            <w:pPr>
              <w:spacing w:after="0"/>
              <w:rPr>
                <w:sz w:val="10"/>
                <w:szCs w:val="10"/>
                <w:color w:val="auto"/>
              </w:rPr>
            </w:pPr>
          </w:p>
        </w:tc>
        <w:tc>
          <w:tcPr>
            <w:tcW w:w="600" w:type="dxa"/>
            <w:vAlign w:val="bottom"/>
            <w:shd w:val="clear" w:color="auto" w:fill="00ADBB"/>
          </w:tcPr>
          <w:p>
            <w:pPr>
              <w:spacing w:after="0"/>
              <w:rPr>
                <w:sz w:val="10"/>
                <w:szCs w:val="10"/>
                <w:color w:val="auto"/>
              </w:rPr>
            </w:pPr>
          </w:p>
        </w:tc>
        <w:tc>
          <w:tcPr>
            <w:tcW w:w="700" w:type="dxa"/>
            <w:vAlign w:val="bottom"/>
            <w:shd w:val="clear" w:color="auto" w:fill="00ADBB"/>
          </w:tcPr>
          <w:p>
            <w:pPr>
              <w:spacing w:after="0"/>
              <w:rPr>
                <w:sz w:val="10"/>
                <w:szCs w:val="10"/>
                <w:color w:val="auto"/>
              </w:rPr>
            </w:pPr>
          </w:p>
        </w:tc>
        <w:tc>
          <w:tcPr>
            <w:tcW w:w="40" w:type="dxa"/>
            <w:vAlign w:val="bottom"/>
            <w:shd w:val="clear" w:color="auto" w:fill="00ADBB"/>
          </w:tcPr>
          <w:p>
            <w:pPr>
              <w:spacing w:after="0"/>
              <w:rPr>
                <w:sz w:val="10"/>
                <w:szCs w:val="10"/>
                <w:color w:val="auto"/>
              </w:rPr>
            </w:pPr>
          </w:p>
        </w:tc>
        <w:tc>
          <w:tcPr>
            <w:tcW w:w="2540" w:type="dxa"/>
            <w:vAlign w:val="bottom"/>
            <w:gridSpan w:val="4"/>
            <w:vMerge w:val="restart"/>
            <w:shd w:val="clear" w:color="auto" w:fill="00ADBB"/>
          </w:tcPr>
          <w:p>
            <w:pPr>
              <w:jc w:val="center"/>
              <w:ind w:right="11"/>
              <w:spacing w:after="0"/>
              <w:rPr>
                <w:sz w:val="20"/>
                <w:szCs w:val="20"/>
                <w:color w:val="auto"/>
              </w:rPr>
            </w:pPr>
            <w:r>
              <w:rPr>
                <w:rFonts w:ascii="Arial" w:cs="Arial" w:eastAsia="Arial" w:hAnsi="Arial"/>
                <w:sz w:val="11"/>
                <w:szCs w:val="11"/>
                <w:b w:val="1"/>
                <w:bCs w:val="1"/>
                <w:color w:val="FFFFFF"/>
                <w:w w:val="97"/>
              </w:rPr>
              <w:t>Estimated future payouts under</w:t>
            </w:r>
          </w:p>
        </w:tc>
        <w:tc>
          <w:tcPr>
            <w:tcW w:w="2300" w:type="dxa"/>
            <w:vAlign w:val="bottom"/>
            <w:gridSpan w:val="3"/>
            <w:vMerge w:val="restart"/>
            <w:shd w:val="clear" w:color="auto" w:fill="00ADBB"/>
          </w:tcPr>
          <w:p>
            <w:pPr>
              <w:jc w:val="center"/>
              <w:spacing w:after="0"/>
              <w:rPr>
                <w:sz w:val="20"/>
                <w:szCs w:val="20"/>
                <w:color w:val="auto"/>
              </w:rPr>
            </w:pPr>
            <w:r>
              <w:rPr>
                <w:rFonts w:ascii="Arial" w:cs="Arial" w:eastAsia="Arial" w:hAnsi="Arial"/>
                <w:sz w:val="11"/>
                <w:szCs w:val="11"/>
                <w:b w:val="1"/>
                <w:bCs w:val="1"/>
                <w:color w:val="FFFFFF"/>
                <w:w w:val="98"/>
              </w:rPr>
              <w:t>Estimated future payouts under equity</w:t>
            </w:r>
          </w:p>
        </w:tc>
        <w:tc>
          <w:tcPr>
            <w:tcW w:w="680" w:type="dxa"/>
            <w:vAlign w:val="bottom"/>
            <w:shd w:val="clear" w:color="auto" w:fill="00ADBB"/>
          </w:tcPr>
          <w:p>
            <w:pPr>
              <w:spacing w:after="0"/>
              <w:rPr>
                <w:sz w:val="10"/>
                <w:szCs w:val="10"/>
                <w:color w:val="auto"/>
              </w:rPr>
            </w:pPr>
          </w:p>
        </w:tc>
        <w:tc>
          <w:tcPr>
            <w:tcW w:w="16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2" w:lineRule="exact"/>
              <w:rPr>
                <w:sz w:val="20"/>
                <w:szCs w:val="20"/>
                <w:color w:val="auto"/>
              </w:rPr>
            </w:pPr>
            <w:r>
              <w:rPr>
                <w:rFonts w:ascii="Arial" w:cs="Arial" w:eastAsia="Arial" w:hAnsi="Arial"/>
                <w:sz w:val="11"/>
                <w:szCs w:val="11"/>
                <w:b w:val="1"/>
                <w:bCs w:val="1"/>
                <w:color w:val="FFFFFF"/>
              </w:rPr>
              <w:t>Date</w:t>
            </w:r>
          </w:p>
        </w:tc>
        <w:tc>
          <w:tcPr>
            <w:tcW w:w="0" w:type="dxa"/>
            <w:vAlign w:val="bottom"/>
          </w:tcPr>
          <w:p>
            <w:pPr>
              <w:spacing w:after="0"/>
              <w:rPr>
                <w:sz w:val="1"/>
                <w:szCs w:val="1"/>
                <w:color w:val="auto"/>
              </w:rPr>
            </w:pPr>
          </w:p>
        </w:tc>
      </w:tr>
      <w:tr>
        <w:trPr>
          <w:trHeight w:val="106"/>
        </w:trPr>
        <w:tc>
          <w:tcPr>
            <w:tcW w:w="1140" w:type="dxa"/>
            <w:vAlign w:val="bottom"/>
            <w:shd w:val="clear" w:color="auto" w:fill="00ADBB"/>
          </w:tcPr>
          <w:p>
            <w:pPr>
              <w:spacing w:after="0"/>
              <w:rPr>
                <w:sz w:val="9"/>
                <w:szCs w:val="9"/>
                <w:color w:val="auto"/>
              </w:rPr>
            </w:pPr>
          </w:p>
        </w:tc>
        <w:tc>
          <w:tcPr>
            <w:tcW w:w="60" w:type="dxa"/>
            <w:vAlign w:val="bottom"/>
            <w:shd w:val="clear" w:color="auto" w:fill="00ADBB"/>
          </w:tcPr>
          <w:p>
            <w:pPr>
              <w:spacing w:after="0"/>
              <w:rPr>
                <w:sz w:val="9"/>
                <w:szCs w:val="9"/>
                <w:color w:val="auto"/>
              </w:rPr>
            </w:pPr>
          </w:p>
        </w:tc>
        <w:tc>
          <w:tcPr>
            <w:tcW w:w="2040" w:type="dxa"/>
            <w:vAlign w:val="bottom"/>
            <w:shd w:val="clear" w:color="auto" w:fill="00ADBB"/>
          </w:tcPr>
          <w:p>
            <w:pPr>
              <w:spacing w:after="0"/>
              <w:rPr>
                <w:sz w:val="9"/>
                <w:szCs w:val="9"/>
                <w:color w:val="auto"/>
              </w:rPr>
            </w:pPr>
          </w:p>
        </w:tc>
        <w:tc>
          <w:tcPr>
            <w:tcW w:w="600" w:type="dxa"/>
            <w:vAlign w:val="bottom"/>
            <w:shd w:val="clear" w:color="auto" w:fill="00ADBB"/>
          </w:tcPr>
          <w:p>
            <w:pPr>
              <w:spacing w:after="0"/>
              <w:rPr>
                <w:sz w:val="9"/>
                <w:szCs w:val="9"/>
                <w:color w:val="auto"/>
              </w:rPr>
            </w:pPr>
          </w:p>
        </w:tc>
        <w:tc>
          <w:tcPr>
            <w:tcW w:w="700" w:type="dxa"/>
            <w:vAlign w:val="bottom"/>
            <w:shd w:val="clear" w:color="auto" w:fill="00ADBB"/>
          </w:tcPr>
          <w:p>
            <w:pPr>
              <w:spacing w:after="0"/>
              <w:rPr>
                <w:sz w:val="9"/>
                <w:szCs w:val="9"/>
                <w:color w:val="auto"/>
              </w:rPr>
            </w:pPr>
          </w:p>
        </w:tc>
        <w:tc>
          <w:tcPr>
            <w:tcW w:w="40" w:type="dxa"/>
            <w:vAlign w:val="bottom"/>
            <w:shd w:val="clear" w:color="auto" w:fill="00ADBB"/>
          </w:tcPr>
          <w:p>
            <w:pPr>
              <w:spacing w:after="0"/>
              <w:rPr>
                <w:sz w:val="9"/>
                <w:szCs w:val="9"/>
                <w:color w:val="auto"/>
              </w:rPr>
            </w:pPr>
          </w:p>
        </w:tc>
        <w:tc>
          <w:tcPr>
            <w:tcW w:w="2540" w:type="dxa"/>
            <w:vAlign w:val="bottom"/>
            <w:gridSpan w:val="4"/>
            <w:vMerge w:val="continue"/>
            <w:shd w:val="clear" w:color="auto" w:fill="00ADBB"/>
          </w:tcPr>
          <w:p>
            <w:pPr>
              <w:spacing w:after="0"/>
              <w:rPr>
                <w:sz w:val="9"/>
                <w:szCs w:val="9"/>
                <w:color w:val="auto"/>
              </w:rPr>
            </w:pPr>
          </w:p>
        </w:tc>
        <w:tc>
          <w:tcPr>
            <w:tcW w:w="2300" w:type="dxa"/>
            <w:vAlign w:val="bottom"/>
            <w:gridSpan w:val="3"/>
            <w:vMerge w:val="continue"/>
            <w:shd w:val="clear" w:color="auto" w:fill="00ADBB"/>
          </w:tcPr>
          <w:p>
            <w:pPr>
              <w:spacing w:after="0"/>
              <w:rPr>
                <w:sz w:val="9"/>
                <w:szCs w:val="9"/>
                <w:color w:val="auto"/>
              </w:rPr>
            </w:pPr>
          </w:p>
        </w:tc>
        <w:tc>
          <w:tcPr>
            <w:tcW w:w="680" w:type="dxa"/>
            <w:vAlign w:val="bottom"/>
            <w:shd w:val="clear" w:color="auto" w:fill="00ADBB"/>
          </w:tcPr>
          <w:p>
            <w:pPr>
              <w:jc w:val="center"/>
              <w:spacing w:after="0" w:line="107" w:lineRule="exact"/>
              <w:rPr>
                <w:sz w:val="20"/>
                <w:szCs w:val="20"/>
                <w:color w:val="auto"/>
              </w:rPr>
            </w:pPr>
            <w:r>
              <w:rPr>
                <w:rFonts w:ascii="Arial" w:cs="Arial" w:eastAsia="Arial" w:hAnsi="Arial"/>
                <w:sz w:val="11"/>
                <w:szCs w:val="11"/>
                <w:b w:val="1"/>
                <w:bCs w:val="1"/>
                <w:color w:val="FFFFFF"/>
                <w:w w:val="98"/>
              </w:rPr>
              <w:t>All Other</w:t>
            </w:r>
          </w:p>
        </w:tc>
        <w:tc>
          <w:tcPr>
            <w:tcW w:w="160" w:type="dxa"/>
            <w:vAlign w:val="bottom"/>
            <w:shd w:val="clear" w:color="auto" w:fill="00ADBB"/>
          </w:tcPr>
          <w:p>
            <w:pPr>
              <w:spacing w:after="0"/>
              <w:rPr>
                <w:sz w:val="9"/>
                <w:szCs w:val="9"/>
                <w:color w:val="auto"/>
              </w:rPr>
            </w:pPr>
          </w:p>
        </w:tc>
        <w:tc>
          <w:tcPr>
            <w:tcW w:w="760" w:type="dxa"/>
            <w:vAlign w:val="bottom"/>
            <w:shd w:val="clear" w:color="auto" w:fill="00ADBB"/>
          </w:tcPr>
          <w:p>
            <w:pPr>
              <w:jc w:val="center"/>
              <w:ind w:right="136"/>
              <w:spacing w:after="0" w:line="107" w:lineRule="exact"/>
              <w:rPr>
                <w:sz w:val="20"/>
                <w:szCs w:val="20"/>
                <w:color w:val="auto"/>
              </w:rPr>
            </w:pPr>
            <w:r>
              <w:rPr>
                <w:rFonts w:ascii="Arial" w:cs="Arial" w:eastAsia="Arial" w:hAnsi="Arial"/>
                <w:sz w:val="11"/>
                <w:szCs w:val="11"/>
                <w:b w:val="1"/>
                <w:bCs w:val="1"/>
                <w:color w:val="FFFFFF"/>
                <w:w w:val="98"/>
              </w:rPr>
              <w:t>Fair</w:t>
            </w:r>
          </w:p>
        </w:tc>
        <w:tc>
          <w:tcPr>
            <w:tcW w:w="0" w:type="dxa"/>
            <w:vAlign w:val="bottom"/>
          </w:tcPr>
          <w:p>
            <w:pPr>
              <w:spacing w:after="0"/>
              <w:rPr>
                <w:sz w:val="1"/>
                <w:szCs w:val="1"/>
                <w:color w:val="auto"/>
              </w:rPr>
            </w:pPr>
          </w:p>
        </w:tc>
      </w:tr>
      <w:tr>
        <w:trPr>
          <w:trHeight w:val="137"/>
        </w:trPr>
        <w:tc>
          <w:tcPr>
            <w:tcW w:w="1140" w:type="dxa"/>
            <w:vAlign w:val="bottom"/>
            <w:shd w:val="clear" w:color="auto" w:fill="00ADBB"/>
          </w:tcPr>
          <w:p>
            <w:pPr>
              <w:spacing w:after="0"/>
              <w:rPr>
                <w:sz w:val="11"/>
                <w:szCs w:val="11"/>
                <w:color w:val="auto"/>
              </w:rPr>
            </w:pPr>
          </w:p>
        </w:tc>
        <w:tc>
          <w:tcPr>
            <w:tcW w:w="60" w:type="dxa"/>
            <w:vAlign w:val="bottom"/>
            <w:shd w:val="clear" w:color="auto" w:fill="00ADBB"/>
          </w:tcPr>
          <w:p>
            <w:pPr>
              <w:spacing w:after="0"/>
              <w:rPr>
                <w:sz w:val="11"/>
                <w:szCs w:val="11"/>
                <w:color w:val="auto"/>
              </w:rPr>
            </w:pPr>
          </w:p>
        </w:tc>
        <w:tc>
          <w:tcPr>
            <w:tcW w:w="2040" w:type="dxa"/>
            <w:vAlign w:val="bottom"/>
            <w:shd w:val="clear" w:color="auto" w:fill="00ADBB"/>
          </w:tcPr>
          <w:p>
            <w:pPr>
              <w:spacing w:after="0"/>
              <w:rPr>
                <w:sz w:val="11"/>
                <w:szCs w:val="11"/>
                <w:color w:val="auto"/>
              </w:rPr>
            </w:pPr>
          </w:p>
        </w:tc>
        <w:tc>
          <w:tcPr>
            <w:tcW w:w="600" w:type="dxa"/>
            <w:vAlign w:val="bottom"/>
            <w:shd w:val="clear" w:color="auto" w:fill="00ADBB"/>
          </w:tcPr>
          <w:p>
            <w:pPr>
              <w:spacing w:after="0"/>
              <w:rPr>
                <w:sz w:val="11"/>
                <w:szCs w:val="11"/>
                <w:color w:val="auto"/>
              </w:rPr>
            </w:pPr>
          </w:p>
        </w:tc>
        <w:tc>
          <w:tcPr>
            <w:tcW w:w="700" w:type="dxa"/>
            <w:vAlign w:val="bottom"/>
            <w:shd w:val="clear" w:color="auto" w:fill="00ADBB"/>
          </w:tcPr>
          <w:p>
            <w:pPr>
              <w:spacing w:after="0"/>
              <w:rPr>
                <w:sz w:val="11"/>
                <w:szCs w:val="11"/>
                <w:color w:val="auto"/>
              </w:rPr>
            </w:pPr>
          </w:p>
        </w:tc>
        <w:tc>
          <w:tcPr>
            <w:tcW w:w="40" w:type="dxa"/>
            <w:vAlign w:val="bottom"/>
            <w:shd w:val="clear" w:color="auto" w:fill="00ADBB"/>
          </w:tcPr>
          <w:p>
            <w:pPr>
              <w:spacing w:after="0"/>
              <w:rPr>
                <w:sz w:val="11"/>
                <w:szCs w:val="11"/>
                <w:color w:val="auto"/>
              </w:rPr>
            </w:pPr>
          </w:p>
        </w:tc>
        <w:tc>
          <w:tcPr>
            <w:tcW w:w="2540" w:type="dxa"/>
            <w:vAlign w:val="bottom"/>
            <w:gridSpan w:val="4"/>
            <w:shd w:val="clear" w:color="auto" w:fill="00ADBB"/>
          </w:tcPr>
          <w:p>
            <w:pPr>
              <w:jc w:val="center"/>
              <w:ind w:right="11"/>
              <w:spacing w:after="0"/>
              <w:rPr>
                <w:sz w:val="20"/>
                <w:szCs w:val="20"/>
                <w:color w:val="auto"/>
              </w:rPr>
            </w:pPr>
            <w:r>
              <w:rPr>
                <w:rFonts w:ascii="Arial" w:cs="Arial" w:eastAsia="Arial" w:hAnsi="Arial"/>
                <w:sz w:val="11"/>
                <w:szCs w:val="11"/>
                <w:b w:val="1"/>
                <w:bCs w:val="1"/>
                <w:color w:val="FFFFFF"/>
                <w:w w:val="97"/>
              </w:rPr>
              <w:t>non-equity incentive plan awards</w:t>
            </w:r>
          </w:p>
        </w:tc>
        <w:tc>
          <w:tcPr>
            <w:tcW w:w="2300" w:type="dxa"/>
            <w:vAlign w:val="bottom"/>
            <w:gridSpan w:val="3"/>
            <w:shd w:val="clear" w:color="auto" w:fill="00ADBB"/>
          </w:tcPr>
          <w:p>
            <w:pPr>
              <w:jc w:val="center"/>
              <w:spacing w:after="0"/>
              <w:rPr>
                <w:sz w:val="20"/>
                <w:szCs w:val="20"/>
                <w:color w:val="auto"/>
              </w:rPr>
            </w:pPr>
            <w:r>
              <w:rPr>
                <w:rFonts w:ascii="Arial" w:cs="Arial" w:eastAsia="Arial" w:hAnsi="Arial"/>
                <w:sz w:val="11"/>
                <w:szCs w:val="11"/>
                <w:b w:val="1"/>
                <w:bCs w:val="1"/>
                <w:color w:val="FFFFFF"/>
                <w:w w:val="97"/>
              </w:rPr>
              <w:t>incentive plan awards</w:t>
            </w:r>
          </w:p>
        </w:tc>
        <w:tc>
          <w:tcPr>
            <w:tcW w:w="6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9"/>
              </w:rPr>
              <w:t>Stock</w:t>
            </w:r>
          </w:p>
        </w:tc>
        <w:tc>
          <w:tcPr>
            <w:tcW w:w="160" w:type="dxa"/>
            <w:vAlign w:val="bottom"/>
            <w:shd w:val="clear" w:color="auto" w:fill="00ADBB"/>
          </w:tcPr>
          <w:p>
            <w:pPr>
              <w:spacing w:after="0"/>
              <w:rPr>
                <w:sz w:val="11"/>
                <w:szCs w:val="11"/>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w w:val="93"/>
              </w:rPr>
              <w:t>Value of</w:t>
            </w:r>
          </w:p>
        </w:tc>
        <w:tc>
          <w:tcPr>
            <w:tcW w:w="0" w:type="dxa"/>
            <w:vAlign w:val="bottom"/>
          </w:tcPr>
          <w:p>
            <w:pPr>
              <w:spacing w:after="0"/>
              <w:rPr>
                <w:sz w:val="1"/>
                <w:szCs w:val="1"/>
                <w:color w:val="auto"/>
              </w:rPr>
            </w:pPr>
          </w:p>
        </w:tc>
      </w:tr>
      <w:tr>
        <w:trPr>
          <w:trHeight w:val="122"/>
        </w:trPr>
        <w:tc>
          <w:tcPr>
            <w:tcW w:w="1140" w:type="dxa"/>
            <w:vAlign w:val="bottom"/>
            <w:shd w:val="clear" w:color="auto" w:fill="00ADBB"/>
          </w:tcPr>
          <w:p>
            <w:pPr>
              <w:spacing w:after="0"/>
              <w:rPr>
                <w:sz w:val="10"/>
                <w:szCs w:val="10"/>
                <w:color w:val="auto"/>
              </w:rPr>
            </w:pPr>
          </w:p>
        </w:tc>
        <w:tc>
          <w:tcPr>
            <w:tcW w:w="60" w:type="dxa"/>
            <w:vAlign w:val="bottom"/>
            <w:shd w:val="clear" w:color="auto" w:fill="00ADBB"/>
          </w:tcPr>
          <w:p>
            <w:pPr>
              <w:spacing w:after="0"/>
              <w:rPr>
                <w:sz w:val="10"/>
                <w:szCs w:val="10"/>
                <w:color w:val="auto"/>
              </w:rPr>
            </w:pPr>
          </w:p>
        </w:tc>
        <w:tc>
          <w:tcPr>
            <w:tcW w:w="2040" w:type="dxa"/>
            <w:vAlign w:val="bottom"/>
            <w:shd w:val="clear" w:color="auto" w:fill="00ADBB"/>
          </w:tcPr>
          <w:p>
            <w:pPr>
              <w:spacing w:after="0"/>
              <w:rPr>
                <w:sz w:val="10"/>
                <w:szCs w:val="10"/>
                <w:color w:val="auto"/>
              </w:rPr>
            </w:pPr>
          </w:p>
        </w:tc>
        <w:tc>
          <w:tcPr>
            <w:tcW w:w="600" w:type="dxa"/>
            <w:vAlign w:val="bottom"/>
            <w:shd w:val="clear" w:color="auto" w:fill="00ADBB"/>
          </w:tcPr>
          <w:p>
            <w:pPr>
              <w:spacing w:after="0"/>
              <w:rPr>
                <w:sz w:val="10"/>
                <w:szCs w:val="10"/>
                <w:color w:val="auto"/>
              </w:rPr>
            </w:pPr>
          </w:p>
        </w:tc>
        <w:tc>
          <w:tcPr>
            <w:tcW w:w="700" w:type="dxa"/>
            <w:vAlign w:val="bottom"/>
            <w:shd w:val="clear" w:color="auto" w:fill="00ADBB"/>
          </w:tcPr>
          <w:p>
            <w:pPr>
              <w:spacing w:after="0"/>
              <w:rPr>
                <w:sz w:val="10"/>
                <w:szCs w:val="10"/>
                <w:color w:val="auto"/>
              </w:rPr>
            </w:pPr>
          </w:p>
        </w:tc>
        <w:tc>
          <w:tcPr>
            <w:tcW w:w="4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720" w:type="dxa"/>
            <w:vAlign w:val="bottom"/>
            <w:shd w:val="clear" w:color="auto" w:fill="00ADBB"/>
          </w:tcPr>
          <w:p>
            <w:pPr>
              <w:spacing w:after="0"/>
              <w:rPr>
                <w:sz w:val="10"/>
                <w:szCs w:val="10"/>
                <w:color w:val="auto"/>
              </w:rPr>
            </w:pPr>
          </w:p>
        </w:tc>
        <w:tc>
          <w:tcPr>
            <w:tcW w:w="9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16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2" w:lineRule="exact"/>
              <w:rPr>
                <w:sz w:val="20"/>
                <w:szCs w:val="20"/>
                <w:color w:val="auto"/>
              </w:rPr>
            </w:pPr>
            <w:r>
              <w:rPr>
                <w:rFonts w:ascii="Arial" w:cs="Arial" w:eastAsia="Arial" w:hAnsi="Arial"/>
                <w:sz w:val="11"/>
                <w:szCs w:val="11"/>
                <w:b w:val="1"/>
                <w:bCs w:val="1"/>
                <w:color w:val="FFFFFF"/>
                <w:w w:val="93"/>
              </w:rPr>
              <w:t>Stock</w:t>
            </w:r>
          </w:p>
        </w:tc>
        <w:tc>
          <w:tcPr>
            <w:tcW w:w="0" w:type="dxa"/>
            <w:vAlign w:val="bottom"/>
          </w:tcPr>
          <w:p>
            <w:pPr>
              <w:spacing w:after="0"/>
              <w:rPr>
                <w:sz w:val="1"/>
                <w:szCs w:val="1"/>
                <w:color w:val="auto"/>
              </w:rPr>
            </w:pPr>
          </w:p>
        </w:tc>
      </w:tr>
      <w:tr>
        <w:trPr>
          <w:trHeight w:val="122"/>
        </w:trPr>
        <w:tc>
          <w:tcPr>
            <w:tcW w:w="1140" w:type="dxa"/>
            <w:vAlign w:val="bottom"/>
            <w:shd w:val="clear" w:color="auto" w:fill="00ADBB"/>
          </w:tcPr>
          <w:p>
            <w:pPr>
              <w:spacing w:after="0"/>
              <w:rPr>
                <w:sz w:val="10"/>
                <w:szCs w:val="10"/>
                <w:color w:val="auto"/>
              </w:rPr>
            </w:pPr>
          </w:p>
        </w:tc>
        <w:tc>
          <w:tcPr>
            <w:tcW w:w="60" w:type="dxa"/>
            <w:vAlign w:val="bottom"/>
            <w:shd w:val="clear" w:color="auto" w:fill="00ADBB"/>
          </w:tcPr>
          <w:p>
            <w:pPr>
              <w:spacing w:after="0"/>
              <w:rPr>
                <w:sz w:val="10"/>
                <w:szCs w:val="10"/>
                <w:color w:val="auto"/>
              </w:rPr>
            </w:pPr>
          </w:p>
        </w:tc>
        <w:tc>
          <w:tcPr>
            <w:tcW w:w="2040" w:type="dxa"/>
            <w:vAlign w:val="bottom"/>
            <w:shd w:val="clear" w:color="auto" w:fill="00ADBB"/>
          </w:tcPr>
          <w:p>
            <w:pPr>
              <w:spacing w:after="0"/>
              <w:rPr>
                <w:sz w:val="10"/>
                <w:szCs w:val="10"/>
                <w:color w:val="auto"/>
              </w:rPr>
            </w:pPr>
          </w:p>
        </w:tc>
        <w:tc>
          <w:tcPr>
            <w:tcW w:w="600" w:type="dxa"/>
            <w:vAlign w:val="bottom"/>
            <w:shd w:val="clear" w:color="auto" w:fill="00ADBB"/>
          </w:tcPr>
          <w:p>
            <w:pPr>
              <w:spacing w:after="0"/>
              <w:rPr>
                <w:sz w:val="10"/>
                <w:szCs w:val="10"/>
                <w:color w:val="auto"/>
              </w:rPr>
            </w:pPr>
          </w:p>
        </w:tc>
        <w:tc>
          <w:tcPr>
            <w:tcW w:w="700" w:type="dxa"/>
            <w:vAlign w:val="bottom"/>
            <w:shd w:val="clear" w:color="auto" w:fill="00ADBB"/>
          </w:tcPr>
          <w:p>
            <w:pPr>
              <w:spacing w:after="0"/>
              <w:rPr>
                <w:sz w:val="10"/>
                <w:szCs w:val="10"/>
                <w:color w:val="auto"/>
              </w:rPr>
            </w:pPr>
          </w:p>
        </w:tc>
        <w:tc>
          <w:tcPr>
            <w:tcW w:w="4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720" w:type="dxa"/>
            <w:vAlign w:val="bottom"/>
            <w:shd w:val="clear" w:color="auto" w:fill="00ADBB"/>
          </w:tcPr>
          <w:p>
            <w:pPr>
              <w:spacing w:after="0"/>
              <w:rPr>
                <w:sz w:val="10"/>
                <w:szCs w:val="10"/>
                <w:color w:val="auto"/>
              </w:rPr>
            </w:pPr>
          </w:p>
        </w:tc>
        <w:tc>
          <w:tcPr>
            <w:tcW w:w="9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right"/>
              <w:ind w:right="18"/>
              <w:spacing w:after="0" w:line="122" w:lineRule="exact"/>
              <w:rPr>
                <w:sz w:val="20"/>
                <w:szCs w:val="20"/>
                <w:color w:val="auto"/>
              </w:rPr>
            </w:pPr>
            <w:r>
              <w:rPr>
                <w:rFonts w:ascii="Arial" w:cs="Arial" w:eastAsia="Arial" w:hAnsi="Arial"/>
                <w:sz w:val="11"/>
                <w:szCs w:val="11"/>
                <w:b w:val="1"/>
                <w:bCs w:val="1"/>
                <w:color w:val="FFFFFF"/>
              </w:rPr>
              <w:t>Number of</w:t>
            </w:r>
          </w:p>
        </w:tc>
        <w:tc>
          <w:tcPr>
            <w:tcW w:w="16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2" w:lineRule="exact"/>
              <w:rPr>
                <w:sz w:val="20"/>
                <w:szCs w:val="20"/>
                <w:color w:val="auto"/>
              </w:rPr>
            </w:pPr>
            <w:r>
              <w:rPr>
                <w:rFonts w:ascii="Arial" w:cs="Arial" w:eastAsia="Arial" w:hAnsi="Arial"/>
                <w:sz w:val="11"/>
                <w:szCs w:val="11"/>
                <w:b w:val="1"/>
                <w:bCs w:val="1"/>
                <w:color w:val="FFFFFF"/>
              </w:rPr>
              <w:t>and</w:t>
            </w:r>
          </w:p>
        </w:tc>
        <w:tc>
          <w:tcPr>
            <w:tcW w:w="0" w:type="dxa"/>
            <w:vAlign w:val="bottom"/>
          </w:tcPr>
          <w:p>
            <w:pPr>
              <w:spacing w:after="0"/>
              <w:rPr>
                <w:sz w:val="1"/>
                <w:szCs w:val="1"/>
                <w:color w:val="auto"/>
              </w:rPr>
            </w:pPr>
          </w:p>
        </w:tc>
      </w:tr>
      <w:tr>
        <w:trPr>
          <w:trHeight w:val="122"/>
        </w:trPr>
        <w:tc>
          <w:tcPr>
            <w:tcW w:w="1140" w:type="dxa"/>
            <w:vAlign w:val="bottom"/>
            <w:shd w:val="clear" w:color="auto" w:fill="00ADBB"/>
          </w:tcPr>
          <w:p>
            <w:pPr>
              <w:spacing w:after="0"/>
              <w:rPr>
                <w:sz w:val="10"/>
                <w:szCs w:val="10"/>
                <w:color w:val="auto"/>
              </w:rPr>
            </w:pPr>
          </w:p>
        </w:tc>
        <w:tc>
          <w:tcPr>
            <w:tcW w:w="60" w:type="dxa"/>
            <w:vAlign w:val="bottom"/>
            <w:shd w:val="clear" w:color="auto" w:fill="00ADBB"/>
          </w:tcPr>
          <w:p>
            <w:pPr>
              <w:spacing w:after="0"/>
              <w:rPr>
                <w:sz w:val="10"/>
                <w:szCs w:val="10"/>
                <w:color w:val="auto"/>
              </w:rPr>
            </w:pPr>
          </w:p>
        </w:tc>
        <w:tc>
          <w:tcPr>
            <w:tcW w:w="2040" w:type="dxa"/>
            <w:vAlign w:val="bottom"/>
            <w:shd w:val="clear" w:color="auto" w:fill="00ADBB"/>
          </w:tcPr>
          <w:p>
            <w:pPr>
              <w:spacing w:after="0"/>
              <w:rPr>
                <w:sz w:val="10"/>
                <w:szCs w:val="10"/>
                <w:color w:val="auto"/>
              </w:rPr>
            </w:pPr>
          </w:p>
        </w:tc>
        <w:tc>
          <w:tcPr>
            <w:tcW w:w="600" w:type="dxa"/>
            <w:vAlign w:val="bottom"/>
            <w:shd w:val="clear" w:color="auto" w:fill="00ADBB"/>
          </w:tcPr>
          <w:p>
            <w:pPr>
              <w:ind w:left="120"/>
              <w:spacing w:after="0" w:line="122" w:lineRule="exact"/>
              <w:rPr>
                <w:sz w:val="20"/>
                <w:szCs w:val="20"/>
                <w:color w:val="auto"/>
              </w:rPr>
            </w:pPr>
            <w:r>
              <w:rPr>
                <w:rFonts w:ascii="Arial" w:cs="Arial" w:eastAsia="Arial" w:hAnsi="Arial"/>
                <w:sz w:val="11"/>
                <w:szCs w:val="11"/>
                <w:b w:val="1"/>
                <w:bCs w:val="1"/>
                <w:color w:val="FFFFFF"/>
              </w:rPr>
              <w:t>Grant</w:t>
            </w:r>
          </w:p>
        </w:tc>
        <w:tc>
          <w:tcPr>
            <w:tcW w:w="700" w:type="dxa"/>
            <w:vAlign w:val="bottom"/>
            <w:shd w:val="clear" w:color="auto" w:fill="00ADBB"/>
          </w:tcPr>
          <w:p>
            <w:pPr>
              <w:ind w:left="80"/>
              <w:spacing w:after="0" w:line="122" w:lineRule="exact"/>
              <w:rPr>
                <w:sz w:val="20"/>
                <w:szCs w:val="20"/>
                <w:color w:val="auto"/>
              </w:rPr>
            </w:pPr>
            <w:r>
              <w:rPr>
                <w:rFonts w:ascii="Arial" w:cs="Arial" w:eastAsia="Arial" w:hAnsi="Arial"/>
                <w:sz w:val="11"/>
                <w:szCs w:val="11"/>
                <w:b w:val="1"/>
                <w:bCs w:val="1"/>
                <w:color w:val="FFFFFF"/>
              </w:rPr>
              <w:t>Approval</w:t>
            </w:r>
          </w:p>
        </w:tc>
        <w:tc>
          <w:tcPr>
            <w:tcW w:w="4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720" w:type="dxa"/>
            <w:vAlign w:val="bottom"/>
            <w:shd w:val="clear" w:color="auto" w:fill="00ADBB"/>
          </w:tcPr>
          <w:p>
            <w:pPr>
              <w:spacing w:after="0"/>
              <w:rPr>
                <w:sz w:val="10"/>
                <w:szCs w:val="10"/>
                <w:color w:val="auto"/>
              </w:rPr>
            </w:pPr>
          </w:p>
        </w:tc>
        <w:tc>
          <w:tcPr>
            <w:tcW w:w="9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Shares of</w:t>
            </w:r>
          </w:p>
        </w:tc>
        <w:tc>
          <w:tcPr>
            <w:tcW w:w="16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2" w:lineRule="exact"/>
              <w:rPr>
                <w:sz w:val="20"/>
                <w:szCs w:val="20"/>
                <w:color w:val="auto"/>
              </w:rPr>
            </w:pPr>
            <w:r>
              <w:rPr>
                <w:rFonts w:ascii="Arial" w:cs="Arial" w:eastAsia="Arial" w:hAnsi="Arial"/>
                <w:sz w:val="11"/>
                <w:szCs w:val="11"/>
                <w:b w:val="1"/>
                <w:bCs w:val="1"/>
                <w:color w:val="FFFFFF"/>
              </w:rPr>
              <w:t>Option</w:t>
            </w:r>
          </w:p>
        </w:tc>
        <w:tc>
          <w:tcPr>
            <w:tcW w:w="0" w:type="dxa"/>
            <w:vAlign w:val="bottom"/>
          </w:tcPr>
          <w:p>
            <w:pPr>
              <w:spacing w:after="0"/>
              <w:rPr>
                <w:sz w:val="1"/>
                <w:szCs w:val="1"/>
                <w:color w:val="auto"/>
              </w:rPr>
            </w:pPr>
          </w:p>
        </w:tc>
      </w:tr>
      <w:tr>
        <w:trPr>
          <w:trHeight w:val="142"/>
        </w:trPr>
        <w:tc>
          <w:tcPr>
            <w:tcW w:w="1140" w:type="dxa"/>
            <w:vAlign w:val="bottom"/>
            <w:shd w:val="clear" w:color="auto" w:fill="00ADBB"/>
          </w:tcPr>
          <w:p>
            <w:pPr>
              <w:ind w:left="200"/>
              <w:spacing w:after="0"/>
              <w:rPr>
                <w:sz w:val="20"/>
                <w:szCs w:val="20"/>
                <w:color w:val="auto"/>
              </w:rPr>
            </w:pPr>
            <w:r>
              <w:rPr>
                <w:rFonts w:ascii="Arial" w:cs="Arial" w:eastAsia="Arial" w:hAnsi="Arial"/>
                <w:sz w:val="11"/>
                <w:szCs w:val="11"/>
                <w:b w:val="1"/>
                <w:bCs w:val="1"/>
                <w:color w:val="FFFFFF"/>
              </w:rPr>
              <w:t>Name</w:t>
            </w:r>
          </w:p>
        </w:tc>
        <w:tc>
          <w:tcPr>
            <w:tcW w:w="2100" w:type="dxa"/>
            <w:vAlign w:val="bottom"/>
            <w:gridSpan w:val="2"/>
            <w:shd w:val="clear" w:color="auto" w:fill="00ADBB"/>
          </w:tcPr>
          <w:p>
            <w:pPr>
              <w:ind w:left="60"/>
              <w:spacing w:after="0"/>
              <w:rPr>
                <w:sz w:val="20"/>
                <w:szCs w:val="20"/>
                <w:color w:val="auto"/>
              </w:rPr>
            </w:pPr>
            <w:r>
              <w:rPr>
                <w:rFonts w:ascii="Arial" w:cs="Arial" w:eastAsia="Arial" w:hAnsi="Arial"/>
                <w:sz w:val="11"/>
                <w:szCs w:val="11"/>
                <w:b w:val="1"/>
                <w:bCs w:val="1"/>
                <w:color w:val="FFFFFF"/>
              </w:rPr>
              <w:t>Grant Type</w:t>
            </w:r>
          </w:p>
        </w:tc>
        <w:tc>
          <w:tcPr>
            <w:tcW w:w="600" w:type="dxa"/>
            <w:vAlign w:val="bottom"/>
            <w:shd w:val="clear" w:color="auto" w:fill="00ADBB"/>
          </w:tcPr>
          <w:p>
            <w:pPr>
              <w:ind w:left="80"/>
              <w:spacing w:after="0"/>
              <w:rPr>
                <w:sz w:val="20"/>
                <w:szCs w:val="20"/>
                <w:color w:val="auto"/>
              </w:rPr>
            </w:pPr>
            <w:r>
              <w:rPr>
                <w:rFonts w:ascii="Arial" w:cs="Arial" w:eastAsia="Arial" w:hAnsi="Arial"/>
                <w:sz w:val="11"/>
                <w:szCs w:val="11"/>
                <w:b w:val="1"/>
                <w:bCs w:val="1"/>
                <w:color w:val="FFFFFF"/>
              </w:rPr>
              <w:t xml:space="preserve">Date </w:t>
            </w:r>
            <w:r>
              <w:rPr>
                <w:rFonts w:ascii="Arial" w:cs="Arial" w:eastAsia="Arial" w:hAnsi="Arial"/>
                <w:sz w:val="9"/>
                <w:szCs w:val="9"/>
                <w:b w:val="1"/>
                <w:bCs w:val="1"/>
                <w:color w:val="FFFFFF"/>
              </w:rPr>
              <w:t>(1)</w:t>
            </w:r>
          </w:p>
        </w:tc>
        <w:tc>
          <w:tcPr>
            <w:tcW w:w="700" w:type="dxa"/>
            <w:vAlign w:val="bottom"/>
            <w:shd w:val="clear" w:color="auto" w:fill="00ADBB"/>
          </w:tcPr>
          <w:p>
            <w:pPr>
              <w:ind w:left="140"/>
              <w:spacing w:after="0"/>
              <w:rPr>
                <w:sz w:val="20"/>
                <w:szCs w:val="20"/>
                <w:color w:val="auto"/>
              </w:rPr>
            </w:pPr>
            <w:r>
              <w:rPr>
                <w:rFonts w:ascii="Arial" w:cs="Arial" w:eastAsia="Arial" w:hAnsi="Arial"/>
                <w:sz w:val="11"/>
                <w:szCs w:val="11"/>
                <w:b w:val="1"/>
                <w:bCs w:val="1"/>
                <w:color w:val="FFFFFF"/>
              </w:rPr>
              <w:t xml:space="preserve">Date </w:t>
            </w:r>
            <w:r>
              <w:rPr>
                <w:rFonts w:ascii="Arial" w:cs="Arial" w:eastAsia="Arial" w:hAnsi="Arial"/>
                <w:sz w:val="9"/>
                <w:szCs w:val="9"/>
                <w:b w:val="1"/>
                <w:bCs w:val="1"/>
                <w:color w:val="FFFFFF"/>
              </w:rPr>
              <w:t>(1)</w:t>
            </w:r>
          </w:p>
        </w:tc>
        <w:tc>
          <w:tcPr>
            <w:tcW w:w="40" w:type="dxa"/>
            <w:vAlign w:val="bottom"/>
            <w:shd w:val="clear" w:color="auto" w:fill="00ADBB"/>
          </w:tcPr>
          <w:p>
            <w:pPr>
              <w:spacing w:after="0"/>
              <w:rPr>
                <w:sz w:val="12"/>
                <w:szCs w:val="12"/>
                <w:color w:val="auto"/>
              </w:rPr>
            </w:pPr>
          </w:p>
        </w:tc>
        <w:tc>
          <w:tcPr>
            <w:tcW w:w="740" w:type="dxa"/>
            <w:vAlign w:val="bottom"/>
            <w:shd w:val="clear" w:color="auto" w:fill="00ADBB"/>
          </w:tcPr>
          <w:p>
            <w:pPr>
              <w:spacing w:after="0"/>
              <w:rPr>
                <w:sz w:val="20"/>
                <w:szCs w:val="20"/>
                <w:color w:val="auto"/>
              </w:rPr>
            </w:pPr>
            <w:r>
              <w:rPr>
                <w:rFonts w:ascii="Arial" w:cs="Arial" w:eastAsia="Arial" w:hAnsi="Arial"/>
                <w:sz w:val="11"/>
                <w:szCs w:val="11"/>
                <w:b w:val="1"/>
                <w:bCs w:val="1"/>
                <w:color w:val="FFFFFF"/>
              </w:rPr>
              <w:t xml:space="preserve">Threshold </w:t>
            </w:r>
            <w:r>
              <w:rPr>
                <w:rFonts w:ascii="Arial" w:cs="Arial" w:eastAsia="Arial" w:hAnsi="Arial"/>
                <w:sz w:val="9"/>
                <w:szCs w:val="9"/>
                <w:b w:val="1"/>
                <w:bCs w:val="1"/>
                <w:color w:val="FFFFFF"/>
              </w:rPr>
              <w:t>(2)</w:t>
            </w:r>
          </w:p>
        </w:tc>
        <w:tc>
          <w:tcPr>
            <w:tcW w:w="180" w:type="dxa"/>
            <w:vAlign w:val="bottom"/>
            <w:shd w:val="clear" w:color="auto" w:fill="00ADBB"/>
          </w:tcPr>
          <w:p>
            <w:pPr>
              <w:spacing w:after="0"/>
              <w:rPr>
                <w:sz w:val="12"/>
                <w:szCs w:val="12"/>
                <w:color w:val="auto"/>
              </w:rPr>
            </w:pPr>
          </w:p>
        </w:tc>
        <w:tc>
          <w:tcPr>
            <w:tcW w:w="720" w:type="dxa"/>
            <w:vAlign w:val="bottom"/>
            <w:shd w:val="clear" w:color="auto" w:fill="00ADBB"/>
          </w:tcPr>
          <w:p>
            <w:pPr>
              <w:jc w:val="right"/>
              <w:ind w:right="211"/>
              <w:spacing w:after="0"/>
              <w:rPr>
                <w:sz w:val="20"/>
                <w:szCs w:val="20"/>
                <w:color w:val="auto"/>
              </w:rPr>
            </w:pPr>
            <w:r>
              <w:rPr>
                <w:rFonts w:ascii="Arial" w:cs="Arial" w:eastAsia="Arial" w:hAnsi="Arial"/>
                <w:sz w:val="11"/>
                <w:szCs w:val="11"/>
                <w:b w:val="1"/>
                <w:bCs w:val="1"/>
                <w:color w:val="FFFFFF"/>
              </w:rPr>
              <w:t>Target</w:t>
            </w:r>
          </w:p>
        </w:tc>
        <w:tc>
          <w:tcPr>
            <w:tcW w:w="9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8"/>
              </w:rPr>
              <w:t xml:space="preserve">Maximum </w:t>
            </w:r>
            <w:r>
              <w:rPr>
                <w:rFonts w:ascii="Arial" w:cs="Arial" w:eastAsia="Arial" w:hAnsi="Arial"/>
                <w:sz w:val="9"/>
                <w:szCs w:val="9"/>
                <w:b w:val="1"/>
                <w:bCs w:val="1"/>
                <w:color w:val="FFFFFF"/>
                <w:w w:val="98"/>
              </w:rPr>
              <w:t>(2)</w:t>
            </w:r>
          </w:p>
        </w:tc>
        <w:tc>
          <w:tcPr>
            <w:tcW w:w="840" w:type="dxa"/>
            <w:vAlign w:val="bottom"/>
            <w:shd w:val="clear" w:color="auto" w:fill="00ADBB"/>
          </w:tcPr>
          <w:p>
            <w:pPr>
              <w:jc w:val="right"/>
              <w:ind w:right="35"/>
              <w:spacing w:after="0"/>
              <w:rPr>
                <w:sz w:val="20"/>
                <w:szCs w:val="20"/>
                <w:color w:val="auto"/>
              </w:rPr>
            </w:pPr>
            <w:r>
              <w:rPr>
                <w:rFonts w:ascii="Arial" w:cs="Arial" w:eastAsia="Arial" w:hAnsi="Arial"/>
                <w:sz w:val="11"/>
                <w:szCs w:val="11"/>
                <w:b w:val="1"/>
                <w:bCs w:val="1"/>
                <w:color w:val="FFFFFF"/>
              </w:rPr>
              <w:t xml:space="preserve">Threshold </w:t>
            </w:r>
            <w:r>
              <w:rPr>
                <w:rFonts w:ascii="Arial" w:cs="Arial" w:eastAsia="Arial" w:hAnsi="Arial"/>
                <w:sz w:val="9"/>
                <w:szCs w:val="9"/>
                <w:b w:val="1"/>
                <w:bCs w:val="1"/>
                <w:color w:val="FFFFFF"/>
              </w:rPr>
              <w:t>(2)</w:t>
            </w:r>
          </w:p>
        </w:tc>
        <w:tc>
          <w:tcPr>
            <w:tcW w:w="62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840" w:type="dxa"/>
            <w:vAlign w:val="bottom"/>
            <w:shd w:val="clear" w:color="auto" w:fill="00ADBB"/>
          </w:tcPr>
          <w:p>
            <w:pPr>
              <w:jc w:val="right"/>
              <w:ind w:right="51"/>
              <w:spacing w:after="0"/>
              <w:rPr>
                <w:sz w:val="20"/>
                <w:szCs w:val="20"/>
                <w:color w:val="auto"/>
              </w:rPr>
            </w:pPr>
            <w:r>
              <w:rPr>
                <w:rFonts w:ascii="Arial" w:cs="Arial" w:eastAsia="Arial" w:hAnsi="Arial"/>
                <w:sz w:val="11"/>
                <w:szCs w:val="11"/>
                <w:b w:val="1"/>
                <w:bCs w:val="1"/>
                <w:color w:val="FFFFFF"/>
              </w:rPr>
              <w:t xml:space="preserve">Maximum </w:t>
            </w:r>
            <w:r>
              <w:rPr>
                <w:rFonts w:ascii="Arial" w:cs="Arial" w:eastAsia="Arial" w:hAnsi="Arial"/>
                <w:sz w:val="9"/>
                <w:szCs w:val="9"/>
                <w:b w:val="1"/>
                <w:bCs w:val="1"/>
                <w:color w:val="FFFFFF"/>
              </w:rPr>
              <w:t>(2)</w:t>
            </w:r>
          </w:p>
        </w:tc>
        <w:tc>
          <w:tcPr>
            <w:tcW w:w="6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9"/>
              </w:rPr>
              <w:t>Stock</w:t>
            </w:r>
          </w:p>
        </w:tc>
        <w:tc>
          <w:tcPr>
            <w:tcW w:w="160" w:type="dxa"/>
            <w:vAlign w:val="bottom"/>
            <w:shd w:val="clear" w:color="auto" w:fill="00ADBB"/>
          </w:tcPr>
          <w:p>
            <w:pPr>
              <w:spacing w:after="0"/>
              <w:rPr>
                <w:sz w:val="12"/>
                <w:szCs w:val="12"/>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w w:val="96"/>
              </w:rPr>
              <w:t xml:space="preserve">Awards </w:t>
            </w:r>
            <w:r>
              <w:rPr>
                <w:rFonts w:ascii="Arial" w:cs="Arial" w:eastAsia="Arial" w:hAnsi="Arial"/>
                <w:sz w:val="9"/>
                <w:szCs w:val="9"/>
                <w:b w:val="1"/>
                <w:bCs w:val="1"/>
                <w:color w:val="FFFFFF"/>
                <w:w w:val="96"/>
              </w:rPr>
              <w:t>(3)</w:t>
            </w:r>
          </w:p>
        </w:tc>
        <w:tc>
          <w:tcPr>
            <w:tcW w:w="0" w:type="dxa"/>
            <w:vAlign w:val="bottom"/>
          </w:tcPr>
          <w:p>
            <w:pPr>
              <w:spacing w:after="0"/>
              <w:rPr>
                <w:sz w:val="1"/>
                <w:szCs w:val="1"/>
                <w:color w:val="auto"/>
              </w:rPr>
            </w:pPr>
          </w:p>
        </w:tc>
      </w:tr>
      <w:tr>
        <w:trPr>
          <w:trHeight w:val="90"/>
        </w:trPr>
        <w:tc>
          <w:tcPr>
            <w:tcW w:w="1140" w:type="dxa"/>
            <w:vAlign w:val="bottom"/>
            <w:shd w:val="clear" w:color="auto" w:fill="00ADBB"/>
          </w:tcPr>
          <w:p>
            <w:pPr>
              <w:spacing w:after="0"/>
              <w:rPr>
                <w:sz w:val="7"/>
                <w:szCs w:val="7"/>
                <w:color w:val="auto"/>
              </w:rPr>
            </w:pPr>
          </w:p>
        </w:tc>
        <w:tc>
          <w:tcPr>
            <w:tcW w:w="60" w:type="dxa"/>
            <w:vAlign w:val="bottom"/>
            <w:shd w:val="clear" w:color="auto" w:fill="00ADBB"/>
          </w:tcPr>
          <w:p>
            <w:pPr>
              <w:spacing w:after="0"/>
              <w:rPr>
                <w:sz w:val="7"/>
                <w:szCs w:val="7"/>
                <w:color w:val="auto"/>
              </w:rPr>
            </w:pPr>
          </w:p>
        </w:tc>
        <w:tc>
          <w:tcPr>
            <w:tcW w:w="2040" w:type="dxa"/>
            <w:vAlign w:val="bottom"/>
            <w:shd w:val="clear" w:color="auto" w:fill="00ADBB"/>
          </w:tcPr>
          <w:p>
            <w:pPr>
              <w:spacing w:after="0"/>
              <w:rPr>
                <w:sz w:val="7"/>
                <w:szCs w:val="7"/>
                <w:color w:val="auto"/>
              </w:rPr>
            </w:pPr>
          </w:p>
        </w:tc>
        <w:tc>
          <w:tcPr>
            <w:tcW w:w="600" w:type="dxa"/>
            <w:vAlign w:val="bottom"/>
            <w:shd w:val="clear" w:color="auto" w:fill="00ADBB"/>
          </w:tcPr>
          <w:p>
            <w:pPr>
              <w:spacing w:after="0"/>
              <w:rPr>
                <w:sz w:val="7"/>
                <w:szCs w:val="7"/>
                <w:color w:val="auto"/>
              </w:rPr>
            </w:pPr>
          </w:p>
        </w:tc>
        <w:tc>
          <w:tcPr>
            <w:tcW w:w="700" w:type="dxa"/>
            <w:vAlign w:val="bottom"/>
            <w:shd w:val="clear" w:color="auto" w:fill="00ADBB"/>
          </w:tcPr>
          <w:p>
            <w:pPr>
              <w:spacing w:after="0"/>
              <w:rPr>
                <w:sz w:val="7"/>
                <w:szCs w:val="7"/>
                <w:color w:val="auto"/>
              </w:rPr>
            </w:pPr>
          </w:p>
        </w:tc>
        <w:tc>
          <w:tcPr>
            <w:tcW w:w="40" w:type="dxa"/>
            <w:vAlign w:val="bottom"/>
            <w:shd w:val="clear" w:color="auto" w:fill="00ADBB"/>
          </w:tcPr>
          <w:p>
            <w:pPr>
              <w:spacing w:after="0"/>
              <w:rPr>
                <w:sz w:val="7"/>
                <w:szCs w:val="7"/>
                <w:color w:val="auto"/>
              </w:rPr>
            </w:pPr>
          </w:p>
        </w:tc>
        <w:tc>
          <w:tcPr>
            <w:tcW w:w="740" w:type="dxa"/>
            <w:vAlign w:val="bottom"/>
            <w:shd w:val="clear" w:color="auto" w:fill="00ADBB"/>
          </w:tcPr>
          <w:p>
            <w:pPr>
              <w:spacing w:after="0"/>
              <w:rPr>
                <w:sz w:val="7"/>
                <w:szCs w:val="7"/>
                <w:color w:val="auto"/>
              </w:rPr>
            </w:pPr>
          </w:p>
        </w:tc>
        <w:tc>
          <w:tcPr>
            <w:tcW w:w="180" w:type="dxa"/>
            <w:vAlign w:val="bottom"/>
            <w:shd w:val="clear" w:color="auto" w:fill="00ADBB"/>
          </w:tcPr>
          <w:p>
            <w:pPr>
              <w:spacing w:after="0"/>
              <w:rPr>
                <w:sz w:val="7"/>
                <w:szCs w:val="7"/>
                <w:color w:val="auto"/>
              </w:rPr>
            </w:pPr>
          </w:p>
        </w:tc>
        <w:tc>
          <w:tcPr>
            <w:tcW w:w="720" w:type="dxa"/>
            <w:vAlign w:val="bottom"/>
            <w:shd w:val="clear" w:color="auto" w:fill="00ADBB"/>
          </w:tcPr>
          <w:p>
            <w:pPr>
              <w:spacing w:after="0"/>
              <w:rPr>
                <w:sz w:val="7"/>
                <w:szCs w:val="7"/>
                <w:color w:val="auto"/>
              </w:rPr>
            </w:pPr>
          </w:p>
        </w:tc>
        <w:tc>
          <w:tcPr>
            <w:tcW w:w="900" w:type="dxa"/>
            <w:vAlign w:val="bottom"/>
            <w:shd w:val="clear" w:color="auto" w:fill="00ADBB"/>
          </w:tcPr>
          <w:p>
            <w:pPr>
              <w:spacing w:after="0"/>
              <w:rPr>
                <w:sz w:val="7"/>
                <w:szCs w:val="7"/>
                <w:color w:val="auto"/>
              </w:rPr>
            </w:pPr>
          </w:p>
        </w:tc>
        <w:tc>
          <w:tcPr>
            <w:tcW w:w="840" w:type="dxa"/>
            <w:vAlign w:val="bottom"/>
            <w:shd w:val="clear" w:color="auto" w:fill="00ADBB"/>
          </w:tcPr>
          <w:p>
            <w:pPr>
              <w:spacing w:after="0"/>
              <w:rPr>
                <w:sz w:val="7"/>
                <w:szCs w:val="7"/>
                <w:color w:val="auto"/>
              </w:rPr>
            </w:pPr>
          </w:p>
        </w:tc>
        <w:tc>
          <w:tcPr>
            <w:tcW w:w="620" w:type="dxa"/>
            <w:vAlign w:val="bottom"/>
            <w:shd w:val="clear" w:color="auto" w:fill="00ADBB"/>
          </w:tcPr>
          <w:p>
            <w:pPr>
              <w:spacing w:after="0"/>
              <w:rPr>
                <w:sz w:val="7"/>
                <w:szCs w:val="7"/>
                <w:color w:val="auto"/>
              </w:rPr>
            </w:pPr>
          </w:p>
        </w:tc>
        <w:tc>
          <w:tcPr>
            <w:tcW w:w="840" w:type="dxa"/>
            <w:vAlign w:val="bottom"/>
            <w:shd w:val="clear" w:color="auto" w:fill="00ADBB"/>
          </w:tcPr>
          <w:p>
            <w:pPr>
              <w:spacing w:after="0"/>
              <w:rPr>
                <w:sz w:val="7"/>
                <w:szCs w:val="7"/>
                <w:color w:val="auto"/>
              </w:rPr>
            </w:pPr>
          </w:p>
        </w:tc>
        <w:tc>
          <w:tcPr>
            <w:tcW w:w="680" w:type="dxa"/>
            <w:vAlign w:val="bottom"/>
            <w:shd w:val="clear" w:color="auto" w:fill="00ADBB"/>
          </w:tcPr>
          <w:p>
            <w:pPr>
              <w:spacing w:after="0"/>
              <w:rPr>
                <w:sz w:val="7"/>
                <w:szCs w:val="7"/>
                <w:color w:val="auto"/>
              </w:rPr>
            </w:pPr>
          </w:p>
        </w:tc>
        <w:tc>
          <w:tcPr>
            <w:tcW w:w="160" w:type="dxa"/>
            <w:vAlign w:val="bottom"/>
            <w:shd w:val="clear" w:color="auto" w:fill="00ADBB"/>
          </w:tcPr>
          <w:p>
            <w:pPr>
              <w:spacing w:after="0"/>
              <w:rPr>
                <w:sz w:val="7"/>
                <w:szCs w:val="7"/>
                <w:color w:val="auto"/>
              </w:rPr>
            </w:pPr>
          </w:p>
        </w:tc>
        <w:tc>
          <w:tcPr>
            <w:tcW w:w="760" w:type="dxa"/>
            <w:vAlign w:val="bottom"/>
            <w:shd w:val="clear" w:color="auto" w:fill="00ADBB"/>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60"/>
              <w:spacing w:after="0"/>
              <w:rPr>
                <w:sz w:val="20"/>
                <w:szCs w:val="20"/>
                <w:color w:val="auto"/>
              </w:rPr>
            </w:pPr>
            <w:r>
              <w:rPr>
                <w:rFonts w:ascii="Arial" w:cs="Arial" w:eastAsia="Arial" w:hAnsi="Arial"/>
                <w:sz w:val="14"/>
                <w:szCs w:val="14"/>
                <w:color w:val="4C4C4C"/>
              </w:rPr>
              <w:t>Eric</w:t>
            </w: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Short-Term</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4C4C4C"/>
              </w:rPr>
              <w:t>$ 925,000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4C4C4C"/>
                <w:w w:val="99"/>
              </w:rPr>
              <w:t>1,850,000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4C4C4C"/>
              </w:rPr>
              <w:t>$2,775,000</w:t>
            </w: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140" w:type="dxa"/>
            <w:vAlign w:val="bottom"/>
            <w:vMerge w:val="restart"/>
          </w:tcPr>
          <w:p>
            <w:pPr>
              <w:ind w:left="60"/>
              <w:spacing w:after="0"/>
              <w:rPr>
                <w:sz w:val="20"/>
                <w:szCs w:val="20"/>
                <w:color w:val="auto"/>
              </w:rPr>
            </w:pPr>
            <w:r>
              <w:rPr>
                <w:rFonts w:ascii="Arial" w:cs="Arial" w:eastAsia="Arial" w:hAnsi="Arial"/>
                <w:sz w:val="14"/>
                <w:szCs w:val="14"/>
                <w:color w:val="4C4C4C"/>
              </w:rPr>
              <w:t>Steigerwalt</w:t>
            </w:r>
          </w:p>
        </w:tc>
        <w:tc>
          <w:tcPr>
            <w:tcW w:w="2100" w:type="dxa"/>
            <w:vAlign w:val="bottom"/>
            <w:gridSpan w:val="2"/>
            <w:vMerge w:val="restart"/>
          </w:tcPr>
          <w:p>
            <w:pPr>
              <w:ind w:left="60"/>
              <w:spacing w:after="0"/>
              <w:rPr>
                <w:sz w:val="20"/>
                <w:szCs w:val="20"/>
                <w:color w:val="auto"/>
              </w:rPr>
            </w:pPr>
            <w:r>
              <w:rPr>
                <w:rFonts w:ascii="Arial" w:cs="Arial" w:eastAsia="Arial" w:hAnsi="Arial"/>
                <w:sz w:val="14"/>
                <w:szCs w:val="14"/>
                <w:color w:val="4C4C4C"/>
              </w:rPr>
              <w:t>Incentive</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Restricted Stock</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Arial" w:cs="Arial" w:eastAsia="Arial" w:hAnsi="Arial"/>
                <w:sz w:val="14"/>
                <w:szCs w:val="14"/>
                <w:color w:val="4C4C4C"/>
              </w:rPr>
              <w:t>41,036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w w:val="99"/>
              </w:rPr>
              <w:t>1,470,730</w:t>
            </w: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2100" w:type="dxa"/>
            <w:vAlign w:val="bottom"/>
            <w:gridSpan w:val="2"/>
            <w:vMerge w:val="restart"/>
          </w:tcPr>
          <w:p>
            <w:pPr>
              <w:ind w:left="60"/>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(4)</w:t>
            </w: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Performance Share</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4"/>
                <w:szCs w:val="14"/>
                <w:color w:val="4C4C4C"/>
              </w:rPr>
              <w:t>47,875</w:t>
            </w: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4C4C4C"/>
              </w:rPr>
              <w:t>95,751</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4C4C4C"/>
              </w:rPr>
              <w:t>143,626</w:t>
            </w:r>
          </w:p>
        </w:tc>
        <w:tc>
          <w:tcPr>
            <w:tcW w:w="6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w w:val="99"/>
              </w:rPr>
              <w:t>3,431,715</w:t>
            </w:r>
          </w:p>
        </w:tc>
        <w:tc>
          <w:tcPr>
            <w:tcW w:w="0" w:type="dxa"/>
            <w:vAlign w:val="bottom"/>
          </w:tcPr>
          <w:p>
            <w:pPr>
              <w:spacing w:after="0"/>
              <w:rPr>
                <w:sz w:val="1"/>
                <w:szCs w:val="1"/>
                <w:color w:val="auto"/>
              </w:rPr>
            </w:pPr>
          </w:p>
        </w:tc>
      </w:tr>
      <w:tr>
        <w:trPr>
          <w:trHeight w:val="72"/>
        </w:trPr>
        <w:tc>
          <w:tcPr>
            <w:tcW w:w="1140" w:type="dxa"/>
            <w:vAlign w:val="bottom"/>
          </w:tcPr>
          <w:p>
            <w:pPr>
              <w:spacing w:after="0"/>
              <w:rPr>
                <w:sz w:val="6"/>
                <w:szCs w:val="6"/>
                <w:color w:val="auto"/>
              </w:rPr>
            </w:pPr>
          </w:p>
        </w:tc>
        <w:tc>
          <w:tcPr>
            <w:tcW w:w="2100" w:type="dxa"/>
            <w:vAlign w:val="bottom"/>
            <w:gridSpan w:val="2"/>
            <w:vMerge w:val="restart"/>
          </w:tcPr>
          <w:p>
            <w:pPr>
              <w:ind w:left="60"/>
              <w:spacing w:after="0" w:line="164"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19"/>
                <w:szCs w:val="19"/>
                <w:color w:val="4C4C4C"/>
                <w:vertAlign w:val="superscript"/>
              </w:rPr>
              <w:t>(5)</w:t>
            </w:r>
          </w:p>
        </w:tc>
        <w:tc>
          <w:tcPr>
            <w:tcW w:w="6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4C4C4C"/>
            </w:tcBorders>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E5F6F8"/>
          </w:tcPr>
          <w:p>
            <w:pPr>
              <w:ind w:left="60"/>
              <w:spacing w:after="0"/>
              <w:rPr>
                <w:sz w:val="20"/>
                <w:szCs w:val="20"/>
                <w:color w:val="auto"/>
              </w:rPr>
            </w:pPr>
            <w:r>
              <w:rPr>
                <w:rFonts w:ascii="Arial" w:cs="Arial" w:eastAsia="Arial" w:hAnsi="Arial"/>
                <w:sz w:val="14"/>
                <w:szCs w:val="14"/>
                <w:color w:val="4C4C4C"/>
              </w:rPr>
              <w:t>Ed</w:t>
            </w:r>
          </w:p>
        </w:tc>
        <w:tc>
          <w:tcPr>
            <w:tcW w:w="60" w:type="dxa"/>
            <w:vAlign w:val="bottom"/>
            <w:shd w:val="clear" w:color="auto" w:fill="E5F6F8"/>
          </w:tcPr>
          <w:p>
            <w:pPr>
              <w:spacing w:after="0"/>
              <w:rPr>
                <w:sz w:val="19"/>
                <w:szCs w:val="19"/>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Short-Term</w:t>
            </w:r>
          </w:p>
        </w:tc>
        <w:tc>
          <w:tcPr>
            <w:tcW w:w="600" w:type="dxa"/>
            <w:vAlign w:val="bottom"/>
            <w:shd w:val="clear" w:color="auto" w:fill="E5F6F8"/>
          </w:tcPr>
          <w:p>
            <w:pPr>
              <w:spacing w:after="0"/>
              <w:rPr>
                <w:sz w:val="19"/>
                <w:szCs w:val="19"/>
                <w:color w:val="auto"/>
              </w:rPr>
            </w:pPr>
          </w:p>
        </w:tc>
        <w:tc>
          <w:tcPr>
            <w:tcW w:w="700" w:type="dxa"/>
            <w:vAlign w:val="bottom"/>
            <w:shd w:val="clear" w:color="auto" w:fill="E5F6F8"/>
          </w:tcPr>
          <w:p>
            <w:pPr>
              <w:spacing w:after="0"/>
              <w:rPr>
                <w:sz w:val="19"/>
                <w:szCs w:val="19"/>
                <w:color w:val="auto"/>
              </w:rPr>
            </w:pPr>
          </w:p>
        </w:tc>
        <w:tc>
          <w:tcPr>
            <w:tcW w:w="780" w:type="dxa"/>
            <w:vAlign w:val="bottom"/>
            <w:gridSpan w:val="2"/>
            <w:vMerge w:val="restart"/>
            <w:shd w:val="clear" w:color="auto" w:fill="E5F6F8"/>
          </w:tcPr>
          <w:p>
            <w:pPr>
              <w:ind w:left="40"/>
              <w:spacing w:after="0"/>
              <w:rPr>
                <w:sz w:val="20"/>
                <w:szCs w:val="20"/>
                <w:color w:val="auto"/>
              </w:rPr>
            </w:pPr>
            <w:r>
              <w:rPr>
                <w:rFonts w:ascii="Arial" w:cs="Arial" w:eastAsia="Arial" w:hAnsi="Arial"/>
                <w:sz w:val="14"/>
                <w:szCs w:val="14"/>
                <w:color w:val="4C4C4C"/>
              </w:rPr>
              <w:t>$ 420,000</w:t>
            </w:r>
          </w:p>
        </w:tc>
        <w:tc>
          <w:tcPr>
            <w:tcW w:w="18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20" w:type="dxa"/>
            <w:vAlign w:val="bottom"/>
            <w:vMerge w:val="restart"/>
            <w:shd w:val="clear" w:color="auto" w:fill="E5F6F8"/>
          </w:tcPr>
          <w:p>
            <w:pPr>
              <w:jc w:val="right"/>
              <w:ind w:right="11"/>
              <w:spacing w:after="0"/>
              <w:rPr>
                <w:sz w:val="20"/>
                <w:szCs w:val="20"/>
                <w:color w:val="auto"/>
              </w:rPr>
            </w:pPr>
            <w:r>
              <w:rPr>
                <w:rFonts w:ascii="Arial" w:cs="Arial" w:eastAsia="Arial" w:hAnsi="Arial"/>
                <w:sz w:val="14"/>
                <w:szCs w:val="14"/>
                <w:color w:val="4C4C4C"/>
              </w:rPr>
              <w:t>840,000</w:t>
            </w:r>
          </w:p>
        </w:tc>
        <w:tc>
          <w:tcPr>
            <w:tcW w:w="900" w:type="dxa"/>
            <w:vAlign w:val="bottom"/>
            <w:vMerge w:val="restart"/>
            <w:shd w:val="clear" w:color="auto" w:fill="E5F6F8"/>
          </w:tcPr>
          <w:p>
            <w:pPr>
              <w:jc w:val="center"/>
              <w:spacing w:after="0"/>
              <w:rPr>
                <w:sz w:val="20"/>
                <w:szCs w:val="20"/>
                <w:color w:val="auto"/>
              </w:rPr>
            </w:pPr>
            <w:r>
              <w:rPr>
                <w:rFonts w:ascii="Arial" w:cs="Arial" w:eastAsia="Arial" w:hAnsi="Arial"/>
                <w:sz w:val="14"/>
                <w:szCs w:val="14"/>
                <w:color w:val="4C4C4C"/>
              </w:rPr>
              <w:t>$1,260,000</w:t>
            </w:r>
          </w:p>
        </w:tc>
        <w:tc>
          <w:tcPr>
            <w:tcW w:w="840" w:type="dxa"/>
            <w:vAlign w:val="bottom"/>
            <w:shd w:val="clear" w:color="auto" w:fill="E5F6F8"/>
          </w:tcPr>
          <w:p>
            <w:pPr>
              <w:spacing w:after="0"/>
              <w:rPr>
                <w:sz w:val="19"/>
                <w:szCs w:val="19"/>
                <w:color w:val="auto"/>
              </w:rPr>
            </w:pPr>
          </w:p>
        </w:tc>
        <w:tc>
          <w:tcPr>
            <w:tcW w:w="620" w:type="dxa"/>
            <w:vAlign w:val="bottom"/>
            <w:shd w:val="clear" w:color="auto" w:fill="E5F6F8"/>
          </w:tcPr>
          <w:p>
            <w:pPr>
              <w:spacing w:after="0"/>
              <w:rPr>
                <w:sz w:val="19"/>
                <w:szCs w:val="19"/>
                <w:color w:val="auto"/>
              </w:rPr>
            </w:pPr>
          </w:p>
        </w:tc>
        <w:tc>
          <w:tcPr>
            <w:tcW w:w="840" w:type="dxa"/>
            <w:vAlign w:val="bottom"/>
            <w:shd w:val="clear" w:color="auto" w:fill="E5F6F8"/>
          </w:tcPr>
          <w:p>
            <w:pPr>
              <w:spacing w:after="0"/>
              <w:rPr>
                <w:sz w:val="19"/>
                <w:szCs w:val="19"/>
                <w:color w:val="auto"/>
              </w:rPr>
            </w:pPr>
          </w:p>
        </w:tc>
        <w:tc>
          <w:tcPr>
            <w:tcW w:w="680" w:type="dxa"/>
            <w:vAlign w:val="bottom"/>
            <w:shd w:val="clear" w:color="auto" w:fill="E5F6F8"/>
          </w:tcPr>
          <w:p>
            <w:pPr>
              <w:spacing w:after="0"/>
              <w:rPr>
                <w:sz w:val="19"/>
                <w:szCs w:val="19"/>
                <w:color w:val="auto"/>
              </w:rPr>
            </w:pPr>
          </w:p>
        </w:tc>
        <w:tc>
          <w:tcPr>
            <w:tcW w:w="160" w:type="dxa"/>
            <w:vAlign w:val="bottom"/>
            <w:shd w:val="clear" w:color="auto" w:fill="E5F6F8"/>
          </w:tcPr>
          <w:p>
            <w:pPr>
              <w:spacing w:after="0"/>
              <w:rPr>
                <w:sz w:val="19"/>
                <w:szCs w:val="19"/>
                <w:color w:val="auto"/>
              </w:rPr>
            </w:pPr>
          </w:p>
        </w:tc>
        <w:tc>
          <w:tcPr>
            <w:tcW w:w="760" w:type="dxa"/>
            <w:vAlign w:val="bottom"/>
            <w:shd w:val="clear" w:color="auto" w:fill="E5F6F8"/>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140" w:type="dxa"/>
            <w:vAlign w:val="bottom"/>
            <w:vMerge w:val="restart"/>
            <w:shd w:val="clear" w:color="auto" w:fill="E5F6F8"/>
          </w:tcPr>
          <w:p>
            <w:pPr>
              <w:ind w:left="60"/>
              <w:spacing w:after="0"/>
              <w:rPr>
                <w:sz w:val="20"/>
                <w:szCs w:val="20"/>
                <w:color w:val="auto"/>
              </w:rPr>
            </w:pPr>
            <w:r>
              <w:rPr>
                <w:rFonts w:ascii="Arial" w:cs="Arial" w:eastAsia="Arial" w:hAnsi="Arial"/>
                <w:sz w:val="14"/>
                <w:szCs w:val="14"/>
                <w:color w:val="4C4C4C"/>
              </w:rPr>
              <w:t>Spehar</w:t>
            </w:r>
          </w:p>
        </w:tc>
        <w:tc>
          <w:tcPr>
            <w:tcW w:w="60" w:type="dxa"/>
            <w:vAlign w:val="bottom"/>
            <w:shd w:val="clear" w:color="auto" w:fill="E5F6F8"/>
          </w:tcPr>
          <w:p>
            <w:pPr>
              <w:spacing w:after="0"/>
              <w:rPr>
                <w:sz w:val="9"/>
                <w:szCs w:val="9"/>
                <w:color w:val="auto"/>
              </w:rPr>
            </w:pPr>
          </w:p>
        </w:tc>
        <w:tc>
          <w:tcPr>
            <w:tcW w:w="2040" w:type="dxa"/>
            <w:vAlign w:val="bottom"/>
            <w:vMerge w:val="restart"/>
            <w:shd w:val="clear" w:color="auto" w:fill="E5F6F8"/>
          </w:tcPr>
          <w:p>
            <w:pPr>
              <w:spacing w:after="0"/>
              <w:rPr>
                <w:sz w:val="20"/>
                <w:szCs w:val="20"/>
                <w:color w:val="auto"/>
              </w:rPr>
            </w:pPr>
            <w:r>
              <w:rPr>
                <w:rFonts w:ascii="Arial" w:cs="Arial" w:eastAsia="Arial" w:hAnsi="Arial"/>
                <w:sz w:val="14"/>
                <w:szCs w:val="14"/>
                <w:color w:val="4C4C4C"/>
              </w:rPr>
              <w:t>Incentive</w:t>
            </w:r>
          </w:p>
        </w:tc>
        <w:tc>
          <w:tcPr>
            <w:tcW w:w="600" w:type="dxa"/>
            <w:vAlign w:val="bottom"/>
            <w:shd w:val="clear" w:color="auto" w:fill="E5F6F8"/>
          </w:tcPr>
          <w:p>
            <w:pPr>
              <w:spacing w:after="0"/>
              <w:rPr>
                <w:sz w:val="9"/>
                <w:szCs w:val="9"/>
                <w:color w:val="auto"/>
              </w:rPr>
            </w:pPr>
          </w:p>
        </w:tc>
        <w:tc>
          <w:tcPr>
            <w:tcW w:w="700" w:type="dxa"/>
            <w:vAlign w:val="bottom"/>
            <w:shd w:val="clear" w:color="auto" w:fill="E5F6F8"/>
          </w:tcPr>
          <w:p>
            <w:pPr>
              <w:spacing w:after="0"/>
              <w:rPr>
                <w:sz w:val="9"/>
                <w:szCs w:val="9"/>
                <w:color w:val="auto"/>
              </w:rPr>
            </w:pPr>
          </w:p>
        </w:tc>
        <w:tc>
          <w:tcPr>
            <w:tcW w:w="780" w:type="dxa"/>
            <w:vAlign w:val="bottom"/>
            <w:gridSpan w:val="2"/>
            <w:vMerge w:val="continue"/>
            <w:shd w:val="clear" w:color="auto" w:fill="E5F6F8"/>
          </w:tcPr>
          <w:p>
            <w:pPr>
              <w:spacing w:after="0"/>
              <w:rPr>
                <w:sz w:val="9"/>
                <w:szCs w:val="9"/>
                <w:color w:val="auto"/>
              </w:rPr>
            </w:pPr>
          </w:p>
        </w:tc>
        <w:tc>
          <w:tcPr>
            <w:tcW w:w="180" w:type="dxa"/>
            <w:vAlign w:val="bottom"/>
            <w:vMerge w:val="continue"/>
            <w:shd w:val="clear" w:color="auto" w:fill="E5F6F8"/>
          </w:tcPr>
          <w:p>
            <w:pPr>
              <w:spacing w:after="0"/>
              <w:rPr>
                <w:sz w:val="9"/>
                <w:szCs w:val="9"/>
                <w:color w:val="auto"/>
              </w:rPr>
            </w:pPr>
          </w:p>
        </w:tc>
        <w:tc>
          <w:tcPr>
            <w:tcW w:w="720" w:type="dxa"/>
            <w:vAlign w:val="bottom"/>
            <w:vMerge w:val="continue"/>
            <w:shd w:val="clear" w:color="auto" w:fill="E5F6F8"/>
          </w:tcPr>
          <w:p>
            <w:pPr>
              <w:spacing w:after="0"/>
              <w:rPr>
                <w:sz w:val="9"/>
                <w:szCs w:val="9"/>
                <w:color w:val="auto"/>
              </w:rPr>
            </w:pPr>
          </w:p>
        </w:tc>
        <w:tc>
          <w:tcPr>
            <w:tcW w:w="900" w:type="dxa"/>
            <w:vAlign w:val="bottom"/>
            <w:vMerge w:val="continue"/>
            <w:shd w:val="clear" w:color="auto" w:fill="E5F6F8"/>
          </w:tcPr>
          <w:p>
            <w:pPr>
              <w:spacing w:after="0"/>
              <w:rPr>
                <w:sz w:val="9"/>
                <w:szCs w:val="9"/>
                <w:color w:val="auto"/>
              </w:rPr>
            </w:pPr>
          </w:p>
        </w:tc>
        <w:tc>
          <w:tcPr>
            <w:tcW w:w="840" w:type="dxa"/>
            <w:vAlign w:val="bottom"/>
            <w:shd w:val="clear" w:color="auto" w:fill="E5F6F8"/>
          </w:tcPr>
          <w:p>
            <w:pPr>
              <w:spacing w:after="0"/>
              <w:rPr>
                <w:sz w:val="9"/>
                <w:szCs w:val="9"/>
                <w:color w:val="auto"/>
              </w:rPr>
            </w:pPr>
          </w:p>
        </w:tc>
        <w:tc>
          <w:tcPr>
            <w:tcW w:w="620" w:type="dxa"/>
            <w:vAlign w:val="bottom"/>
            <w:shd w:val="clear" w:color="auto" w:fill="E5F6F8"/>
          </w:tcPr>
          <w:p>
            <w:pPr>
              <w:spacing w:after="0"/>
              <w:rPr>
                <w:sz w:val="9"/>
                <w:szCs w:val="9"/>
                <w:color w:val="auto"/>
              </w:rPr>
            </w:pPr>
          </w:p>
        </w:tc>
        <w:tc>
          <w:tcPr>
            <w:tcW w:w="840" w:type="dxa"/>
            <w:vAlign w:val="bottom"/>
            <w:shd w:val="clear" w:color="auto" w:fill="E5F6F8"/>
          </w:tcPr>
          <w:p>
            <w:pPr>
              <w:spacing w:after="0"/>
              <w:rPr>
                <w:sz w:val="9"/>
                <w:szCs w:val="9"/>
                <w:color w:val="auto"/>
              </w:rPr>
            </w:pPr>
          </w:p>
        </w:tc>
        <w:tc>
          <w:tcPr>
            <w:tcW w:w="680" w:type="dxa"/>
            <w:vAlign w:val="bottom"/>
            <w:shd w:val="clear" w:color="auto" w:fill="E5F6F8"/>
          </w:tcPr>
          <w:p>
            <w:pPr>
              <w:spacing w:after="0"/>
              <w:rPr>
                <w:sz w:val="9"/>
                <w:szCs w:val="9"/>
                <w:color w:val="auto"/>
              </w:rPr>
            </w:pPr>
          </w:p>
        </w:tc>
        <w:tc>
          <w:tcPr>
            <w:tcW w:w="160" w:type="dxa"/>
            <w:vAlign w:val="bottom"/>
            <w:shd w:val="clear" w:color="auto" w:fill="E5F6F8"/>
          </w:tcPr>
          <w:p>
            <w:pPr>
              <w:spacing w:after="0"/>
              <w:rPr>
                <w:sz w:val="9"/>
                <w:szCs w:val="9"/>
                <w:color w:val="auto"/>
              </w:rPr>
            </w:pPr>
          </w:p>
        </w:tc>
        <w:tc>
          <w:tcPr>
            <w:tcW w:w="760" w:type="dxa"/>
            <w:vAlign w:val="bottom"/>
            <w:shd w:val="clear" w:color="auto" w:fill="E5F6F8"/>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E5F6F8"/>
            </w:tcBorders>
            <w:vMerge w:val="continue"/>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shd w:val="clear" w:color="auto" w:fill="E5F6F8"/>
          </w:tcPr>
          <w:p>
            <w:pPr>
              <w:spacing w:after="0"/>
              <w:rPr>
                <w:sz w:val="16"/>
                <w:szCs w:val="16"/>
                <w:color w:val="auto"/>
              </w:rPr>
            </w:pPr>
          </w:p>
        </w:tc>
        <w:tc>
          <w:tcPr>
            <w:tcW w:w="60" w:type="dxa"/>
            <w:vAlign w:val="bottom"/>
            <w:shd w:val="clear" w:color="auto" w:fill="E5F6F8"/>
          </w:tcPr>
          <w:p>
            <w:pPr>
              <w:spacing w:after="0"/>
              <w:rPr>
                <w:sz w:val="16"/>
                <w:szCs w:val="16"/>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Restricted Stock</w:t>
            </w:r>
          </w:p>
        </w:tc>
        <w:tc>
          <w:tcPr>
            <w:tcW w:w="6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shd w:val="clear" w:color="auto" w:fill="E5F6F8"/>
          </w:tcPr>
          <w:p>
            <w:pPr>
              <w:spacing w:after="0"/>
              <w:rPr>
                <w:sz w:val="16"/>
                <w:szCs w:val="16"/>
                <w:color w:val="auto"/>
              </w:rPr>
            </w:pPr>
          </w:p>
        </w:tc>
        <w:tc>
          <w:tcPr>
            <w:tcW w:w="740" w:type="dxa"/>
            <w:vAlign w:val="bottom"/>
            <w:shd w:val="clear" w:color="auto" w:fill="E5F6F8"/>
          </w:tcPr>
          <w:p>
            <w:pPr>
              <w:spacing w:after="0"/>
              <w:rPr>
                <w:sz w:val="16"/>
                <w:szCs w:val="16"/>
                <w:color w:val="auto"/>
              </w:rPr>
            </w:pPr>
          </w:p>
        </w:tc>
        <w:tc>
          <w:tcPr>
            <w:tcW w:w="180" w:type="dxa"/>
            <w:vAlign w:val="bottom"/>
            <w:shd w:val="clear" w:color="auto" w:fill="E5F6F8"/>
          </w:tcPr>
          <w:p>
            <w:pPr>
              <w:spacing w:after="0"/>
              <w:rPr>
                <w:sz w:val="16"/>
                <w:szCs w:val="16"/>
                <w:color w:val="auto"/>
              </w:rPr>
            </w:pPr>
          </w:p>
        </w:tc>
        <w:tc>
          <w:tcPr>
            <w:tcW w:w="720" w:type="dxa"/>
            <w:vAlign w:val="bottom"/>
            <w:shd w:val="clear" w:color="auto" w:fill="E5F6F8"/>
          </w:tcPr>
          <w:p>
            <w:pPr>
              <w:spacing w:after="0"/>
              <w:rPr>
                <w:sz w:val="16"/>
                <w:szCs w:val="16"/>
                <w:color w:val="auto"/>
              </w:rPr>
            </w:pPr>
          </w:p>
        </w:tc>
        <w:tc>
          <w:tcPr>
            <w:tcW w:w="900" w:type="dxa"/>
            <w:vAlign w:val="bottom"/>
            <w:shd w:val="clear" w:color="auto" w:fill="E5F6F8"/>
          </w:tcPr>
          <w:p>
            <w:pPr>
              <w:spacing w:after="0"/>
              <w:rPr>
                <w:sz w:val="16"/>
                <w:szCs w:val="16"/>
                <w:color w:val="auto"/>
              </w:rPr>
            </w:pPr>
          </w:p>
        </w:tc>
        <w:tc>
          <w:tcPr>
            <w:tcW w:w="840" w:type="dxa"/>
            <w:vAlign w:val="bottom"/>
            <w:shd w:val="clear" w:color="auto" w:fill="E5F6F8"/>
          </w:tcPr>
          <w:p>
            <w:pPr>
              <w:spacing w:after="0"/>
              <w:rPr>
                <w:sz w:val="16"/>
                <w:szCs w:val="16"/>
                <w:color w:val="auto"/>
              </w:rPr>
            </w:pPr>
          </w:p>
        </w:tc>
        <w:tc>
          <w:tcPr>
            <w:tcW w:w="620" w:type="dxa"/>
            <w:vAlign w:val="bottom"/>
            <w:shd w:val="clear" w:color="auto" w:fill="E5F6F8"/>
          </w:tcPr>
          <w:p>
            <w:pPr>
              <w:spacing w:after="0"/>
              <w:rPr>
                <w:sz w:val="16"/>
                <w:szCs w:val="16"/>
                <w:color w:val="auto"/>
              </w:rPr>
            </w:pPr>
          </w:p>
        </w:tc>
        <w:tc>
          <w:tcPr>
            <w:tcW w:w="840" w:type="dxa"/>
            <w:vAlign w:val="bottom"/>
            <w:shd w:val="clear" w:color="auto" w:fill="E5F6F8"/>
          </w:tcPr>
          <w:p>
            <w:pPr>
              <w:spacing w:after="0"/>
              <w:rPr>
                <w:sz w:val="16"/>
                <w:szCs w:val="16"/>
                <w:color w:val="auto"/>
              </w:rPr>
            </w:pPr>
          </w:p>
        </w:tc>
        <w:tc>
          <w:tcPr>
            <w:tcW w:w="680" w:type="dxa"/>
            <w:vAlign w:val="bottom"/>
            <w:vMerge w:val="restart"/>
            <w:shd w:val="clear" w:color="auto" w:fill="E5F6F8"/>
          </w:tcPr>
          <w:p>
            <w:pPr>
              <w:jc w:val="right"/>
              <w:ind w:right="18"/>
              <w:spacing w:after="0"/>
              <w:rPr>
                <w:sz w:val="20"/>
                <w:szCs w:val="20"/>
                <w:color w:val="auto"/>
              </w:rPr>
            </w:pPr>
            <w:r>
              <w:rPr>
                <w:rFonts w:ascii="Arial" w:cs="Arial" w:eastAsia="Arial" w:hAnsi="Arial"/>
                <w:sz w:val="14"/>
                <w:szCs w:val="14"/>
                <w:color w:val="4C4C4C"/>
              </w:rPr>
              <w:t>11,718</w:t>
            </w:r>
          </w:p>
        </w:tc>
        <w:tc>
          <w:tcPr>
            <w:tcW w:w="16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419,973</w:t>
            </w:r>
          </w:p>
        </w:tc>
        <w:tc>
          <w:tcPr>
            <w:tcW w:w="0" w:type="dxa"/>
            <w:vAlign w:val="bottom"/>
          </w:tcPr>
          <w:p>
            <w:pPr>
              <w:spacing w:after="0"/>
              <w:rPr>
                <w:sz w:val="1"/>
                <w:szCs w:val="1"/>
                <w:color w:val="auto"/>
              </w:rPr>
            </w:pPr>
          </w:p>
        </w:tc>
      </w:tr>
      <w:tr>
        <w:trPr>
          <w:trHeight w:val="85"/>
        </w:trPr>
        <w:tc>
          <w:tcPr>
            <w:tcW w:w="1140" w:type="dxa"/>
            <w:vAlign w:val="bottom"/>
            <w:shd w:val="clear" w:color="auto" w:fill="E5F6F8"/>
          </w:tcPr>
          <w:p>
            <w:pPr>
              <w:spacing w:after="0"/>
              <w:rPr>
                <w:sz w:val="7"/>
                <w:szCs w:val="7"/>
                <w:color w:val="auto"/>
              </w:rPr>
            </w:pPr>
          </w:p>
        </w:tc>
        <w:tc>
          <w:tcPr>
            <w:tcW w:w="60" w:type="dxa"/>
            <w:vAlign w:val="bottom"/>
            <w:shd w:val="clear" w:color="auto" w:fill="E5F6F8"/>
          </w:tcPr>
          <w:p>
            <w:pPr>
              <w:spacing w:after="0"/>
              <w:rPr>
                <w:sz w:val="7"/>
                <w:szCs w:val="7"/>
                <w:color w:val="auto"/>
              </w:rPr>
            </w:pPr>
          </w:p>
        </w:tc>
        <w:tc>
          <w:tcPr>
            <w:tcW w:w="2040" w:type="dxa"/>
            <w:vAlign w:val="bottom"/>
            <w:vMerge w:val="restart"/>
            <w:shd w:val="clear" w:color="auto" w:fill="E5F6F8"/>
          </w:tcPr>
          <w:p>
            <w:pPr>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(4)</w:t>
            </w:r>
          </w:p>
        </w:tc>
        <w:tc>
          <w:tcPr>
            <w:tcW w:w="600" w:type="dxa"/>
            <w:vAlign w:val="bottom"/>
            <w:vMerge w:val="continue"/>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4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180" w:type="dxa"/>
            <w:vAlign w:val="bottom"/>
            <w:shd w:val="clear" w:color="auto" w:fill="E5F6F8"/>
          </w:tcPr>
          <w:p>
            <w:pPr>
              <w:spacing w:after="0"/>
              <w:rPr>
                <w:sz w:val="7"/>
                <w:szCs w:val="7"/>
                <w:color w:val="auto"/>
              </w:rPr>
            </w:pPr>
          </w:p>
        </w:tc>
        <w:tc>
          <w:tcPr>
            <w:tcW w:w="720" w:type="dxa"/>
            <w:vAlign w:val="bottom"/>
            <w:shd w:val="clear" w:color="auto" w:fill="E5F6F8"/>
          </w:tcPr>
          <w:p>
            <w:pPr>
              <w:spacing w:after="0"/>
              <w:rPr>
                <w:sz w:val="7"/>
                <w:szCs w:val="7"/>
                <w:color w:val="auto"/>
              </w:rPr>
            </w:pPr>
          </w:p>
        </w:tc>
        <w:tc>
          <w:tcPr>
            <w:tcW w:w="900" w:type="dxa"/>
            <w:vAlign w:val="bottom"/>
            <w:shd w:val="clear" w:color="auto" w:fill="E5F6F8"/>
          </w:tcPr>
          <w:p>
            <w:pPr>
              <w:spacing w:after="0"/>
              <w:rPr>
                <w:sz w:val="7"/>
                <w:szCs w:val="7"/>
                <w:color w:val="auto"/>
              </w:rPr>
            </w:pPr>
          </w:p>
        </w:tc>
        <w:tc>
          <w:tcPr>
            <w:tcW w:w="840" w:type="dxa"/>
            <w:vAlign w:val="bottom"/>
            <w:shd w:val="clear" w:color="auto" w:fill="E5F6F8"/>
          </w:tcPr>
          <w:p>
            <w:pPr>
              <w:spacing w:after="0"/>
              <w:rPr>
                <w:sz w:val="7"/>
                <w:szCs w:val="7"/>
                <w:color w:val="auto"/>
              </w:rPr>
            </w:pPr>
          </w:p>
        </w:tc>
        <w:tc>
          <w:tcPr>
            <w:tcW w:w="620" w:type="dxa"/>
            <w:vAlign w:val="bottom"/>
            <w:shd w:val="clear" w:color="auto" w:fill="E5F6F8"/>
          </w:tcPr>
          <w:p>
            <w:pPr>
              <w:spacing w:after="0"/>
              <w:rPr>
                <w:sz w:val="7"/>
                <w:szCs w:val="7"/>
                <w:color w:val="auto"/>
              </w:rPr>
            </w:pPr>
          </w:p>
        </w:tc>
        <w:tc>
          <w:tcPr>
            <w:tcW w:w="840" w:type="dxa"/>
            <w:vAlign w:val="bottom"/>
            <w:shd w:val="clear" w:color="auto" w:fill="E5F6F8"/>
          </w:tcPr>
          <w:p>
            <w:pPr>
              <w:spacing w:after="0"/>
              <w:rPr>
                <w:sz w:val="7"/>
                <w:szCs w:val="7"/>
                <w:color w:val="auto"/>
              </w:rPr>
            </w:pPr>
          </w:p>
        </w:tc>
        <w:tc>
          <w:tcPr>
            <w:tcW w:w="680" w:type="dxa"/>
            <w:vAlign w:val="bottom"/>
            <w:vMerge w:val="continue"/>
            <w:shd w:val="clear" w:color="auto" w:fill="E5F6F8"/>
          </w:tcPr>
          <w:p>
            <w:pPr>
              <w:spacing w:after="0"/>
              <w:rPr>
                <w:sz w:val="7"/>
                <w:szCs w:val="7"/>
                <w:color w:val="auto"/>
              </w:rPr>
            </w:pPr>
          </w:p>
        </w:tc>
        <w:tc>
          <w:tcPr>
            <w:tcW w:w="16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E5F6F8"/>
            </w:tcBorders>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140" w:type="dxa"/>
            <w:vAlign w:val="bottom"/>
            <w:shd w:val="clear" w:color="auto" w:fill="E5F6F8"/>
          </w:tcPr>
          <w:p>
            <w:pPr>
              <w:spacing w:after="0"/>
              <w:rPr>
                <w:sz w:val="17"/>
                <w:szCs w:val="17"/>
                <w:color w:val="auto"/>
              </w:rPr>
            </w:pPr>
          </w:p>
        </w:tc>
        <w:tc>
          <w:tcPr>
            <w:tcW w:w="60" w:type="dxa"/>
            <w:vAlign w:val="bottom"/>
            <w:shd w:val="clear" w:color="auto" w:fill="E5F6F8"/>
          </w:tcPr>
          <w:p>
            <w:pPr>
              <w:spacing w:after="0"/>
              <w:rPr>
                <w:sz w:val="17"/>
                <w:szCs w:val="17"/>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Performance Share</w:t>
            </w:r>
          </w:p>
        </w:tc>
        <w:tc>
          <w:tcPr>
            <w:tcW w:w="6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shd w:val="clear" w:color="auto" w:fill="E5F6F8"/>
          </w:tcPr>
          <w:p>
            <w:pPr>
              <w:spacing w:after="0"/>
              <w:rPr>
                <w:sz w:val="17"/>
                <w:szCs w:val="17"/>
                <w:color w:val="auto"/>
              </w:rPr>
            </w:pPr>
          </w:p>
        </w:tc>
        <w:tc>
          <w:tcPr>
            <w:tcW w:w="740" w:type="dxa"/>
            <w:vAlign w:val="bottom"/>
            <w:shd w:val="clear" w:color="auto" w:fill="E5F6F8"/>
          </w:tcPr>
          <w:p>
            <w:pPr>
              <w:spacing w:after="0"/>
              <w:rPr>
                <w:sz w:val="17"/>
                <w:szCs w:val="17"/>
                <w:color w:val="auto"/>
              </w:rPr>
            </w:pPr>
          </w:p>
        </w:tc>
        <w:tc>
          <w:tcPr>
            <w:tcW w:w="180" w:type="dxa"/>
            <w:vAlign w:val="bottom"/>
            <w:shd w:val="clear" w:color="auto" w:fill="E5F6F8"/>
          </w:tcPr>
          <w:p>
            <w:pPr>
              <w:spacing w:after="0"/>
              <w:rPr>
                <w:sz w:val="17"/>
                <w:szCs w:val="17"/>
                <w:color w:val="auto"/>
              </w:rPr>
            </w:pPr>
          </w:p>
        </w:tc>
        <w:tc>
          <w:tcPr>
            <w:tcW w:w="720" w:type="dxa"/>
            <w:vAlign w:val="bottom"/>
            <w:shd w:val="clear" w:color="auto" w:fill="E5F6F8"/>
          </w:tcPr>
          <w:p>
            <w:pPr>
              <w:spacing w:after="0"/>
              <w:rPr>
                <w:sz w:val="17"/>
                <w:szCs w:val="17"/>
                <w:color w:val="auto"/>
              </w:rPr>
            </w:pPr>
          </w:p>
        </w:tc>
        <w:tc>
          <w:tcPr>
            <w:tcW w:w="900" w:type="dxa"/>
            <w:vAlign w:val="bottom"/>
            <w:shd w:val="clear" w:color="auto" w:fill="E5F6F8"/>
          </w:tcPr>
          <w:p>
            <w:pPr>
              <w:spacing w:after="0"/>
              <w:rPr>
                <w:sz w:val="17"/>
                <w:szCs w:val="17"/>
                <w:color w:val="auto"/>
              </w:rPr>
            </w:pPr>
          </w:p>
        </w:tc>
        <w:tc>
          <w:tcPr>
            <w:tcW w:w="840" w:type="dxa"/>
            <w:vAlign w:val="bottom"/>
            <w:vMerge w:val="restart"/>
            <w:shd w:val="clear" w:color="auto" w:fill="E5F6F8"/>
          </w:tcPr>
          <w:p>
            <w:pPr>
              <w:jc w:val="right"/>
              <w:ind w:right="35"/>
              <w:spacing w:after="0"/>
              <w:rPr>
                <w:sz w:val="20"/>
                <w:szCs w:val="20"/>
                <w:color w:val="auto"/>
              </w:rPr>
            </w:pPr>
            <w:r>
              <w:rPr>
                <w:rFonts w:ascii="Arial" w:cs="Arial" w:eastAsia="Arial" w:hAnsi="Arial"/>
                <w:sz w:val="14"/>
                <w:szCs w:val="14"/>
                <w:color w:val="4C4C4C"/>
              </w:rPr>
              <w:t>8,789</w:t>
            </w:r>
          </w:p>
        </w:tc>
        <w:tc>
          <w:tcPr>
            <w:tcW w:w="620" w:type="dxa"/>
            <w:vAlign w:val="bottom"/>
            <w:vMerge w:val="restart"/>
            <w:shd w:val="clear" w:color="auto" w:fill="E5F6F8"/>
          </w:tcPr>
          <w:p>
            <w:pPr>
              <w:jc w:val="right"/>
              <w:ind w:right="11"/>
              <w:spacing w:after="0"/>
              <w:rPr>
                <w:sz w:val="20"/>
                <w:szCs w:val="20"/>
                <w:color w:val="auto"/>
              </w:rPr>
            </w:pPr>
            <w:r>
              <w:rPr>
                <w:rFonts w:ascii="Arial" w:cs="Arial" w:eastAsia="Arial" w:hAnsi="Arial"/>
                <w:sz w:val="14"/>
                <w:szCs w:val="14"/>
                <w:color w:val="4C4C4C"/>
              </w:rPr>
              <w:t>17,578</w:t>
            </w:r>
          </w:p>
        </w:tc>
        <w:tc>
          <w:tcPr>
            <w:tcW w:w="840" w:type="dxa"/>
            <w:vAlign w:val="bottom"/>
            <w:vMerge w:val="restart"/>
            <w:shd w:val="clear" w:color="auto" w:fill="E5F6F8"/>
          </w:tcPr>
          <w:p>
            <w:pPr>
              <w:jc w:val="right"/>
              <w:ind w:right="31"/>
              <w:spacing w:after="0"/>
              <w:rPr>
                <w:sz w:val="20"/>
                <w:szCs w:val="20"/>
                <w:color w:val="auto"/>
              </w:rPr>
            </w:pPr>
            <w:r>
              <w:rPr>
                <w:rFonts w:ascii="Arial" w:cs="Arial" w:eastAsia="Arial" w:hAnsi="Arial"/>
                <w:sz w:val="14"/>
                <w:szCs w:val="14"/>
                <w:color w:val="4C4C4C"/>
              </w:rPr>
              <w:t>26,367</w:t>
            </w:r>
          </w:p>
        </w:tc>
        <w:tc>
          <w:tcPr>
            <w:tcW w:w="680" w:type="dxa"/>
            <w:vAlign w:val="bottom"/>
            <w:shd w:val="clear" w:color="auto" w:fill="E5F6F8"/>
          </w:tcPr>
          <w:p>
            <w:pPr>
              <w:spacing w:after="0"/>
              <w:rPr>
                <w:sz w:val="17"/>
                <w:szCs w:val="17"/>
                <w:color w:val="auto"/>
              </w:rPr>
            </w:pPr>
          </w:p>
        </w:tc>
        <w:tc>
          <w:tcPr>
            <w:tcW w:w="16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629,995</w:t>
            </w:r>
          </w:p>
        </w:tc>
        <w:tc>
          <w:tcPr>
            <w:tcW w:w="0" w:type="dxa"/>
            <w:vAlign w:val="bottom"/>
          </w:tcPr>
          <w:p>
            <w:pPr>
              <w:spacing w:after="0"/>
              <w:rPr>
                <w:sz w:val="1"/>
                <w:szCs w:val="1"/>
                <w:color w:val="auto"/>
              </w:rPr>
            </w:pPr>
          </w:p>
        </w:tc>
      </w:tr>
      <w:tr>
        <w:trPr>
          <w:trHeight w:val="72"/>
        </w:trPr>
        <w:tc>
          <w:tcPr>
            <w:tcW w:w="1140" w:type="dxa"/>
            <w:vAlign w:val="bottom"/>
            <w:shd w:val="clear" w:color="auto" w:fill="E5F6F8"/>
          </w:tcPr>
          <w:p>
            <w:pPr>
              <w:spacing w:after="0"/>
              <w:rPr>
                <w:sz w:val="6"/>
                <w:szCs w:val="6"/>
                <w:color w:val="auto"/>
              </w:rPr>
            </w:pPr>
          </w:p>
        </w:tc>
        <w:tc>
          <w:tcPr>
            <w:tcW w:w="60" w:type="dxa"/>
            <w:vAlign w:val="bottom"/>
            <w:shd w:val="clear" w:color="auto" w:fill="E5F6F8"/>
          </w:tcPr>
          <w:p>
            <w:pPr>
              <w:spacing w:after="0"/>
              <w:rPr>
                <w:sz w:val="6"/>
                <w:szCs w:val="6"/>
                <w:color w:val="auto"/>
              </w:rPr>
            </w:pPr>
          </w:p>
        </w:tc>
        <w:tc>
          <w:tcPr>
            <w:tcW w:w="2040" w:type="dxa"/>
            <w:vAlign w:val="bottom"/>
            <w:vMerge w:val="restart"/>
            <w:shd w:val="clear" w:color="auto" w:fill="E5F6F8"/>
          </w:tcPr>
          <w:p>
            <w:pPr>
              <w:spacing w:after="0" w:line="164"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19"/>
                <w:szCs w:val="19"/>
                <w:color w:val="4C4C4C"/>
                <w:vertAlign w:val="superscript"/>
              </w:rPr>
              <w:t>(5)</w:t>
            </w:r>
          </w:p>
        </w:tc>
        <w:tc>
          <w:tcPr>
            <w:tcW w:w="600" w:type="dxa"/>
            <w:vAlign w:val="bottom"/>
            <w:vMerge w:val="continue"/>
            <w:shd w:val="clear" w:color="auto" w:fill="E5F6F8"/>
          </w:tcPr>
          <w:p>
            <w:pPr>
              <w:spacing w:after="0"/>
              <w:rPr>
                <w:sz w:val="6"/>
                <w:szCs w:val="6"/>
                <w:color w:val="auto"/>
              </w:rPr>
            </w:pPr>
          </w:p>
        </w:tc>
        <w:tc>
          <w:tcPr>
            <w:tcW w:w="700" w:type="dxa"/>
            <w:vAlign w:val="bottom"/>
            <w:vMerge w:val="continue"/>
            <w:shd w:val="clear" w:color="auto" w:fill="E5F6F8"/>
          </w:tcPr>
          <w:p>
            <w:pPr>
              <w:spacing w:after="0"/>
              <w:rPr>
                <w:sz w:val="6"/>
                <w:szCs w:val="6"/>
                <w:color w:val="auto"/>
              </w:rPr>
            </w:pPr>
          </w:p>
        </w:tc>
        <w:tc>
          <w:tcPr>
            <w:tcW w:w="40" w:type="dxa"/>
            <w:vAlign w:val="bottom"/>
            <w:shd w:val="clear" w:color="auto" w:fill="E5F6F8"/>
          </w:tcPr>
          <w:p>
            <w:pPr>
              <w:spacing w:after="0"/>
              <w:rPr>
                <w:sz w:val="6"/>
                <w:szCs w:val="6"/>
                <w:color w:val="auto"/>
              </w:rPr>
            </w:pPr>
          </w:p>
        </w:tc>
        <w:tc>
          <w:tcPr>
            <w:tcW w:w="740" w:type="dxa"/>
            <w:vAlign w:val="bottom"/>
            <w:shd w:val="clear" w:color="auto" w:fill="E5F6F8"/>
          </w:tcPr>
          <w:p>
            <w:pPr>
              <w:spacing w:after="0"/>
              <w:rPr>
                <w:sz w:val="6"/>
                <w:szCs w:val="6"/>
                <w:color w:val="auto"/>
              </w:rPr>
            </w:pPr>
          </w:p>
        </w:tc>
        <w:tc>
          <w:tcPr>
            <w:tcW w:w="180" w:type="dxa"/>
            <w:vAlign w:val="bottom"/>
            <w:shd w:val="clear" w:color="auto" w:fill="E5F6F8"/>
          </w:tcPr>
          <w:p>
            <w:pPr>
              <w:spacing w:after="0"/>
              <w:rPr>
                <w:sz w:val="6"/>
                <w:szCs w:val="6"/>
                <w:color w:val="auto"/>
              </w:rPr>
            </w:pPr>
          </w:p>
        </w:tc>
        <w:tc>
          <w:tcPr>
            <w:tcW w:w="720" w:type="dxa"/>
            <w:vAlign w:val="bottom"/>
            <w:shd w:val="clear" w:color="auto" w:fill="E5F6F8"/>
          </w:tcPr>
          <w:p>
            <w:pPr>
              <w:spacing w:after="0"/>
              <w:rPr>
                <w:sz w:val="6"/>
                <w:szCs w:val="6"/>
                <w:color w:val="auto"/>
              </w:rPr>
            </w:pPr>
          </w:p>
        </w:tc>
        <w:tc>
          <w:tcPr>
            <w:tcW w:w="900" w:type="dxa"/>
            <w:vAlign w:val="bottom"/>
            <w:shd w:val="clear" w:color="auto" w:fill="E5F6F8"/>
          </w:tcPr>
          <w:p>
            <w:pPr>
              <w:spacing w:after="0"/>
              <w:rPr>
                <w:sz w:val="6"/>
                <w:szCs w:val="6"/>
                <w:color w:val="auto"/>
              </w:rPr>
            </w:pPr>
          </w:p>
        </w:tc>
        <w:tc>
          <w:tcPr>
            <w:tcW w:w="840" w:type="dxa"/>
            <w:vAlign w:val="bottom"/>
            <w:vMerge w:val="continue"/>
            <w:shd w:val="clear" w:color="auto" w:fill="E5F6F8"/>
          </w:tcPr>
          <w:p>
            <w:pPr>
              <w:spacing w:after="0"/>
              <w:rPr>
                <w:sz w:val="6"/>
                <w:szCs w:val="6"/>
                <w:color w:val="auto"/>
              </w:rPr>
            </w:pPr>
          </w:p>
        </w:tc>
        <w:tc>
          <w:tcPr>
            <w:tcW w:w="620" w:type="dxa"/>
            <w:vAlign w:val="bottom"/>
            <w:vMerge w:val="continue"/>
            <w:shd w:val="clear" w:color="auto" w:fill="E5F6F8"/>
          </w:tcPr>
          <w:p>
            <w:pPr>
              <w:spacing w:after="0"/>
              <w:rPr>
                <w:sz w:val="6"/>
                <w:szCs w:val="6"/>
                <w:color w:val="auto"/>
              </w:rPr>
            </w:pPr>
          </w:p>
        </w:tc>
        <w:tc>
          <w:tcPr>
            <w:tcW w:w="840" w:type="dxa"/>
            <w:vAlign w:val="bottom"/>
            <w:vMerge w:val="continue"/>
            <w:shd w:val="clear" w:color="auto" w:fill="E5F6F8"/>
          </w:tcPr>
          <w:p>
            <w:pPr>
              <w:spacing w:after="0"/>
              <w:rPr>
                <w:sz w:val="6"/>
                <w:szCs w:val="6"/>
                <w:color w:val="auto"/>
              </w:rPr>
            </w:pPr>
          </w:p>
        </w:tc>
        <w:tc>
          <w:tcPr>
            <w:tcW w:w="680" w:type="dxa"/>
            <w:vAlign w:val="bottom"/>
            <w:shd w:val="clear" w:color="auto" w:fill="E5F6F8"/>
          </w:tcPr>
          <w:p>
            <w:pPr>
              <w:spacing w:after="0"/>
              <w:rPr>
                <w:sz w:val="6"/>
                <w:szCs w:val="6"/>
                <w:color w:val="auto"/>
              </w:rPr>
            </w:pPr>
          </w:p>
        </w:tc>
        <w:tc>
          <w:tcPr>
            <w:tcW w:w="160" w:type="dxa"/>
            <w:vAlign w:val="bottom"/>
            <w:vMerge w:val="continue"/>
            <w:shd w:val="clear" w:color="auto" w:fill="E5F6F8"/>
          </w:tcPr>
          <w:p>
            <w:pPr>
              <w:spacing w:after="0"/>
              <w:rPr>
                <w:sz w:val="6"/>
                <w:szCs w:val="6"/>
                <w:color w:val="auto"/>
              </w:rPr>
            </w:pPr>
          </w:p>
        </w:tc>
        <w:tc>
          <w:tcPr>
            <w:tcW w:w="760" w:type="dxa"/>
            <w:vAlign w:val="bottom"/>
            <w:vMerge w:val="continue"/>
            <w:shd w:val="clear" w:color="auto" w:fill="E5F6F8"/>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4C4C4C"/>
            </w:tcBorders>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60"/>
              <w:spacing w:after="0"/>
              <w:rPr>
                <w:sz w:val="20"/>
                <w:szCs w:val="20"/>
                <w:color w:val="auto"/>
              </w:rPr>
            </w:pPr>
            <w:r>
              <w:rPr>
                <w:rFonts w:ascii="Arial" w:cs="Arial" w:eastAsia="Arial" w:hAnsi="Arial"/>
                <w:sz w:val="14"/>
                <w:szCs w:val="14"/>
                <w:color w:val="4C4C4C"/>
              </w:rPr>
              <w:t>Christine</w:t>
            </w: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Short-Term</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4C4C4C"/>
              </w:rPr>
              <w:t>$ 420,000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4C4C4C"/>
              </w:rPr>
              <w:t>840,000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4C4C4C"/>
              </w:rPr>
              <w:t>$1,260,000</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140" w:type="dxa"/>
            <w:vAlign w:val="bottom"/>
            <w:vMerge w:val="restart"/>
          </w:tcPr>
          <w:p>
            <w:pPr>
              <w:ind w:left="60"/>
              <w:spacing w:after="0"/>
              <w:rPr>
                <w:sz w:val="20"/>
                <w:szCs w:val="20"/>
                <w:color w:val="auto"/>
              </w:rPr>
            </w:pPr>
            <w:r>
              <w:rPr>
                <w:rFonts w:ascii="Arial" w:cs="Arial" w:eastAsia="Arial" w:hAnsi="Arial"/>
                <w:sz w:val="14"/>
                <w:szCs w:val="14"/>
                <w:color w:val="4C4C4C"/>
              </w:rPr>
              <w:t>DeBiase</w:t>
            </w:r>
          </w:p>
        </w:tc>
        <w:tc>
          <w:tcPr>
            <w:tcW w:w="2100" w:type="dxa"/>
            <w:vAlign w:val="bottom"/>
            <w:gridSpan w:val="2"/>
            <w:vMerge w:val="restart"/>
          </w:tcPr>
          <w:p>
            <w:pPr>
              <w:ind w:left="60"/>
              <w:spacing w:after="0"/>
              <w:rPr>
                <w:sz w:val="20"/>
                <w:szCs w:val="20"/>
                <w:color w:val="auto"/>
              </w:rPr>
            </w:pPr>
            <w:r>
              <w:rPr>
                <w:rFonts w:ascii="Arial" w:cs="Arial" w:eastAsia="Arial" w:hAnsi="Arial"/>
                <w:sz w:val="14"/>
                <w:szCs w:val="14"/>
                <w:color w:val="4C4C4C"/>
              </w:rPr>
              <w:t>Incentive</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Restricted Stock</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Arial" w:cs="Arial" w:eastAsia="Arial" w:hAnsi="Arial"/>
                <w:sz w:val="14"/>
                <w:szCs w:val="14"/>
                <w:color w:val="4C4C4C"/>
              </w:rPr>
              <w:t>11,718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419,973</w:t>
            </w: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2100" w:type="dxa"/>
            <w:vAlign w:val="bottom"/>
            <w:gridSpan w:val="2"/>
            <w:vMerge w:val="restart"/>
          </w:tcPr>
          <w:p>
            <w:pPr>
              <w:ind w:left="60"/>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(4)</w:t>
            </w: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Performance Share</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4"/>
                <w:szCs w:val="14"/>
                <w:color w:val="4C4C4C"/>
              </w:rPr>
              <w:t>8,789</w:t>
            </w: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4C4C4C"/>
              </w:rPr>
              <w:t>17,578</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4C4C4C"/>
              </w:rPr>
              <w:t>26,367</w:t>
            </w:r>
          </w:p>
        </w:tc>
        <w:tc>
          <w:tcPr>
            <w:tcW w:w="6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629,995</w:t>
            </w:r>
          </w:p>
        </w:tc>
        <w:tc>
          <w:tcPr>
            <w:tcW w:w="0" w:type="dxa"/>
            <w:vAlign w:val="bottom"/>
          </w:tcPr>
          <w:p>
            <w:pPr>
              <w:spacing w:after="0"/>
              <w:rPr>
                <w:sz w:val="1"/>
                <w:szCs w:val="1"/>
                <w:color w:val="auto"/>
              </w:rPr>
            </w:pPr>
          </w:p>
        </w:tc>
      </w:tr>
      <w:tr>
        <w:trPr>
          <w:trHeight w:val="72"/>
        </w:trPr>
        <w:tc>
          <w:tcPr>
            <w:tcW w:w="1140" w:type="dxa"/>
            <w:vAlign w:val="bottom"/>
          </w:tcPr>
          <w:p>
            <w:pPr>
              <w:spacing w:after="0"/>
              <w:rPr>
                <w:sz w:val="6"/>
                <w:szCs w:val="6"/>
                <w:color w:val="auto"/>
              </w:rPr>
            </w:pPr>
          </w:p>
        </w:tc>
        <w:tc>
          <w:tcPr>
            <w:tcW w:w="2100" w:type="dxa"/>
            <w:vAlign w:val="bottom"/>
            <w:gridSpan w:val="2"/>
            <w:vMerge w:val="restart"/>
          </w:tcPr>
          <w:p>
            <w:pPr>
              <w:ind w:left="60"/>
              <w:spacing w:after="0" w:line="164"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19"/>
                <w:szCs w:val="19"/>
                <w:color w:val="4C4C4C"/>
                <w:vertAlign w:val="superscript"/>
              </w:rPr>
              <w:t>(5)</w:t>
            </w:r>
          </w:p>
        </w:tc>
        <w:tc>
          <w:tcPr>
            <w:tcW w:w="6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4C4C4C"/>
            </w:tcBorders>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E5F6F8"/>
          </w:tcPr>
          <w:p>
            <w:pPr>
              <w:ind w:left="60"/>
              <w:spacing w:after="0"/>
              <w:rPr>
                <w:sz w:val="20"/>
                <w:szCs w:val="20"/>
                <w:color w:val="auto"/>
              </w:rPr>
            </w:pPr>
            <w:r>
              <w:rPr>
                <w:rFonts w:ascii="Arial" w:cs="Arial" w:eastAsia="Arial" w:hAnsi="Arial"/>
                <w:sz w:val="14"/>
                <w:szCs w:val="14"/>
                <w:color w:val="4C4C4C"/>
              </w:rPr>
              <w:t>Conor</w:t>
            </w:r>
          </w:p>
        </w:tc>
        <w:tc>
          <w:tcPr>
            <w:tcW w:w="60" w:type="dxa"/>
            <w:vAlign w:val="bottom"/>
            <w:shd w:val="clear" w:color="auto" w:fill="E5F6F8"/>
          </w:tcPr>
          <w:p>
            <w:pPr>
              <w:spacing w:after="0"/>
              <w:rPr>
                <w:sz w:val="19"/>
                <w:szCs w:val="19"/>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Short-Term</w:t>
            </w:r>
          </w:p>
        </w:tc>
        <w:tc>
          <w:tcPr>
            <w:tcW w:w="600" w:type="dxa"/>
            <w:vAlign w:val="bottom"/>
            <w:shd w:val="clear" w:color="auto" w:fill="E5F6F8"/>
          </w:tcPr>
          <w:p>
            <w:pPr>
              <w:spacing w:after="0"/>
              <w:rPr>
                <w:sz w:val="19"/>
                <w:szCs w:val="19"/>
                <w:color w:val="auto"/>
              </w:rPr>
            </w:pPr>
          </w:p>
        </w:tc>
        <w:tc>
          <w:tcPr>
            <w:tcW w:w="700" w:type="dxa"/>
            <w:vAlign w:val="bottom"/>
            <w:shd w:val="clear" w:color="auto" w:fill="E5F6F8"/>
          </w:tcPr>
          <w:p>
            <w:pPr>
              <w:spacing w:after="0"/>
              <w:rPr>
                <w:sz w:val="19"/>
                <w:szCs w:val="19"/>
                <w:color w:val="auto"/>
              </w:rPr>
            </w:pPr>
          </w:p>
        </w:tc>
        <w:tc>
          <w:tcPr>
            <w:tcW w:w="780" w:type="dxa"/>
            <w:vAlign w:val="bottom"/>
            <w:gridSpan w:val="2"/>
            <w:vMerge w:val="restart"/>
            <w:shd w:val="clear" w:color="auto" w:fill="E5F6F8"/>
          </w:tcPr>
          <w:p>
            <w:pPr>
              <w:ind w:left="40"/>
              <w:spacing w:after="0"/>
              <w:rPr>
                <w:sz w:val="20"/>
                <w:szCs w:val="20"/>
                <w:color w:val="auto"/>
              </w:rPr>
            </w:pPr>
            <w:r>
              <w:rPr>
                <w:rFonts w:ascii="Arial" w:cs="Arial" w:eastAsia="Arial" w:hAnsi="Arial"/>
                <w:sz w:val="14"/>
                <w:szCs w:val="14"/>
                <w:color w:val="4C4C4C"/>
              </w:rPr>
              <w:t>$ 435,000</w:t>
            </w:r>
          </w:p>
        </w:tc>
        <w:tc>
          <w:tcPr>
            <w:tcW w:w="18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20" w:type="dxa"/>
            <w:vAlign w:val="bottom"/>
            <w:vMerge w:val="restart"/>
            <w:shd w:val="clear" w:color="auto" w:fill="E5F6F8"/>
          </w:tcPr>
          <w:p>
            <w:pPr>
              <w:jc w:val="right"/>
              <w:ind w:right="11"/>
              <w:spacing w:after="0"/>
              <w:rPr>
                <w:sz w:val="20"/>
                <w:szCs w:val="20"/>
                <w:color w:val="auto"/>
              </w:rPr>
            </w:pPr>
            <w:r>
              <w:rPr>
                <w:rFonts w:ascii="Arial" w:cs="Arial" w:eastAsia="Arial" w:hAnsi="Arial"/>
                <w:sz w:val="14"/>
                <w:szCs w:val="14"/>
                <w:color w:val="4C4C4C"/>
              </w:rPr>
              <w:t>870,000</w:t>
            </w:r>
          </w:p>
        </w:tc>
        <w:tc>
          <w:tcPr>
            <w:tcW w:w="900" w:type="dxa"/>
            <w:vAlign w:val="bottom"/>
            <w:vMerge w:val="restart"/>
            <w:shd w:val="clear" w:color="auto" w:fill="E5F6F8"/>
          </w:tcPr>
          <w:p>
            <w:pPr>
              <w:jc w:val="center"/>
              <w:spacing w:after="0"/>
              <w:rPr>
                <w:sz w:val="20"/>
                <w:szCs w:val="20"/>
                <w:color w:val="auto"/>
              </w:rPr>
            </w:pPr>
            <w:r>
              <w:rPr>
                <w:rFonts w:ascii="Arial" w:cs="Arial" w:eastAsia="Arial" w:hAnsi="Arial"/>
                <w:sz w:val="14"/>
                <w:szCs w:val="14"/>
                <w:color w:val="4C4C4C"/>
              </w:rPr>
              <w:t>$1,305,000</w:t>
            </w:r>
          </w:p>
        </w:tc>
        <w:tc>
          <w:tcPr>
            <w:tcW w:w="840" w:type="dxa"/>
            <w:vAlign w:val="bottom"/>
            <w:shd w:val="clear" w:color="auto" w:fill="E5F6F8"/>
          </w:tcPr>
          <w:p>
            <w:pPr>
              <w:spacing w:after="0"/>
              <w:rPr>
                <w:sz w:val="19"/>
                <w:szCs w:val="19"/>
                <w:color w:val="auto"/>
              </w:rPr>
            </w:pPr>
          </w:p>
        </w:tc>
        <w:tc>
          <w:tcPr>
            <w:tcW w:w="620" w:type="dxa"/>
            <w:vAlign w:val="bottom"/>
            <w:shd w:val="clear" w:color="auto" w:fill="E5F6F8"/>
          </w:tcPr>
          <w:p>
            <w:pPr>
              <w:spacing w:after="0"/>
              <w:rPr>
                <w:sz w:val="19"/>
                <w:szCs w:val="19"/>
                <w:color w:val="auto"/>
              </w:rPr>
            </w:pPr>
          </w:p>
        </w:tc>
        <w:tc>
          <w:tcPr>
            <w:tcW w:w="840" w:type="dxa"/>
            <w:vAlign w:val="bottom"/>
            <w:shd w:val="clear" w:color="auto" w:fill="E5F6F8"/>
          </w:tcPr>
          <w:p>
            <w:pPr>
              <w:spacing w:after="0"/>
              <w:rPr>
                <w:sz w:val="19"/>
                <w:szCs w:val="19"/>
                <w:color w:val="auto"/>
              </w:rPr>
            </w:pPr>
          </w:p>
        </w:tc>
        <w:tc>
          <w:tcPr>
            <w:tcW w:w="680" w:type="dxa"/>
            <w:vAlign w:val="bottom"/>
            <w:shd w:val="clear" w:color="auto" w:fill="E5F6F8"/>
          </w:tcPr>
          <w:p>
            <w:pPr>
              <w:spacing w:after="0"/>
              <w:rPr>
                <w:sz w:val="19"/>
                <w:szCs w:val="19"/>
                <w:color w:val="auto"/>
              </w:rPr>
            </w:pPr>
          </w:p>
        </w:tc>
        <w:tc>
          <w:tcPr>
            <w:tcW w:w="160" w:type="dxa"/>
            <w:vAlign w:val="bottom"/>
            <w:shd w:val="clear" w:color="auto" w:fill="E5F6F8"/>
          </w:tcPr>
          <w:p>
            <w:pPr>
              <w:spacing w:after="0"/>
              <w:rPr>
                <w:sz w:val="19"/>
                <w:szCs w:val="19"/>
                <w:color w:val="auto"/>
              </w:rPr>
            </w:pPr>
          </w:p>
        </w:tc>
        <w:tc>
          <w:tcPr>
            <w:tcW w:w="760" w:type="dxa"/>
            <w:vAlign w:val="bottom"/>
            <w:shd w:val="clear" w:color="auto" w:fill="E5F6F8"/>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40" w:type="dxa"/>
            <w:vAlign w:val="bottom"/>
            <w:vMerge w:val="restart"/>
            <w:shd w:val="clear" w:color="auto" w:fill="E5F6F8"/>
          </w:tcPr>
          <w:p>
            <w:pPr>
              <w:ind w:left="60"/>
              <w:spacing w:after="0"/>
              <w:rPr>
                <w:sz w:val="20"/>
                <w:szCs w:val="20"/>
                <w:color w:val="auto"/>
              </w:rPr>
            </w:pPr>
            <w:r>
              <w:rPr>
                <w:rFonts w:ascii="Arial" w:cs="Arial" w:eastAsia="Arial" w:hAnsi="Arial"/>
                <w:sz w:val="14"/>
                <w:szCs w:val="14"/>
                <w:color w:val="4C4C4C"/>
              </w:rPr>
              <w:t>Murphy</w:t>
            </w:r>
          </w:p>
        </w:tc>
        <w:tc>
          <w:tcPr>
            <w:tcW w:w="60" w:type="dxa"/>
            <w:vAlign w:val="bottom"/>
            <w:shd w:val="clear" w:color="auto" w:fill="E5F6F8"/>
          </w:tcPr>
          <w:p>
            <w:pPr>
              <w:spacing w:after="0"/>
              <w:rPr>
                <w:sz w:val="9"/>
                <w:szCs w:val="9"/>
                <w:color w:val="auto"/>
              </w:rPr>
            </w:pPr>
          </w:p>
        </w:tc>
        <w:tc>
          <w:tcPr>
            <w:tcW w:w="2040" w:type="dxa"/>
            <w:vAlign w:val="bottom"/>
            <w:vMerge w:val="restart"/>
            <w:shd w:val="clear" w:color="auto" w:fill="E5F6F8"/>
          </w:tcPr>
          <w:p>
            <w:pPr>
              <w:spacing w:after="0"/>
              <w:rPr>
                <w:sz w:val="20"/>
                <w:szCs w:val="20"/>
                <w:color w:val="auto"/>
              </w:rPr>
            </w:pPr>
            <w:r>
              <w:rPr>
                <w:rFonts w:ascii="Arial" w:cs="Arial" w:eastAsia="Arial" w:hAnsi="Arial"/>
                <w:sz w:val="14"/>
                <w:szCs w:val="14"/>
                <w:color w:val="4C4C4C"/>
              </w:rPr>
              <w:t>Incentive</w:t>
            </w:r>
          </w:p>
        </w:tc>
        <w:tc>
          <w:tcPr>
            <w:tcW w:w="600" w:type="dxa"/>
            <w:vAlign w:val="bottom"/>
            <w:shd w:val="clear" w:color="auto" w:fill="E5F6F8"/>
          </w:tcPr>
          <w:p>
            <w:pPr>
              <w:spacing w:after="0"/>
              <w:rPr>
                <w:sz w:val="9"/>
                <w:szCs w:val="9"/>
                <w:color w:val="auto"/>
              </w:rPr>
            </w:pPr>
          </w:p>
        </w:tc>
        <w:tc>
          <w:tcPr>
            <w:tcW w:w="700" w:type="dxa"/>
            <w:vAlign w:val="bottom"/>
            <w:shd w:val="clear" w:color="auto" w:fill="E5F6F8"/>
          </w:tcPr>
          <w:p>
            <w:pPr>
              <w:spacing w:after="0"/>
              <w:rPr>
                <w:sz w:val="9"/>
                <w:szCs w:val="9"/>
                <w:color w:val="auto"/>
              </w:rPr>
            </w:pPr>
          </w:p>
        </w:tc>
        <w:tc>
          <w:tcPr>
            <w:tcW w:w="780" w:type="dxa"/>
            <w:vAlign w:val="bottom"/>
            <w:gridSpan w:val="2"/>
            <w:vMerge w:val="continue"/>
            <w:shd w:val="clear" w:color="auto" w:fill="E5F6F8"/>
          </w:tcPr>
          <w:p>
            <w:pPr>
              <w:spacing w:after="0"/>
              <w:rPr>
                <w:sz w:val="9"/>
                <w:szCs w:val="9"/>
                <w:color w:val="auto"/>
              </w:rPr>
            </w:pPr>
          </w:p>
        </w:tc>
        <w:tc>
          <w:tcPr>
            <w:tcW w:w="180" w:type="dxa"/>
            <w:vAlign w:val="bottom"/>
            <w:vMerge w:val="continue"/>
            <w:shd w:val="clear" w:color="auto" w:fill="E5F6F8"/>
          </w:tcPr>
          <w:p>
            <w:pPr>
              <w:spacing w:after="0"/>
              <w:rPr>
                <w:sz w:val="9"/>
                <w:szCs w:val="9"/>
                <w:color w:val="auto"/>
              </w:rPr>
            </w:pPr>
          </w:p>
        </w:tc>
        <w:tc>
          <w:tcPr>
            <w:tcW w:w="720" w:type="dxa"/>
            <w:vAlign w:val="bottom"/>
            <w:vMerge w:val="continue"/>
            <w:shd w:val="clear" w:color="auto" w:fill="E5F6F8"/>
          </w:tcPr>
          <w:p>
            <w:pPr>
              <w:spacing w:after="0"/>
              <w:rPr>
                <w:sz w:val="9"/>
                <w:szCs w:val="9"/>
                <w:color w:val="auto"/>
              </w:rPr>
            </w:pPr>
          </w:p>
        </w:tc>
        <w:tc>
          <w:tcPr>
            <w:tcW w:w="900" w:type="dxa"/>
            <w:vAlign w:val="bottom"/>
            <w:vMerge w:val="continue"/>
            <w:shd w:val="clear" w:color="auto" w:fill="E5F6F8"/>
          </w:tcPr>
          <w:p>
            <w:pPr>
              <w:spacing w:after="0"/>
              <w:rPr>
                <w:sz w:val="9"/>
                <w:szCs w:val="9"/>
                <w:color w:val="auto"/>
              </w:rPr>
            </w:pPr>
          </w:p>
        </w:tc>
        <w:tc>
          <w:tcPr>
            <w:tcW w:w="840" w:type="dxa"/>
            <w:vAlign w:val="bottom"/>
            <w:shd w:val="clear" w:color="auto" w:fill="E5F6F8"/>
          </w:tcPr>
          <w:p>
            <w:pPr>
              <w:spacing w:after="0"/>
              <w:rPr>
                <w:sz w:val="9"/>
                <w:szCs w:val="9"/>
                <w:color w:val="auto"/>
              </w:rPr>
            </w:pPr>
          </w:p>
        </w:tc>
        <w:tc>
          <w:tcPr>
            <w:tcW w:w="620" w:type="dxa"/>
            <w:vAlign w:val="bottom"/>
            <w:shd w:val="clear" w:color="auto" w:fill="E5F6F8"/>
          </w:tcPr>
          <w:p>
            <w:pPr>
              <w:spacing w:after="0"/>
              <w:rPr>
                <w:sz w:val="9"/>
                <w:szCs w:val="9"/>
                <w:color w:val="auto"/>
              </w:rPr>
            </w:pPr>
          </w:p>
        </w:tc>
        <w:tc>
          <w:tcPr>
            <w:tcW w:w="840" w:type="dxa"/>
            <w:vAlign w:val="bottom"/>
            <w:shd w:val="clear" w:color="auto" w:fill="E5F6F8"/>
          </w:tcPr>
          <w:p>
            <w:pPr>
              <w:spacing w:after="0"/>
              <w:rPr>
                <w:sz w:val="9"/>
                <w:szCs w:val="9"/>
                <w:color w:val="auto"/>
              </w:rPr>
            </w:pPr>
          </w:p>
        </w:tc>
        <w:tc>
          <w:tcPr>
            <w:tcW w:w="680" w:type="dxa"/>
            <w:vAlign w:val="bottom"/>
            <w:shd w:val="clear" w:color="auto" w:fill="E5F6F8"/>
          </w:tcPr>
          <w:p>
            <w:pPr>
              <w:spacing w:after="0"/>
              <w:rPr>
                <w:sz w:val="9"/>
                <w:szCs w:val="9"/>
                <w:color w:val="auto"/>
              </w:rPr>
            </w:pPr>
          </w:p>
        </w:tc>
        <w:tc>
          <w:tcPr>
            <w:tcW w:w="160" w:type="dxa"/>
            <w:vAlign w:val="bottom"/>
            <w:shd w:val="clear" w:color="auto" w:fill="E5F6F8"/>
          </w:tcPr>
          <w:p>
            <w:pPr>
              <w:spacing w:after="0"/>
              <w:rPr>
                <w:sz w:val="9"/>
                <w:szCs w:val="9"/>
                <w:color w:val="auto"/>
              </w:rPr>
            </w:pPr>
          </w:p>
        </w:tc>
        <w:tc>
          <w:tcPr>
            <w:tcW w:w="760" w:type="dxa"/>
            <w:vAlign w:val="bottom"/>
            <w:shd w:val="clear" w:color="auto" w:fill="E5F6F8"/>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E5F6F8"/>
            </w:tcBorders>
            <w:vMerge w:val="continue"/>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shd w:val="clear" w:color="auto" w:fill="E5F6F8"/>
          </w:tcPr>
          <w:p>
            <w:pPr>
              <w:spacing w:after="0"/>
              <w:rPr>
                <w:sz w:val="16"/>
                <w:szCs w:val="16"/>
                <w:color w:val="auto"/>
              </w:rPr>
            </w:pPr>
          </w:p>
        </w:tc>
        <w:tc>
          <w:tcPr>
            <w:tcW w:w="60" w:type="dxa"/>
            <w:vAlign w:val="bottom"/>
            <w:shd w:val="clear" w:color="auto" w:fill="E5F6F8"/>
          </w:tcPr>
          <w:p>
            <w:pPr>
              <w:spacing w:after="0"/>
              <w:rPr>
                <w:sz w:val="16"/>
                <w:szCs w:val="16"/>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Restricted Stock</w:t>
            </w:r>
          </w:p>
        </w:tc>
        <w:tc>
          <w:tcPr>
            <w:tcW w:w="6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shd w:val="clear" w:color="auto" w:fill="E5F6F8"/>
          </w:tcPr>
          <w:p>
            <w:pPr>
              <w:spacing w:after="0"/>
              <w:rPr>
                <w:sz w:val="16"/>
                <w:szCs w:val="16"/>
                <w:color w:val="auto"/>
              </w:rPr>
            </w:pPr>
          </w:p>
        </w:tc>
        <w:tc>
          <w:tcPr>
            <w:tcW w:w="740" w:type="dxa"/>
            <w:vAlign w:val="bottom"/>
            <w:shd w:val="clear" w:color="auto" w:fill="E5F6F8"/>
          </w:tcPr>
          <w:p>
            <w:pPr>
              <w:spacing w:after="0"/>
              <w:rPr>
                <w:sz w:val="16"/>
                <w:szCs w:val="16"/>
                <w:color w:val="auto"/>
              </w:rPr>
            </w:pPr>
          </w:p>
        </w:tc>
        <w:tc>
          <w:tcPr>
            <w:tcW w:w="180" w:type="dxa"/>
            <w:vAlign w:val="bottom"/>
            <w:shd w:val="clear" w:color="auto" w:fill="E5F6F8"/>
          </w:tcPr>
          <w:p>
            <w:pPr>
              <w:spacing w:after="0"/>
              <w:rPr>
                <w:sz w:val="16"/>
                <w:szCs w:val="16"/>
                <w:color w:val="auto"/>
              </w:rPr>
            </w:pPr>
          </w:p>
        </w:tc>
        <w:tc>
          <w:tcPr>
            <w:tcW w:w="720" w:type="dxa"/>
            <w:vAlign w:val="bottom"/>
            <w:shd w:val="clear" w:color="auto" w:fill="E5F6F8"/>
          </w:tcPr>
          <w:p>
            <w:pPr>
              <w:spacing w:after="0"/>
              <w:rPr>
                <w:sz w:val="16"/>
                <w:szCs w:val="16"/>
                <w:color w:val="auto"/>
              </w:rPr>
            </w:pPr>
          </w:p>
        </w:tc>
        <w:tc>
          <w:tcPr>
            <w:tcW w:w="900" w:type="dxa"/>
            <w:vAlign w:val="bottom"/>
            <w:shd w:val="clear" w:color="auto" w:fill="E5F6F8"/>
          </w:tcPr>
          <w:p>
            <w:pPr>
              <w:spacing w:after="0"/>
              <w:rPr>
                <w:sz w:val="16"/>
                <w:szCs w:val="16"/>
                <w:color w:val="auto"/>
              </w:rPr>
            </w:pPr>
          </w:p>
        </w:tc>
        <w:tc>
          <w:tcPr>
            <w:tcW w:w="840" w:type="dxa"/>
            <w:vAlign w:val="bottom"/>
            <w:shd w:val="clear" w:color="auto" w:fill="E5F6F8"/>
          </w:tcPr>
          <w:p>
            <w:pPr>
              <w:spacing w:after="0"/>
              <w:rPr>
                <w:sz w:val="16"/>
                <w:szCs w:val="16"/>
                <w:color w:val="auto"/>
              </w:rPr>
            </w:pPr>
          </w:p>
        </w:tc>
        <w:tc>
          <w:tcPr>
            <w:tcW w:w="620" w:type="dxa"/>
            <w:vAlign w:val="bottom"/>
            <w:shd w:val="clear" w:color="auto" w:fill="E5F6F8"/>
          </w:tcPr>
          <w:p>
            <w:pPr>
              <w:spacing w:after="0"/>
              <w:rPr>
                <w:sz w:val="16"/>
                <w:szCs w:val="16"/>
                <w:color w:val="auto"/>
              </w:rPr>
            </w:pPr>
          </w:p>
        </w:tc>
        <w:tc>
          <w:tcPr>
            <w:tcW w:w="840" w:type="dxa"/>
            <w:vAlign w:val="bottom"/>
            <w:shd w:val="clear" w:color="auto" w:fill="E5F6F8"/>
          </w:tcPr>
          <w:p>
            <w:pPr>
              <w:spacing w:after="0"/>
              <w:rPr>
                <w:sz w:val="16"/>
                <w:szCs w:val="16"/>
                <w:color w:val="auto"/>
              </w:rPr>
            </w:pPr>
          </w:p>
        </w:tc>
        <w:tc>
          <w:tcPr>
            <w:tcW w:w="680" w:type="dxa"/>
            <w:vAlign w:val="bottom"/>
            <w:vMerge w:val="restart"/>
            <w:shd w:val="clear" w:color="auto" w:fill="E5F6F8"/>
          </w:tcPr>
          <w:p>
            <w:pPr>
              <w:jc w:val="right"/>
              <w:ind w:right="18"/>
              <w:spacing w:after="0"/>
              <w:rPr>
                <w:sz w:val="20"/>
                <w:szCs w:val="20"/>
                <w:color w:val="auto"/>
              </w:rPr>
            </w:pPr>
            <w:r>
              <w:rPr>
                <w:rFonts w:ascii="Arial" w:cs="Arial" w:eastAsia="Arial" w:hAnsi="Arial"/>
                <w:sz w:val="14"/>
                <w:szCs w:val="14"/>
                <w:color w:val="4C4C4C"/>
              </w:rPr>
              <w:t>12,723</w:t>
            </w:r>
          </w:p>
        </w:tc>
        <w:tc>
          <w:tcPr>
            <w:tcW w:w="16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455,992</w:t>
            </w:r>
          </w:p>
        </w:tc>
        <w:tc>
          <w:tcPr>
            <w:tcW w:w="0" w:type="dxa"/>
            <w:vAlign w:val="bottom"/>
          </w:tcPr>
          <w:p>
            <w:pPr>
              <w:spacing w:after="0"/>
              <w:rPr>
                <w:sz w:val="1"/>
                <w:szCs w:val="1"/>
                <w:color w:val="auto"/>
              </w:rPr>
            </w:pPr>
          </w:p>
        </w:tc>
      </w:tr>
      <w:tr>
        <w:trPr>
          <w:trHeight w:val="85"/>
        </w:trPr>
        <w:tc>
          <w:tcPr>
            <w:tcW w:w="1140" w:type="dxa"/>
            <w:vAlign w:val="bottom"/>
            <w:shd w:val="clear" w:color="auto" w:fill="E5F6F8"/>
          </w:tcPr>
          <w:p>
            <w:pPr>
              <w:spacing w:after="0"/>
              <w:rPr>
                <w:sz w:val="7"/>
                <w:szCs w:val="7"/>
                <w:color w:val="auto"/>
              </w:rPr>
            </w:pPr>
          </w:p>
        </w:tc>
        <w:tc>
          <w:tcPr>
            <w:tcW w:w="60" w:type="dxa"/>
            <w:vAlign w:val="bottom"/>
            <w:shd w:val="clear" w:color="auto" w:fill="E5F6F8"/>
          </w:tcPr>
          <w:p>
            <w:pPr>
              <w:spacing w:after="0"/>
              <w:rPr>
                <w:sz w:val="7"/>
                <w:szCs w:val="7"/>
                <w:color w:val="auto"/>
              </w:rPr>
            </w:pPr>
          </w:p>
        </w:tc>
        <w:tc>
          <w:tcPr>
            <w:tcW w:w="2040" w:type="dxa"/>
            <w:vAlign w:val="bottom"/>
            <w:vMerge w:val="restart"/>
            <w:shd w:val="clear" w:color="auto" w:fill="E5F6F8"/>
          </w:tcPr>
          <w:p>
            <w:pPr>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(4)</w:t>
            </w:r>
          </w:p>
        </w:tc>
        <w:tc>
          <w:tcPr>
            <w:tcW w:w="600" w:type="dxa"/>
            <w:vAlign w:val="bottom"/>
            <w:vMerge w:val="continue"/>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4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180" w:type="dxa"/>
            <w:vAlign w:val="bottom"/>
            <w:shd w:val="clear" w:color="auto" w:fill="E5F6F8"/>
          </w:tcPr>
          <w:p>
            <w:pPr>
              <w:spacing w:after="0"/>
              <w:rPr>
                <w:sz w:val="7"/>
                <w:szCs w:val="7"/>
                <w:color w:val="auto"/>
              </w:rPr>
            </w:pPr>
          </w:p>
        </w:tc>
        <w:tc>
          <w:tcPr>
            <w:tcW w:w="720" w:type="dxa"/>
            <w:vAlign w:val="bottom"/>
            <w:shd w:val="clear" w:color="auto" w:fill="E5F6F8"/>
          </w:tcPr>
          <w:p>
            <w:pPr>
              <w:spacing w:after="0"/>
              <w:rPr>
                <w:sz w:val="7"/>
                <w:szCs w:val="7"/>
                <w:color w:val="auto"/>
              </w:rPr>
            </w:pPr>
          </w:p>
        </w:tc>
        <w:tc>
          <w:tcPr>
            <w:tcW w:w="900" w:type="dxa"/>
            <w:vAlign w:val="bottom"/>
            <w:shd w:val="clear" w:color="auto" w:fill="E5F6F8"/>
          </w:tcPr>
          <w:p>
            <w:pPr>
              <w:spacing w:after="0"/>
              <w:rPr>
                <w:sz w:val="7"/>
                <w:szCs w:val="7"/>
                <w:color w:val="auto"/>
              </w:rPr>
            </w:pPr>
          </w:p>
        </w:tc>
        <w:tc>
          <w:tcPr>
            <w:tcW w:w="840" w:type="dxa"/>
            <w:vAlign w:val="bottom"/>
            <w:shd w:val="clear" w:color="auto" w:fill="E5F6F8"/>
          </w:tcPr>
          <w:p>
            <w:pPr>
              <w:spacing w:after="0"/>
              <w:rPr>
                <w:sz w:val="7"/>
                <w:szCs w:val="7"/>
                <w:color w:val="auto"/>
              </w:rPr>
            </w:pPr>
          </w:p>
        </w:tc>
        <w:tc>
          <w:tcPr>
            <w:tcW w:w="620" w:type="dxa"/>
            <w:vAlign w:val="bottom"/>
            <w:shd w:val="clear" w:color="auto" w:fill="E5F6F8"/>
          </w:tcPr>
          <w:p>
            <w:pPr>
              <w:spacing w:after="0"/>
              <w:rPr>
                <w:sz w:val="7"/>
                <w:szCs w:val="7"/>
                <w:color w:val="auto"/>
              </w:rPr>
            </w:pPr>
          </w:p>
        </w:tc>
        <w:tc>
          <w:tcPr>
            <w:tcW w:w="840" w:type="dxa"/>
            <w:vAlign w:val="bottom"/>
            <w:shd w:val="clear" w:color="auto" w:fill="E5F6F8"/>
          </w:tcPr>
          <w:p>
            <w:pPr>
              <w:spacing w:after="0"/>
              <w:rPr>
                <w:sz w:val="7"/>
                <w:szCs w:val="7"/>
                <w:color w:val="auto"/>
              </w:rPr>
            </w:pPr>
          </w:p>
        </w:tc>
        <w:tc>
          <w:tcPr>
            <w:tcW w:w="680" w:type="dxa"/>
            <w:vAlign w:val="bottom"/>
            <w:vMerge w:val="continue"/>
            <w:shd w:val="clear" w:color="auto" w:fill="E5F6F8"/>
          </w:tcPr>
          <w:p>
            <w:pPr>
              <w:spacing w:after="0"/>
              <w:rPr>
                <w:sz w:val="7"/>
                <w:szCs w:val="7"/>
                <w:color w:val="auto"/>
              </w:rPr>
            </w:pPr>
          </w:p>
        </w:tc>
        <w:tc>
          <w:tcPr>
            <w:tcW w:w="16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E5F6F8"/>
            </w:tcBorders>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shd w:val="clear" w:color="auto" w:fill="E5F6F8"/>
          </w:tcPr>
          <w:p>
            <w:pPr>
              <w:spacing w:after="0"/>
              <w:rPr>
                <w:sz w:val="16"/>
                <w:szCs w:val="16"/>
                <w:color w:val="auto"/>
              </w:rPr>
            </w:pPr>
          </w:p>
        </w:tc>
        <w:tc>
          <w:tcPr>
            <w:tcW w:w="60" w:type="dxa"/>
            <w:vAlign w:val="bottom"/>
            <w:shd w:val="clear" w:color="auto" w:fill="E5F6F8"/>
          </w:tcPr>
          <w:p>
            <w:pPr>
              <w:spacing w:after="0"/>
              <w:rPr>
                <w:sz w:val="16"/>
                <w:szCs w:val="16"/>
                <w:color w:val="auto"/>
              </w:rPr>
            </w:pPr>
          </w:p>
        </w:tc>
        <w:tc>
          <w:tcPr>
            <w:tcW w:w="2040" w:type="dxa"/>
            <w:vAlign w:val="bottom"/>
            <w:shd w:val="clear" w:color="auto" w:fill="E5F6F8"/>
          </w:tcPr>
          <w:p>
            <w:pPr>
              <w:spacing w:after="0"/>
              <w:rPr>
                <w:sz w:val="20"/>
                <w:szCs w:val="20"/>
                <w:color w:val="auto"/>
              </w:rPr>
            </w:pPr>
            <w:r>
              <w:rPr>
                <w:rFonts w:ascii="Arial" w:cs="Arial" w:eastAsia="Arial" w:hAnsi="Arial"/>
                <w:sz w:val="14"/>
                <w:szCs w:val="14"/>
                <w:color w:val="4C4C4C"/>
              </w:rPr>
              <w:t>Performance Share</w:t>
            </w:r>
          </w:p>
        </w:tc>
        <w:tc>
          <w:tcPr>
            <w:tcW w:w="6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shd w:val="clear" w:color="auto" w:fill="E5F6F8"/>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shd w:val="clear" w:color="auto" w:fill="E5F6F8"/>
          </w:tcPr>
          <w:p>
            <w:pPr>
              <w:spacing w:after="0"/>
              <w:rPr>
                <w:sz w:val="16"/>
                <w:szCs w:val="16"/>
                <w:color w:val="auto"/>
              </w:rPr>
            </w:pPr>
          </w:p>
        </w:tc>
        <w:tc>
          <w:tcPr>
            <w:tcW w:w="740" w:type="dxa"/>
            <w:vAlign w:val="bottom"/>
            <w:shd w:val="clear" w:color="auto" w:fill="E5F6F8"/>
          </w:tcPr>
          <w:p>
            <w:pPr>
              <w:spacing w:after="0"/>
              <w:rPr>
                <w:sz w:val="16"/>
                <w:szCs w:val="16"/>
                <w:color w:val="auto"/>
              </w:rPr>
            </w:pPr>
          </w:p>
        </w:tc>
        <w:tc>
          <w:tcPr>
            <w:tcW w:w="180" w:type="dxa"/>
            <w:vAlign w:val="bottom"/>
            <w:shd w:val="clear" w:color="auto" w:fill="E5F6F8"/>
          </w:tcPr>
          <w:p>
            <w:pPr>
              <w:spacing w:after="0"/>
              <w:rPr>
                <w:sz w:val="16"/>
                <w:szCs w:val="16"/>
                <w:color w:val="auto"/>
              </w:rPr>
            </w:pPr>
          </w:p>
        </w:tc>
        <w:tc>
          <w:tcPr>
            <w:tcW w:w="720" w:type="dxa"/>
            <w:vAlign w:val="bottom"/>
            <w:shd w:val="clear" w:color="auto" w:fill="E5F6F8"/>
          </w:tcPr>
          <w:p>
            <w:pPr>
              <w:spacing w:after="0"/>
              <w:rPr>
                <w:sz w:val="16"/>
                <w:szCs w:val="16"/>
                <w:color w:val="auto"/>
              </w:rPr>
            </w:pPr>
          </w:p>
        </w:tc>
        <w:tc>
          <w:tcPr>
            <w:tcW w:w="900" w:type="dxa"/>
            <w:vAlign w:val="bottom"/>
            <w:shd w:val="clear" w:color="auto" w:fill="E5F6F8"/>
          </w:tcPr>
          <w:p>
            <w:pPr>
              <w:spacing w:after="0"/>
              <w:rPr>
                <w:sz w:val="16"/>
                <w:szCs w:val="16"/>
                <w:color w:val="auto"/>
              </w:rPr>
            </w:pPr>
          </w:p>
        </w:tc>
        <w:tc>
          <w:tcPr>
            <w:tcW w:w="840" w:type="dxa"/>
            <w:vAlign w:val="bottom"/>
            <w:vMerge w:val="restart"/>
            <w:shd w:val="clear" w:color="auto" w:fill="E5F6F8"/>
          </w:tcPr>
          <w:p>
            <w:pPr>
              <w:jc w:val="right"/>
              <w:ind w:right="35"/>
              <w:spacing w:after="0"/>
              <w:rPr>
                <w:sz w:val="20"/>
                <w:szCs w:val="20"/>
                <w:color w:val="auto"/>
              </w:rPr>
            </w:pPr>
            <w:r>
              <w:rPr>
                <w:rFonts w:ascii="Arial" w:cs="Arial" w:eastAsia="Arial" w:hAnsi="Arial"/>
                <w:sz w:val="14"/>
                <w:szCs w:val="14"/>
                <w:color w:val="4C4C4C"/>
              </w:rPr>
              <w:t>9,542</w:t>
            </w:r>
          </w:p>
        </w:tc>
        <w:tc>
          <w:tcPr>
            <w:tcW w:w="620" w:type="dxa"/>
            <w:vAlign w:val="bottom"/>
            <w:vMerge w:val="restart"/>
            <w:shd w:val="clear" w:color="auto" w:fill="E5F6F8"/>
          </w:tcPr>
          <w:p>
            <w:pPr>
              <w:jc w:val="right"/>
              <w:ind w:right="11"/>
              <w:spacing w:after="0"/>
              <w:rPr>
                <w:sz w:val="20"/>
                <w:szCs w:val="20"/>
                <w:color w:val="auto"/>
              </w:rPr>
            </w:pPr>
            <w:r>
              <w:rPr>
                <w:rFonts w:ascii="Arial" w:cs="Arial" w:eastAsia="Arial" w:hAnsi="Arial"/>
                <w:sz w:val="14"/>
                <w:szCs w:val="14"/>
                <w:color w:val="4C4C4C"/>
              </w:rPr>
              <w:t>19,084</w:t>
            </w:r>
          </w:p>
        </w:tc>
        <w:tc>
          <w:tcPr>
            <w:tcW w:w="840" w:type="dxa"/>
            <w:vAlign w:val="bottom"/>
            <w:vMerge w:val="restart"/>
            <w:shd w:val="clear" w:color="auto" w:fill="E5F6F8"/>
          </w:tcPr>
          <w:p>
            <w:pPr>
              <w:jc w:val="right"/>
              <w:ind w:right="31"/>
              <w:spacing w:after="0"/>
              <w:rPr>
                <w:sz w:val="20"/>
                <w:szCs w:val="20"/>
                <w:color w:val="auto"/>
              </w:rPr>
            </w:pPr>
            <w:r>
              <w:rPr>
                <w:rFonts w:ascii="Arial" w:cs="Arial" w:eastAsia="Arial" w:hAnsi="Arial"/>
                <w:sz w:val="14"/>
                <w:szCs w:val="14"/>
                <w:color w:val="4C4C4C"/>
              </w:rPr>
              <w:t>28,626</w:t>
            </w:r>
          </w:p>
        </w:tc>
        <w:tc>
          <w:tcPr>
            <w:tcW w:w="680" w:type="dxa"/>
            <w:vAlign w:val="bottom"/>
            <w:shd w:val="clear" w:color="auto" w:fill="E5F6F8"/>
          </w:tcPr>
          <w:p>
            <w:pPr>
              <w:spacing w:after="0"/>
              <w:rPr>
                <w:sz w:val="16"/>
                <w:szCs w:val="16"/>
                <w:color w:val="auto"/>
              </w:rPr>
            </w:pPr>
          </w:p>
        </w:tc>
        <w:tc>
          <w:tcPr>
            <w:tcW w:w="16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683,970</w:t>
            </w:r>
          </w:p>
        </w:tc>
        <w:tc>
          <w:tcPr>
            <w:tcW w:w="0" w:type="dxa"/>
            <w:vAlign w:val="bottom"/>
          </w:tcPr>
          <w:p>
            <w:pPr>
              <w:spacing w:after="0"/>
              <w:rPr>
                <w:sz w:val="1"/>
                <w:szCs w:val="1"/>
                <w:color w:val="auto"/>
              </w:rPr>
            </w:pPr>
          </w:p>
        </w:tc>
      </w:tr>
      <w:tr>
        <w:trPr>
          <w:trHeight w:val="85"/>
        </w:trPr>
        <w:tc>
          <w:tcPr>
            <w:tcW w:w="1140" w:type="dxa"/>
            <w:vAlign w:val="bottom"/>
            <w:shd w:val="clear" w:color="auto" w:fill="E5F6F8"/>
          </w:tcPr>
          <w:p>
            <w:pPr>
              <w:spacing w:after="0"/>
              <w:rPr>
                <w:sz w:val="7"/>
                <w:szCs w:val="7"/>
                <w:color w:val="auto"/>
              </w:rPr>
            </w:pPr>
          </w:p>
        </w:tc>
        <w:tc>
          <w:tcPr>
            <w:tcW w:w="60" w:type="dxa"/>
            <w:vAlign w:val="bottom"/>
            <w:shd w:val="clear" w:color="auto" w:fill="E5F6F8"/>
          </w:tcPr>
          <w:p>
            <w:pPr>
              <w:spacing w:after="0"/>
              <w:rPr>
                <w:sz w:val="7"/>
                <w:szCs w:val="7"/>
                <w:color w:val="auto"/>
              </w:rPr>
            </w:pPr>
          </w:p>
        </w:tc>
        <w:tc>
          <w:tcPr>
            <w:tcW w:w="2040" w:type="dxa"/>
            <w:vAlign w:val="bottom"/>
            <w:vMerge w:val="restart"/>
            <w:shd w:val="clear" w:color="auto" w:fill="E5F6F8"/>
          </w:tcPr>
          <w:p>
            <w:pPr>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(5)</w:t>
            </w:r>
          </w:p>
        </w:tc>
        <w:tc>
          <w:tcPr>
            <w:tcW w:w="600" w:type="dxa"/>
            <w:vAlign w:val="bottom"/>
            <w:vMerge w:val="continue"/>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4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180" w:type="dxa"/>
            <w:vAlign w:val="bottom"/>
            <w:shd w:val="clear" w:color="auto" w:fill="E5F6F8"/>
          </w:tcPr>
          <w:p>
            <w:pPr>
              <w:spacing w:after="0"/>
              <w:rPr>
                <w:sz w:val="7"/>
                <w:szCs w:val="7"/>
                <w:color w:val="auto"/>
              </w:rPr>
            </w:pPr>
          </w:p>
        </w:tc>
        <w:tc>
          <w:tcPr>
            <w:tcW w:w="720" w:type="dxa"/>
            <w:vAlign w:val="bottom"/>
            <w:shd w:val="clear" w:color="auto" w:fill="E5F6F8"/>
          </w:tcPr>
          <w:p>
            <w:pPr>
              <w:spacing w:after="0"/>
              <w:rPr>
                <w:sz w:val="7"/>
                <w:szCs w:val="7"/>
                <w:color w:val="auto"/>
              </w:rPr>
            </w:pPr>
          </w:p>
        </w:tc>
        <w:tc>
          <w:tcPr>
            <w:tcW w:w="900" w:type="dxa"/>
            <w:vAlign w:val="bottom"/>
            <w:shd w:val="clear" w:color="auto" w:fill="E5F6F8"/>
          </w:tcPr>
          <w:p>
            <w:pPr>
              <w:spacing w:after="0"/>
              <w:rPr>
                <w:sz w:val="7"/>
                <w:szCs w:val="7"/>
                <w:color w:val="auto"/>
              </w:rPr>
            </w:pPr>
          </w:p>
        </w:tc>
        <w:tc>
          <w:tcPr>
            <w:tcW w:w="840" w:type="dxa"/>
            <w:vAlign w:val="bottom"/>
            <w:vMerge w:val="continue"/>
            <w:shd w:val="clear" w:color="auto" w:fill="E5F6F8"/>
          </w:tcPr>
          <w:p>
            <w:pPr>
              <w:spacing w:after="0"/>
              <w:rPr>
                <w:sz w:val="7"/>
                <w:szCs w:val="7"/>
                <w:color w:val="auto"/>
              </w:rPr>
            </w:pPr>
          </w:p>
        </w:tc>
        <w:tc>
          <w:tcPr>
            <w:tcW w:w="620" w:type="dxa"/>
            <w:vAlign w:val="bottom"/>
            <w:vMerge w:val="continue"/>
            <w:shd w:val="clear" w:color="auto" w:fill="E5F6F8"/>
          </w:tcPr>
          <w:p>
            <w:pPr>
              <w:spacing w:after="0"/>
              <w:rPr>
                <w:sz w:val="7"/>
                <w:szCs w:val="7"/>
                <w:color w:val="auto"/>
              </w:rPr>
            </w:pPr>
          </w:p>
        </w:tc>
        <w:tc>
          <w:tcPr>
            <w:tcW w:w="840" w:type="dxa"/>
            <w:vAlign w:val="bottom"/>
            <w:vMerge w:val="continue"/>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16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4C4C4C"/>
            </w:tcBorders>
            <w:shd w:val="clear" w:color="auto" w:fill="E5F6F8"/>
          </w:tcPr>
          <w:p>
            <w:pPr>
              <w:spacing w:after="0"/>
              <w:rPr>
                <w:sz w:val="8"/>
                <w:szCs w:val="8"/>
                <w:color w:val="auto"/>
              </w:rPr>
            </w:pPr>
          </w:p>
        </w:tc>
        <w:tc>
          <w:tcPr>
            <w:tcW w:w="60" w:type="dxa"/>
            <w:vAlign w:val="bottom"/>
            <w:tcBorders>
              <w:bottom w:val="single" w:sz="8" w:color="4C4C4C"/>
            </w:tcBorders>
            <w:shd w:val="clear" w:color="auto" w:fill="E5F6F8"/>
          </w:tcPr>
          <w:p>
            <w:pPr>
              <w:spacing w:after="0"/>
              <w:rPr>
                <w:sz w:val="8"/>
                <w:szCs w:val="8"/>
                <w:color w:val="auto"/>
              </w:rPr>
            </w:pPr>
          </w:p>
        </w:tc>
        <w:tc>
          <w:tcPr>
            <w:tcW w:w="2040" w:type="dxa"/>
            <w:vAlign w:val="bottom"/>
            <w:tcBorders>
              <w:bottom w:val="single" w:sz="8" w:color="4C4C4C"/>
            </w:tcBorders>
            <w:vMerge w:val="continue"/>
            <w:shd w:val="clear" w:color="auto" w:fill="E5F6F8"/>
          </w:tcPr>
          <w:p>
            <w:pPr>
              <w:spacing w:after="0"/>
              <w:rPr>
                <w:sz w:val="8"/>
                <w:szCs w:val="8"/>
                <w:color w:val="auto"/>
              </w:rPr>
            </w:pPr>
          </w:p>
        </w:tc>
        <w:tc>
          <w:tcPr>
            <w:tcW w:w="600" w:type="dxa"/>
            <w:vAlign w:val="bottom"/>
            <w:tcBorders>
              <w:bottom w:val="single" w:sz="8" w:color="4C4C4C"/>
            </w:tcBorders>
            <w:shd w:val="clear" w:color="auto" w:fill="E5F6F8"/>
          </w:tcPr>
          <w:p>
            <w:pPr>
              <w:spacing w:after="0"/>
              <w:rPr>
                <w:sz w:val="8"/>
                <w:szCs w:val="8"/>
                <w:color w:val="auto"/>
              </w:rPr>
            </w:pPr>
          </w:p>
        </w:tc>
        <w:tc>
          <w:tcPr>
            <w:tcW w:w="700" w:type="dxa"/>
            <w:vAlign w:val="bottom"/>
            <w:tcBorders>
              <w:bottom w:val="single" w:sz="8" w:color="4C4C4C"/>
            </w:tcBorders>
            <w:shd w:val="clear" w:color="auto" w:fill="E5F6F8"/>
          </w:tcPr>
          <w:p>
            <w:pPr>
              <w:spacing w:after="0"/>
              <w:rPr>
                <w:sz w:val="8"/>
                <w:szCs w:val="8"/>
                <w:color w:val="auto"/>
              </w:rPr>
            </w:pPr>
          </w:p>
        </w:tc>
        <w:tc>
          <w:tcPr>
            <w:tcW w:w="40" w:type="dxa"/>
            <w:vAlign w:val="bottom"/>
            <w:tcBorders>
              <w:bottom w:val="single" w:sz="8" w:color="4C4C4C"/>
            </w:tcBorders>
            <w:shd w:val="clear" w:color="auto" w:fill="E5F6F8"/>
          </w:tcPr>
          <w:p>
            <w:pPr>
              <w:spacing w:after="0"/>
              <w:rPr>
                <w:sz w:val="8"/>
                <w:szCs w:val="8"/>
                <w:color w:val="auto"/>
              </w:rPr>
            </w:pPr>
          </w:p>
        </w:tc>
        <w:tc>
          <w:tcPr>
            <w:tcW w:w="740" w:type="dxa"/>
            <w:vAlign w:val="bottom"/>
            <w:tcBorders>
              <w:bottom w:val="single" w:sz="8" w:color="4C4C4C"/>
            </w:tcBorders>
            <w:shd w:val="clear" w:color="auto" w:fill="E5F6F8"/>
          </w:tcPr>
          <w:p>
            <w:pPr>
              <w:spacing w:after="0"/>
              <w:rPr>
                <w:sz w:val="8"/>
                <w:szCs w:val="8"/>
                <w:color w:val="auto"/>
              </w:rPr>
            </w:pPr>
          </w:p>
        </w:tc>
        <w:tc>
          <w:tcPr>
            <w:tcW w:w="180" w:type="dxa"/>
            <w:vAlign w:val="bottom"/>
            <w:tcBorders>
              <w:bottom w:val="single" w:sz="8" w:color="4C4C4C"/>
            </w:tcBorders>
            <w:shd w:val="clear" w:color="auto" w:fill="E5F6F8"/>
          </w:tcPr>
          <w:p>
            <w:pPr>
              <w:spacing w:after="0"/>
              <w:rPr>
                <w:sz w:val="8"/>
                <w:szCs w:val="8"/>
                <w:color w:val="auto"/>
              </w:rPr>
            </w:pPr>
          </w:p>
        </w:tc>
        <w:tc>
          <w:tcPr>
            <w:tcW w:w="720" w:type="dxa"/>
            <w:vAlign w:val="bottom"/>
            <w:tcBorders>
              <w:bottom w:val="single" w:sz="8" w:color="4C4C4C"/>
            </w:tcBorders>
            <w:shd w:val="clear" w:color="auto" w:fill="E5F6F8"/>
          </w:tcPr>
          <w:p>
            <w:pPr>
              <w:spacing w:after="0"/>
              <w:rPr>
                <w:sz w:val="8"/>
                <w:szCs w:val="8"/>
                <w:color w:val="auto"/>
              </w:rPr>
            </w:pPr>
          </w:p>
        </w:tc>
        <w:tc>
          <w:tcPr>
            <w:tcW w:w="90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20" w:type="dxa"/>
            <w:vAlign w:val="bottom"/>
            <w:tcBorders>
              <w:bottom w:val="single" w:sz="8" w:color="4C4C4C"/>
            </w:tcBorders>
            <w:shd w:val="clear" w:color="auto" w:fill="E5F6F8"/>
          </w:tcPr>
          <w:p>
            <w:pPr>
              <w:spacing w:after="0"/>
              <w:rPr>
                <w:sz w:val="8"/>
                <w:szCs w:val="8"/>
                <w:color w:val="auto"/>
              </w:rPr>
            </w:pPr>
          </w:p>
        </w:tc>
        <w:tc>
          <w:tcPr>
            <w:tcW w:w="840" w:type="dxa"/>
            <w:vAlign w:val="bottom"/>
            <w:tcBorders>
              <w:bottom w:val="single" w:sz="8" w:color="4C4C4C"/>
            </w:tcBorders>
            <w:shd w:val="clear" w:color="auto" w:fill="E5F6F8"/>
          </w:tcPr>
          <w:p>
            <w:pPr>
              <w:spacing w:after="0"/>
              <w:rPr>
                <w:sz w:val="8"/>
                <w:szCs w:val="8"/>
                <w:color w:val="auto"/>
              </w:rPr>
            </w:pPr>
          </w:p>
        </w:tc>
        <w:tc>
          <w:tcPr>
            <w:tcW w:w="680" w:type="dxa"/>
            <w:vAlign w:val="bottom"/>
            <w:tcBorders>
              <w:bottom w:val="single" w:sz="8" w:color="4C4C4C"/>
            </w:tcBorders>
            <w:shd w:val="clear" w:color="auto" w:fill="E5F6F8"/>
          </w:tcPr>
          <w:p>
            <w:pPr>
              <w:spacing w:after="0"/>
              <w:rPr>
                <w:sz w:val="8"/>
                <w:szCs w:val="8"/>
                <w:color w:val="auto"/>
              </w:rPr>
            </w:pPr>
          </w:p>
        </w:tc>
        <w:tc>
          <w:tcPr>
            <w:tcW w:w="160" w:type="dxa"/>
            <w:vAlign w:val="bottom"/>
            <w:tcBorders>
              <w:bottom w:val="single" w:sz="8" w:color="4C4C4C"/>
            </w:tcBorders>
            <w:shd w:val="clear" w:color="auto" w:fill="E5F6F8"/>
          </w:tcPr>
          <w:p>
            <w:pPr>
              <w:spacing w:after="0"/>
              <w:rPr>
                <w:sz w:val="8"/>
                <w:szCs w:val="8"/>
                <w:color w:val="auto"/>
              </w:rPr>
            </w:pPr>
          </w:p>
        </w:tc>
        <w:tc>
          <w:tcPr>
            <w:tcW w:w="760" w:type="dxa"/>
            <w:vAlign w:val="bottom"/>
            <w:tcBorders>
              <w:bottom w:val="single" w:sz="8" w:color="4C4C4C"/>
            </w:tcBorders>
            <w:shd w:val="clear" w:color="auto" w:fill="E5F6F8"/>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60"/>
              <w:spacing w:after="0"/>
              <w:rPr>
                <w:sz w:val="20"/>
                <w:szCs w:val="20"/>
                <w:color w:val="auto"/>
              </w:rPr>
            </w:pPr>
            <w:r>
              <w:rPr>
                <w:rFonts w:ascii="Arial" w:cs="Arial" w:eastAsia="Arial" w:hAnsi="Arial"/>
                <w:sz w:val="14"/>
                <w:szCs w:val="14"/>
                <w:color w:val="4C4C4C"/>
              </w:rPr>
              <w:t>John</w:t>
            </w: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Short-Term</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4C4C4C"/>
              </w:rPr>
              <w:t>$ 536,250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4C4C4C"/>
                <w:w w:val="99"/>
              </w:rPr>
              <w:t>1,072,500</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4C4C4C"/>
              </w:rPr>
              <w:t>$1,608,750</w:t>
            </w: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40" w:type="dxa"/>
            <w:vAlign w:val="bottom"/>
            <w:vMerge w:val="restart"/>
          </w:tcPr>
          <w:p>
            <w:pPr>
              <w:ind w:left="60"/>
              <w:spacing w:after="0"/>
              <w:rPr>
                <w:sz w:val="20"/>
                <w:szCs w:val="20"/>
                <w:color w:val="auto"/>
              </w:rPr>
            </w:pPr>
            <w:r>
              <w:rPr>
                <w:rFonts w:ascii="Arial" w:cs="Arial" w:eastAsia="Arial" w:hAnsi="Arial"/>
                <w:sz w:val="14"/>
                <w:szCs w:val="14"/>
                <w:color w:val="4C4C4C"/>
              </w:rPr>
              <w:t>Rosenthal</w:t>
            </w:r>
          </w:p>
        </w:tc>
        <w:tc>
          <w:tcPr>
            <w:tcW w:w="2100" w:type="dxa"/>
            <w:vAlign w:val="bottom"/>
            <w:gridSpan w:val="2"/>
            <w:vMerge w:val="restart"/>
          </w:tcPr>
          <w:p>
            <w:pPr>
              <w:ind w:left="60"/>
              <w:spacing w:after="0"/>
              <w:rPr>
                <w:sz w:val="20"/>
                <w:szCs w:val="20"/>
                <w:color w:val="auto"/>
              </w:rPr>
            </w:pPr>
            <w:r>
              <w:rPr>
                <w:rFonts w:ascii="Arial" w:cs="Arial" w:eastAsia="Arial" w:hAnsi="Arial"/>
                <w:sz w:val="14"/>
                <w:szCs w:val="14"/>
                <w:color w:val="4C4C4C"/>
              </w:rPr>
              <w:t>Incentive</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Restricted Stock</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Arial" w:cs="Arial" w:eastAsia="Arial" w:hAnsi="Arial"/>
                <w:sz w:val="14"/>
                <w:szCs w:val="14"/>
                <w:color w:val="4C4C4C"/>
              </w:rPr>
              <w:t>15,345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549,964</w:t>
            </w: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2100" w:type="dxa"/>
            <w:vAlign w:val="bottom"/>
            <w:gridSpan w:val="2"/>
            <w:vMerge w:val="restart"/>
          </w:tcPr>
          <w:p>
            <w:pPr>
              <w:ind w:left="60"/>
              <w:spacing w:after="0" w:line="178"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20"/>
                <w:szCs w:val="20"/>
                <w:color w:val="4C4C4C"/>
                <w:vertAlign w:val="superscript"/>
              </w:rPr>
              <w:t>(4)</w:t>
            </w: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color w:val="4C4C4C"/>
              </w:rPr>
              <w:t>Performance Share</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4C4C4C"/>
              </w:rPr>
              <w:t>3/1/20</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4C4C4C"/>
              </w:rPr>
              <w:t>2/21/20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4"/>
                <w:szCs w:val="14"/>
                <w:color w:val="4C4C4C"/>
              </w:rPr>
              <w:t>11,509</w:t>
            </w: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4C4C4C"/>
              </w:rPr>
              <w:t>23,018</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4C4C4C"/>
              </w:rPr>
              <w:t>34,527</w:t>
            </w:r>
          </w:p>
        </w:tc>
        <w:tc>
          <w:tcPr>
            <w:tcW w:w="6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824,965</w:t>
            </w:r>
          </w:p>
        </w:tc>
        <w:tc>
          <w:tcPr>
            <w:tcW w:w="0" w:type="dxa"/>
            <w:vAlign w:val="bottom"/>
          </w:tcPr>
          <w:p>
            <w:pPr>
              <w:spacing w:after="0"/>
              <w:rPr>
                <w:sz w:val="1"/>
                <w:szCs w:val="1"/>
                <w:color w:val="auto"/>
              </w:rPr>
            </w:pPr>
          </w:p>
        </w:tc>
      </w:tr>
      <w:tr>
        <w:trPr>
          <w:trHeight w:val="72"/>
        </w:trPr>
        <w:tc>
          <w:tcPr>
            <w:tcW w:w="1140" w:type="dxa"/>
            <w:vAlign w:val="bottom"/>
          </w:tcPr>
          <w:p>
            <w:pPr>
              <w:spacing w:after="0"/>
              <w:rPr>
                <w:sz w:val="6"/>
                <w:szCs w:val="6"/>
                <w:color w:val="auto"/>
              </w:rPr>
            </w:pPr>
          </w:p>
        </w:tc>
        <w:tc>
          <w:tcPr>
            <w:tcW w:w="2100" w:type="dxa"/>
            <w:vAlign w:val="bottom"/>
            <w:gridSpan w:val="2"/>
            <w:vMerge w:val="restart"/>
          </w:tcPr>
          <w:p>
            <w:pPr>
              <w:ind w:left="60"/>
              <w:spacing w:after="0" w:line="164" w:lineRule="exact"/>
              <w:rPr>
                <w:sz w:val="20"/>
                <w:szCs w:val="20"/>
                <w:color w:val="auto"/>
              </w:rPr>
            </w:pPr>
            <w:r>
              <w:rPr>
                <w:rFonts w:ascii="Arial" w:cs="Arial" w:eastAsia="Arial" w:hAnsi="Arial"/>
                <w:sz w:val="12"/>
                <w:szCs w:val="12"/>
                <w:color w:val="4C4C4C"/>
              </w:rPr>
              <w:t xml:space="preserve">Units </w:t>
            </w:r>
            <w:r>
              <w:rPr>
                <w:rFonts w:ascii="Arial" w:cs="Arial" w:eastAsia="Arial" w:hAnsi="Arial"/>
                <w:sz w:val="19"/>
                <w:szCs w:val="19"/>
                <w:color w:val="4C4C4C"/>
                <w:vertAlign w:val="superscript"/>
              </w:rPr>
              <w:t>(5)</w:t>
            </w:r>
          </w:p>
        </w:tc>
        <w:tc>
          <w:tcPr>
            <w:tcW w:w="6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4C4C4C"/>
            </w:tcBorders>
          </w:tcPr>
          <w:p>
            <w:pPr>
              <w:spacing w:after="0"/>
              <w:rPr>
                <w:sz w:val="8"/>
                <w:szCs w:val="8"/>
                <w:color w:val="auto"/>
              </w:rPr>
            </w:pPr>
          </w:p>
        </w:tc>
        <w:tc>
          <w:tcPr>
            <w:tcW w:w="2100" w:type="dxa"/>
            <w:vAlign w:val="bottom"/>
            <w:tcBorders>
              <w:bottom w:val="single" w:sz="8" w:color="4C4C4C"/>
            </w:tcBorders>
            <w:gridSpan w:val="2"/>
            <w:vMerge w:val="continue"/>
          </w:tcPr>
          <w:p>
            <w:pPr>
              <w:spacing w:after="0"/>
              <w:rPr>
                <w:sz w:val="8"/>
                <w:szCs w:val="8"/>
                <w:color w:val="auto"/>
              </w:rPr>
            </w:pPr>
          </w:p>
        </w:tc>
        <w:tc>
          <w:tcPr>
            <w:tcW w:w="600" w:type="dxa"/>
            <w:vAlign w:val="bottom"/>
            <w:tcBorders>
              <w:bottom w:val="single" w:sz="8" w:color="4C4C4C"/>
            </w:tcBorders>
          </w:tcPr>
          <w:p>
            <w:pPr>
              <w:spacing w:after="0"/>
              <w:rPr>
                <w:sz w:val="8"/>
                <w:szCs w:val="8"/>
                <w:color w:val="auto"/>
              </w:rPr>
            </w:pPr>
          </w:p>
        </w:tc>
        <w:tc>
          <w:tcPr>
            <w:tcW w:w="700" w:type="dxa"/>
            <w:vAlign w:val="bottom"/>
            <w:tcBorders>
              <w:bottom w:val="single" w:sz="8" w:color="4C4C4C"/>
            </w:tcBorders>
          </w:tcPr>
          <w:p>
            <w:pPr>
              <w:spacing w:after="0"/>
              <w:rPr>
                <w:sz w:val="8"/>
                <w:szCs w:val="8"/>
                <w:color w:val="auto"/>
              </w:rPr>
            </w:pPr>
          </w:p>
        </w:tc>
        <w:tc>
          <w:tcPr>
            <w:tcW w:w="40" w:type="dxa"/>
            <w:vAlign w:val="bottom"/>
            <w:tcBorders>
              <w:bottom w:val="single" w:sz="8" w:color="4C4C4C"/>
            </w:tcBorders>
          </w:tcPr>
          <w:p>
            <w:pPr>
              <w:spacing w:after="0"/>
              <w:rPr>
                <w:sz w:val="8"/>
                <w:szCs w:val="8"/>
                <w:color w:val="auto"/>
              </w:rPr>
            </w:pPr>
          </w:p>
        </w:tc>
        <w:tc>
          <w:tcPr>
            <w:tcW w:w="74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90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20" w:type="dxa"/>
            <w:vAlign w:val="bottom"/>
            <w:tcBorders>
              <w:bottom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680" w:type="dxa"/>
            <w:vAlign w:val="bottom"/>
            <w:tcBorders>
              <w:bottom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760" w:type="dxa"/>
            <w:vAlign w:val="bottom"/>
            <w:tcBorders>
              <w:bottom w:val="single" w:sz="8" w:color="4C4C4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-4585335</wp:posOffset>
            </wp:positionV>
            <wp:extent cx="5709285" cy="677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09285" cy="677545"/>
                    </a:xfrm>
                    <a:prstGeom prst="rect">
                      <a:avLst/>
                    </a:prstGeom>
                    <a:noFill/>
                  </pic:spPr>
                </pic:pic>
              </a:graphicData>
            </a:graphic>
          </wp:anchor>
        </w:drawing>
      </w:r>
    </w:p>
    <w:p>
      <w:pPr>
        <w:spacing w:after="0" w:line="101" w:lineRule="exact"/>
        <w:rPr>
          <w:sz w:val="20"/>
          <w:szCs w:val="20"/>
          <w:color w:val="auto"/>
        </w:rPr>
      </w:pPr>
    </w:p>
    <w:p>
      <w:pPr>
        <w:ind w:left="540" w:right="660" w:hanging="424"/>
        <w:spacing w:after="0" w:line="246" w:lineRule="auto"/>
        <w:tabs>
          <w:tab w:leader="none" w:pos="540" w:val="left"/>
        </w:tabs>
        <w:numPr>
          <w:ilvl w:val="0"/>
          <w:numId w:val="146"/>
        </w:numPr>
        <w:rPr>
          <w:rFonts w:ascii="Arial" w:cs="Arial" w:eastAsia="Arial" w:hAnsi="Arial"/>
          <w:sz w:val="18"/>
          <w:szCs w:val="18"/>
          <w:color w:val="4C4C4C"/>
        </w:rPr>
      </w:pPr>
      <w:r>
        <w:rPr>
          <w:rFonts w:ascii="Arial" w:cs="Arial" w:eastAsia="Arial" w:hAnsi="Arial"/>
          <w:sz w:val="18"/>
          <w:szCs w:val="18"/>
          <w:color w:val="4C4C4C"/>
        </w:rPr>
        <w:t>The 2020 LTI awards of PSUs and RSUs under the Employee Plan were approved by our Compensation and Human Capital Committee on February 21, 2020, and granted effective March 1, 2020.</w:t>
      </w:r>
    </w:p>
    <w:p>
      <w:pPr>
        <w:spacing w:after="0" w:line="61" w:lineRule="exact"/>
        <w:rPr>
          <w:rFonts w:ascii="Arial" w:cs="Arial" w:eastAsia="Arial" w:hAnsi="Arial"/>
          <w:sz w:val="18"/>
          <w:szCs w:val="18"/>
          <w:color w:val="4C4C4C"/>
        </w:rPr>
      </w:pPr>
    </w:p>
    <w:p>
      <w:pPr>
        <w:ind w:left="540" w:hanging="424"/>
        <w:spacing w:after="0"/>
        <w:tabs>
          <w:tab w:leader="none" w:pos="540" w:val="left"/>
        </w:tabs>
        <w:numPr>
          <w:ilvl w:val="0"/>
          <w:numId w:val="146"/>
        </w:numPr>
        <w:rPr>
          <w:rFonts w:ascii="Arial" w:cs="Arial" w:eastAsia="Arial" w:hAnsi="Arial"/>
          <w:sz w:val="18"/>
          <w:szCs w:val="18"/>
          <w:color w:val="4C4C4C"/>
        </w:rPr>
      </w:pPr>
      <w:r>
        <w:rPr>
          <w:rFonts w:ascii="Arial" w:cs="Arial" w:eastAsia="Arial" w:hAnsi="Arial"/>
          <w:sz w:val="18"/>
          <w:szCs w:val="18"/>
          <w:color w:val="4C4C4C"/>
        </w:rPr>
        <w:t>For the STI and PSUs, the Threshold and Maximum reflect 50% and 150% of target, respectively.</w:t>
      </w:r>
    </w:p>
    <w:p>
      <w:pPr>
        <w:spacing w:after="0" w:line="76" w:lineRule="exact"/>
        <w:rPr>
          <w:rFonts w:ascii="Arial" w:cs="Arial" w:eastAsia="Arial" w:hAnsi="Arial"/>
          <w:sz w:val="18"/>
          <w:szCs w:val="18"/>
          <w:color w:val="4C4C4C"/>
        </w:rPr>
      </w:pPr>
    </w:p>
    <w:p>
      <w:pPr>
        <w:ind w:left="540" w:right="80" w:hanging="424"/>
        <w:spacing w:after="0" w:line="238" w:lineRule="auto"/>
        <w:tabs>
          <w:tab w:leader="none" w:pos="540" w:val="left"/>
        </w:tabs>
        <w:numPr>
          <w:ilvl w:val="0"/>
          <w:numId w:val="146"/>
        </w:numPr>
        <w:rPr>
          <w:rFonts w:ascii="Arial" w:cs="Arial" w:eastAsia="Arial" w:hAnsi="Arial"/>
          <w:sz w:val="18"/>
          <w:szCs w:val="18"/>
          <w:color w:val="4C4C4C"/>
        </w:rPr>
      </w:pPr>
      <w:r>
        <w:rPr>
          <w:rFonts w:ascii="Arial" w:cs="Arial" w:eastAsia="Arial" w:hAnsi="Arial"/>
          <w:sz w:val="18"/>
          <w:szCs w:val="18"/>
          <w:color w:val="4C4C4C"/>
        </w:rPr>
        <w:t>Amounts reported in this column reflect the aggregate grant date fair value of all equity-based awards granted to the NEOs in 2020 calculated in accordance with ASC Topic 718, modified to exclude the effect of estimated forfeitures. For a description of the methodology and assumptions made in determining the aggregate grant date fair value of equity-based awards, see Note 10 of the Notes to the Consolidated Financial Statements in our 2020 Annual Report on Form 10-K. The aggregate grant date fair value of the PSUs reflects the probable outcome of the performance conditions on the grant date.</w:t>
      </w:r>
    </w:p>
    <w:p>
      <w:pPr>
        <w:spacing w:after="0" w:line="114"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00ADBB"/>
        </w:rPr>
        <w:t>2021 Proxy Statement | 67</w:t>
      </w:r>
    </w:p>
    <w:p>
      <w:pPr>
        <w:sectPr>
          <w:pgSz w:w="11900" w:h="16838" w:orient="portrait"/>
          <w:cols w:equalWidth="0" w:num="1">
            <w:col w:w="11140"/>
          </w:cols>
          <w:pgMar w:left="320" w:top="459" w:right="43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Grants of Plan-Based Awards in 2020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40" w:lineRule="exact"/>
        <w:rPr>
          <w:sz w:val="20"/>
          <w:szCs w:val="20"/>
          <w:color w:val="auto"/>
        </w:rPr>
      </w:pPr>
    </w:p>
    <w:p>
      <w:pPr>
        <w:ind w:left="700" w:right="300" w:hanging="419"/>
        <w:spacing w:after="0" w:line="238" w:lineRule="auto"/>
        <w:tabs>
          <w:tab w:leader="none" w:pos="700" w:val="left"/>
        </w:tabs>
        <w:numPr>
          <w:ilvl w:val="0"/>
          <w:numId w:val="147"/>
        </w:numPr>
        <w:rPr>
          <w:rFonts w:ascii="Arial" w:cs="Arial" w:eastAsia="Arial" w:hAnsi="Arial"/>
          <w:sz w:val="18"/>
          <w:szCs w:val="18"/>
          <w:color w:val="4C4C4C"/>
        </w:rPr>
      </w:pPr>
      <w:r>
        <w:rPr>
          <w:rFonts w:ascii="Arial" w:cs="Arial" w:eastAsia="Arial" w:hAnsi="Arial"/>
          <w:sz w:val="18"/>
          <w:szCs w:val="18"/>
          <w:color w:val="4C4C4C"/>
        </w:rPr>
        <w:t>The Compensation and Human Capital Committee awarded RSUs to our NEOs as part of their 2020 LTI Awards under the Employee Plan. RSUs are scheduled to ratably vest at a rate of one-third of the award on the first three anniversaries of the Grant Date listed. The value at vesting will depend on Brighthouse’s stock price at the time of vesting. For additional information about the RSUs, see “</w:t>
      </w:r>
      <w:r>
        <w:rPr>
          <w:rFonts w:ascii="Arial" w:cs="Arial" w:eastAsia="Arial" w:hAnsi="Arial"/>
          <w:sz w:val="18"/>
          <w:szCs w:val="18"/>
          <w:color w:val="00ADBB"/>
        </w:rPr>
        <w:t>Compensation Discussion &amp; Analysis – Section 2 – Our 2020 Executive Compensation Program – 2020</w:t>
      </w:r>
      <w:r>
        <w:rPr>
          <w:rFonts w:ascii="Arial" w:cs="Arial" w:eastAsia="Arial" w:hAnsi="Arial"/>
          <w:sz w:val="18"/>
          <w:szCs w:val="18"/>
          <w:color w:val="4C4C4C"/>
        </w:rPr>
        <w:t xml:space="preserve"> </w:t>
      </w:r>
      <w:r>
        <w:rPr>
          <w:rFonts w:ascii="Arial" w:cs="Arial" w:eastAsia="Arial" w:hAnsi="Arial"/>
          <w:sz w:val="18"/>
          <w:szCs w:val="18"/>
          <w:color w:val="00ADBB"/>
        </w:rPr>
        <w:t>Long-Term Incentive Awards</w:t>
      </w:r>
      <w:r>
        <w:rPr>
          <w:rFonts w:ascii="Arial" w:cs="Arial" w:eastAsia="Arial" w:hAnsi="Arial"/>
          <w:sz w:val="18"/>
          <w:szCs w:val="18"/>
          <w:color w:val="4C4C4C"/>
        </w:rPr>
        <w:t>.”</w:t>
      </w:r>
    </w:p>
    <w:p>
      <w:pPr>
        <w:spacing w:after="0" w:line="67" w:lineRule="exact"/>
        <w:rPr>
          <w:rFonts w:ascii="Arial" w:cs="Arial" w:eastAsia="Arial" w:hAnsi="Arial"/>
          <w:sz w:val="18"/>
          <w:szCs w:val="18"/>
          <w:color w:val="4C4C4C"/>
        </w:rPr>
      </w:pPr>
    </w:p>
    <w:p>
      <w:pPr>
        <w:ind w:left="700" w:right="220" w:hanging="419"/>
        <w:spacing w:after="0" w:line="236" w:lineRule="auto"/>
        <w:tabs>
          <w:tab w:leader="none" w:pos="700" w:val="left"/>
        </w:tabs>
        <w:numPr>
          <w:ilvl w:val="0"/>
          <w:numId w:val="147"/>
        </w:numPr>
        <w:rPr>
          <w:rFonts w:ascii="Arial" w:cs="Arial" w:eastAsia="Arial" w:hAnsi="Arial"/>
          <w:sz w:val="18"/>
          <w:szCs w:val="18"/>
          <w:color w:val="4C4C4C"/>
        </w:rPr>
      </w:pPr>
      <w:r>
        <w:rPr>
          <w:rFonts w:ascii="Arial" w:cs="Arial" w:eastAsia="Arial" w:hAnsi="Arial"/>
          <w:sz w:val="18"/>
          <w:szCs w:val="18"/>
          <w:color w:val="4C4C4C"/>
        </w:rPr>
        <w:t>The Compensation and Human Capital Committee awarded PSUs to our NEOs as part of their 2020 LTI Awards under the Employee Plan. PSUs are scheduled to cliff vest on March 1, 2023. Whether any PSUs actually vest and the value at vesting will depend both on Brighthouse’s stock price at the time of vesting and on Brighthouse’s actual achievement of metrics over the 2020- 2022 performance period, as approved by the Compensation and Human Capital Committee (Statutory Expense Ratio (60%) and Net Cash Flow to the Holding Company (40%)). Each PSU Metric has a threshold performance level (payout of 50% of target value), target performance level (100% of target value), and maximum performance level (150% of target value). For additional information about the PSUs, see “</w:t>
      </w:r>
      <w:r>
        <w:rPr>
          <w:rFonts w:ascii="Arial" w:cs="Arial" w:eastAsia="Arial" w:hAnsi="Arial"/>
          <w:sz w:val="18"/>
          <w:szCs w:val="18"/>
          <w:color w:val="00ADBB"/>
        </w:rPr>
        <w:t>Compensation Discussion &amp; Analysis – Section 2 – Our 2020 Executive</w:t>
      </w:r>
      <w:r>
        <w:rPr>
          <w:rFonts w:ascii="Arial" w:cs="Arial" w:eastAsia="Arial" w:hAnsi="Arial"/>
          <w:sz w:val="18"/>
          <w:szCs w:val="18"/>
          <w:color w:val="4C4C4C"/>
        </w:rPr>
        <w:t xml:space="preserve"> </w:t>
      </w:r>
      <w:r>
        <w:rPr>
          <w:rFonts w:ascii="Arial" w:cs="Arial" w:eastAsia="Arial" w:hAnsi="Arial"/>
          <w:sz w:val="18"/>
          <w:szCs w:val="18"/>
          <w:color w:val="00ADBB"/>
        </w:rPr>
        <w:t>Compensation Program – 2020 Long-Term Incentive Awards</w:t>
      </w:r>
      <w:r>
        <w:rPr>
          <w:rFonts w:ascii="Arial" w:cs="Arial" w:eastAsia="Arial" w:hAnsi="Arial"/>
          <w:sz w:val="18"/>
          <w:szCs w:val="18"/>
          <w:color w:val="4C4C4C"/>
        </w:rPr>
        <w:t>.”</w:t>
      </w: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68 | 2021 Proxy Statement</w:t>
      </w:r>
    </w:p>
    <w:p>
      <w:pPr>
        <w:sectPr>
          <w:pgSz w:w="11900" w:h="16838" w:orient="portrait"/>
          <w:cols w:equalWidth="0" w:num="1">
            <w:col w:w="11140"/>
          </w:cols>
          <w:pgMar w:left="320" w:top="459" w:right="43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Outstanding Equity Awards at 2020 Fiscal Year-End</w:t>
      </w:r>
    </w:p>
    <w:p>
      <w:pPr>
        <w:spacing w:after="0" w:line="200" w:lineRule="exact"/>
        <w:rPr>
          <w:sz w:val="20"/>
          <w:szCs w:val="20"/>
          <w:color w:val="auto"/>
        </w:rPr>
      </w:pPr>
    </w:p>
    <w:p>
      <w:pPr>
        <w:sectPr>
          <w:pgSz w:w="11900" w:h="16838" w:orient="portrait"/>
          <w:cols w:equalWidth="0" w:num="2">
            <w:col w:w="7320" w:space="720"/>
            <w:col w:w="3100"/>
          </w:cols>
          <w:pgMar w:left="320" w:top="459" w:right="439" w:bottom="1440" w:gutter="0" w:footer="0" w:header="0"/>
          <w:type w:val="continuous"/>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Outstanding Equity Awards at 2020 Fiscal Year-End</w:t>
      </w:r>
    </w:p>
    <w:p>
      <w:pPr>
        <w:spacing w:after="0" w:line="12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4C4C4C"/>
        </w:rPr>
        <w:t>The following table provides information concerning unexercised options and stock-based awards that have not vested for each NEO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142875</wp:posOffset>
            </wp:positionV>
            <wp:extent cx="4997450" cy="10890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97450" cy="1089025"/>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3160" w:type="dxa"/>
            <w:vAlign w:val="bottom"/>
            <w:shd w:val="clear" w:color="auto" w:fill="00ADBB"/>
          </w:tcPr>
          <w:p>
            <w:pPr>
              <w:spacing w:after="0"/>
              <w:rPr>
                <w:sz w:val="18"/>
                <w:szCs w:val="18"/>
                <w:color w:val="auto"/>
              </w:rPr>
            </w:pPr>
          </w:p>
        </w:tc>
        <w:tc>
          <w:tcPr>
            <w:tcW w:w="820" w:type="dxa"/>
            <w:vAlign w:val="bottom"/>
            <w:shd w:val="clear" w:color="auto" w:fill="00ADBB"/>
          </w:tcPr>
          <w:p>
            <w:pPr>
              <w:spacing w:after="0"/>
              <w:rPr>
                <w:sz w:val="18"/>
                <w:szCs w:val="18"/>
                <w:color w:val="auto"/>
              </w:rPr>
            </w:pPr>
          </w:p>
        </w:tc>
        <w:tc>
          <w:tcPr>
            <w:tcW w:w="860" w:type="dxa"/>
            <w:vAlign w:val="bottom"/>
            <w:shd w:val="clear" w:color="auto" w:fill="00ADBB"/>
          </w:tcPr>
          <w:p>
            <w:pPr>
              <w:spacing w:after="0"/>
              <w:rPr>
                <w:sz w:val="18"/>
                <w:szCs w:val="18"/>
                <w:color w:val="auto"/>
              </w:rPr>
            </w:pPr>
          </w:p>
        </w:tc>
        <w:tc>
          <w:tcPr>
            <w:tcW w:w="1780" w:type="dxa"/>
            <w:vAlign w:val="bottom"/>
            <w:gridSpan w:val="2"/>
            <w:shd w:val="clear" w:color="auto" w:fill="00ADBB"/>
          </w:tcPr>
          <w:p>
            <w:pPr>
              <w:ind w:left="520"/>
              <w:spacing w:after="0"/>
              <w:rPr>
                <w:sz w:val="20"/>
                <w:szCs w:val="20"/>
                <w:color w:val="auto"/>
              </w:rPr>
            </w:pPr>
            <w:r>
              <w:rPr>
                <w:rFonts w:ascii="Arial" w:cs="Arial" w:eastAsia="Arial" w:hAnsi="Arial"/>
                <w:sz w:val="11"/>
                <w:szCs w:val="11"/>
                <w:b w:val="1"/>
                <w:bCs w:val="1"/>
                <w:color w:val="FFFFFF"/>
              </w:rPr>
              <w:t>Option Awards</w:t>
            </w:r>
          </w:p>
        </w:tc>
        <w:tc>
          <w:tcPr>
            <w:tcW w:w="880" w:type="dxa"/>
            <w:vAlign w:val="bottom"/>
            <w:shd w:val="clear" w:color="auto" w:fill="00ADBB"/>
          </w:tcPr>
          <w:p>
            <w:pPr>
              <w:spacing w:after="0"/>
              <w:rPr>
                <w:sz w:val="18"/>
                <w:szCs w:val="18"/>
                <w:color w:val="auto"/>
              </w:rPr>
            </w:pPr>
          </w:p>
        </w:tc>
        <w:tc>
          <w:tcPr>
            <w:tcW w:w="700" w:type="dxa"/>
            <w:vAlign w:val="bottom"/>
            <w:shd w:val="clear" w:color="auto" w:fill="00ADBB"/>
          </w:tcPr>
          <w:p>
            <w:pPr>
              <w:spacing w:after="0"/>
              <w:rPr>
                <w:sz w:val="18"/>
                <w:szCs w:val="18"/>
                <w:color w:val="auto"/>
              </w:rPr>
            </w:pPr>
          </w:p>
        </w:tc>
        <w:tc>
          <w:tcPr>
            <w:tcW w:w="200" w:type="dxa"/>
            <w:vAlign w:val="bottom"/>
            <w:shd w:val="clear" w:color="auto" w:fill="00ADBB"/>
          </w:tcPr>
          <w:p>
            <w:pPr>
              <w:spacing w:after="0"/>
              <w:rPr>
                <w:sz w:val="18"/>
                <w:szCs w:val="18"/>
                <w:color w:val="auto"/>
              </w:rPr>
            </w:pPr>
          </w:p>
        </w:tc>
        <w:tc>
          <w:tcPr>
            <w:tcW w:w="1660" w:type="dxa"/>
            <w:vAlign w:val="bottom"/>
            <w:gridSpan w:val="2"/>
            <w:shd w:val="clear" w:color="auto" w:fill="00ADBB"/>
          </w:tcPr>
          <w:p>
            <w:pPr>
              <w:jc w:val="right"/>
              <w:ind w:right="379"/>
              <w:spacing w:after="0"/>
              <w:rPr>
                <w:sz w:val="20"/>
                <w:szCs w:val="20"/>
                <w:color w:val="auto"/>
              </w:rPr>
            </w:pPr>
            <w:r>
              <w:rPr>
                <w:rFonts w:ascii="Arial" w:cs="Arial" w:eastAsia="Arial" w:hAnsi="Arial"/>
                <w:sz w:val="11"/>
                <w:szCs w:val="11"/>
                <w:b w:val="1"/>
                <w:bCs w:val="1"/>
                <w:color w:val="FFFFFF"/>
              </w:rPr>
              <w:t>Stock Awards</w:t>
            </w:r>
          </w:p>
        </w:tc>
        <w:tc>
          <w:tcPr>
            <w:tcW w:w="200" w:type="dxa"/>
            <w:vAlign w:val="bottom"/>
            <w:shd w:val="clear" w:color="auto" w:fill="00ADBB"/>
          </w:tcPr>
          <w:p>
            <w:pPr>
              <w:spacing w:after="0"/>
              <w:rPr>
                <w:sz w:val="18"/>
                <w:szCs w:val="18"/>
                <w:color w:val="auto"/>
              </w:rPr>
            </w:pPr>
          </w:p>
        </w:tc>
        <w:tc>
          <w:tcPr>
            <w:tcW w:w="760" w:type="dxa"/>
            <w:vAlign w:val="bottom"/>
            <w:shd w:val="clear" w:color="auto" w:fill="00ADB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00ADBB"/>
          </w:tcPr>
          <w:p>
            <w:pPr>
              <w:spacing w:after="0"/>
              <w:rPr>
                <w:sz w:val="17"/>
                <w:szCs w:val="17"/>
                <w:color w:val="auto"/>
              </w:rPr>
            </w:pPr>
          </w:p>
        </w:tc>
        <w:tc>
          <w:tcPr>
            <w:tcW w:w="820" w:type="dxa"/>
            <w:vAlign w:val="bottom"/>
            <w:shd w:val="clear" w:color="auto" w:fill="00ADBB"/>
          </w:tcPr>
          <w:p>
            <w:pPr>
              <w:spacing w:after="0"/>
              <w:rPr>
                <w:sz w:val="17"/>
                <w:szCs w:val="17"/>
                <w:color w:val="auto"/>
              </w:rPr>
            </w:pPr>
          </w:p>
        </w:tc>
        <w:tc>
          <w:tcPr>
            <w:tcW w:w="860" w:type="dxa"/>
            <w:vAlign w:val="bottom"/>
            <w:shd w:val="clear" w:color="auto" w:fill="00ADBB"/>
          </w:tcPr>
          <w:p>
            <w:pPr>
              <w:spacing w:after="0"/>
              <w:rPr>
                <w:sz w:val="17"/>
                <w:szCs w:val="17"/>
                <w:color w:val="auto"/>
              </w:rPr>
            </w:pPr>
          </w:p>
        </w:tc>
        <w:tc>
          <w:tcPr>
            <w:tcW w:w="1100" w:type="dxa"/>
            <w:vAlign w:val="bottom"/>
            <w:shd w:val="clear" w:color="auto" w:fill="00ADBB"/>
          </w:tcPr>
          <w:p>
            <w:pPr>
              <w:spacing w:after="0"/>
              <w:rPr>
                <w:sz w:val="17"/>
                <w:szCs w:val="17"/>
                <w:color w:val="auto"/>
              </w:rPr>
            </w:pPr>
          </w:p>
        </w:tc>
        <w:tc>
          <w:tcPr>
            <w:tcW w:w="680" w:type="dxa"/>
            <w:vAlign w:val="bottom"/>
            <w:shd w:val="clear" w:color="auto" w:fill="00ADBB"/>
          </w:tcPr>
          <w:p>
            <w:pPr>
              <w:spacing w:after="0"/>
              <w:rPr>
                <w:sz w:val="17"/>
                <w:szCs w:val="17"/>
                <w:color w:val="auto"/>
              </w:rPr>
            </w:pPr>
          </w:p>
        </w:tc>
        <w:tc>
          <w:tcPr>
            <w:tcW w:w="880" w:type="dxa"/>
            <w:vAlign w:val="bottom"/>
            <w:shd w:val="clear" w:color="auto" w:fill="00ADBB"/>
          </w:tcPr>
          <w:p>
            <w:pPr>
              <w:spacing w:after="0"/>
              <w:rPr>
                <w:sz w:val="17"/>
                <w:szCs w:val="17"/>
                <w:color w:val="auto"/>
              </w:rPr>
            </w:pPr>
          </w:p>
        </w:tc>
        <w:tc>
          <w:tcPr>
            <w:tcW w:w="700" w:type="dxa"/>
            <w:vAlign w:val="bottom"/>
            <w:shd w:val="clear" w:color="auto" w:fill="00ADBB"/>
          </w:tcPr>
          <w:p>
            <w:pPr>
              <w:spacing w:after="0"/>
              <w:rPr>
                <w:sz w:val="17"/>
                <w:szCs w:val="17"/>
                <w:color w:val="auto"/>
              </w:rPr>
            </w:pPr>
          </w:p>
        </w:tc>
        <w:tc>
          <w:tcPr>
            <w:tcW w:w="200" w:type="dxa"/>
            <w:vAlign w:val="bottom"/>
            <w:shd w:val="clear" w:color="auto" w:fill="00ADBB"/>
          </w:tcPr>
          <w:p>
            <w:pPr>
              <w:spacing w:after="0"/>
              <w:rPr>
                <w:sz w:val="17"/>
                <w:szCs w:val="17"/>
                <w:color w:val="auto"/>
              </w:rPr>
            </w:pPr>
          </w:p>
        </w:tc>
        <w:tc>
          <w:tcPr>
            <w:tcW w:w="740" w:type="dxa"/>
            <w:vAlign w:val="bottom"/>
            <w:shd w:val="clear" w:color="auto" w:fill="00ADBB"/>
          </w:tcPr>
          <w:p>
            <w:pPr>
              <w:spacing w:after="0"/>
              <w:rPr>
                <w:sz w:val="17"/>
                <w:szCs w:val="17"/>
                <w:color w:val="auto"/>
              </w:rPr>
            </w:pPr>
          </w:p>
        </w:tc>
        <w:tc>
          <w:tcPr>
            <w:tcW w:w="92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rPr>
              <w:t>Equity</w:t>
            </w:r>
          </w:p>
        </w:tc>
        <w:tc>
          <w:tcPr>
            <w:tcW w:w="200" w:type="dxa"/>
            <w:vAlign w:val="bottom"/>
            <w:shd w:val="clear" w:color="auto" w:fill="00ADBB"/>
          </w:tcPr>
          <w:p>
            <w:pPr>
              <w:spacing w:after="0"/>
              <w:rPr>
                <w:sz w:val="17"/>
                <w:szCs w:val="17"/>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w w:val="95"/>
              </w:rPr>
              <w:t>Equity</w:t>
            </w:r>
          </w:p>
        </w:tc>
        <w:tc>
          <w:tcPr>
            <w:tcW w:w="0" w:type="dxa"/>
            <w:vAlign w:val="bottom"/>
          </w:tcPr>
          <w:p>
            <w:pPr>
              <w:spacing w:after="0"/>
              <w:rPr>
                <w:sz w:val="1"/>
                <w:szCs w:val="1"/>
                <w:color w:val="auto"/>
              </w:rPr>
            </w:pPr>
          </w:p>
        </w:tc>
      </w:tr>
      <w:tr>
        <w:trPr>
          <w:trHeight w:val="133"/>
        </w:trPr>
        <w:tc>
          <w:tcPr>
            <w:tcW w:w="3160" w:type="dxa"/>
            <w:vAlign w:val="bottom"/>
            <w:shd w:val="clear" w:color="auto" w:fill="00ADBB"/>
          </w:tcPr>
          <w:p>
            <w:pPr>
              <w:spacing w:after="0"/>
              <w:rPr>
                <w:sz w:val="11"/>
                <w:szCs w:val="11"/>
                <w:color w:val="auto"/>
              </w:rPr>
            </w:pPr>
          </w:p>
        </w:tc>
        <w:tc>
          <w:tcPr>
            <w:tcW w:w="820" w:type="dxa"/>
            <w:vAlign w:val="bottom"/>
            <w:shd w:val="clear" w:color="auto" w:fill="00ADBB"/>
          </w:tcPr>
          <w:p>
            <w:pPr>
              <w:spacing w:after="0"/>
              <w:rPr>
                <w:sz w:val="11"/>
                <w:szCs w:val="11"/>
                <w:color w:val="auto"/>
              </w:rPr>
            </w:pPr>
          </w:p>
        </w:tc>
        <w:tc>
          <w:tcPr>
            <w:tcW w:w="860" w:type="dxa"/>
            <w:vAlign w:val="bottom"/>
            <w:shd w:val="clear" w:color="auto" w:fill="00ADBB"/>
          </w:tcPr>
          <w:p>
            <w:pPr>
              <w:spacing w:after="0"/>
              <w:rPr>
                <w:sz w:val="11"/>
                <w:szCs w:val="11"/>
                <w:color w:val="auto"/>
              </w:rPr>
            </w:pPr>
          </w:p>
        </w:tc>
        <w:tc>
          <w:tcPr>
            <w:tcW w:w="1100" w:type="dxa"/>
            <w:vAlign w:val="bottom"/>
            <w:shd w:val="clear" w:color="auto" w:fill="00ADBB"/>
          </w:tcPr>
          <w:p>
            <w:pPr>
              <w:spacing w:after="0"/>
              <w:rPr>
                <w:sz w:val="11"/>
                <w:szCs w:val="11"/>
                <w:color w:val="auto"/>
              </w:rPr>
            </w:pPr>
          </w:p>
        </w:tc>
        <w:tc>
          <w:tcPr>
            <w:tcW w:w="680" w:type="dxa"/>
            <w:vAlign w:val="bottom"/>
            <w:shd w:val="clear" w:color="auto" w:fill="00ADBB"/>
          </w:tcPr>
          <w:p>
            <w:pPr>
              <w:spacing w:after="0"/>
              <w:rPr>
                <w:sz w:val="11"/>
                <w:szCs w:val="11"/>
                <w:color w:val="auto"/>
              </w:rPr>
            </w:pPr>
          </w:p>
        </w:tc>
        <w:tc>
          <w:tcPr>
            <w:tcW w:w="880" w:type="dxa"/>
            <w:vAlign w:val="bottom"/>
            <w:shd w:val="clear" w:color="auto" w:fill="00ADBB"/>
          </w:tcPr>
          <w:p>
            <w:pPr>
              <w:spacing w:after="0"/>
              <w:rPr>
                <w:sz w:val="11"/>
                <w:szCs w:val="11"/>
                <w:color w:val="auto"/>
              </w:rPr>
            </w:pPr>
          </w:p>
        </w:tc>
        <w:tc>
          <w:tcPr>
            <w:tcW w:w="7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rPr>
              <w:t>Number</w:t>
            </w:r>
          </w:p>
        </w:tc>
        <w:tc>
          <w:tcPr>
            <w:tcW w:w="200" w:type="dxa"/>
            <w:vAlign w:val="bottom"/>
            <w:shd w:val="clear" w:color="auto" w:fill="00ADBB"/>
          </w:tcPr>
          <w:p>
            <w:pPr>
              <w:spacing w:after="0"/>
              <w:rPr>
                <w:sz w:val="11"/>
                <w:szCs w:val="11"/>
                <w:color w:val="auto"/>
              </w:rPr>
            </w:pPr>
          </w:p>
        </w:tc>
        <w:tc>
          <w:tcPr>
            <w:tcW w:w="740" w:type="dxa"/>
            <w:vAlign w:val="bottom"/>
            <w:shd w:val="clear" w:color="auto" w:fill="00ADBB"/>
          </w:tcPr>
          <w:p>
            <w:pPr>
              <w:spacing w:after="0"/>
              <w:rPr>
                <w:sz w:val="11"/>
                <w:szCs w:val="11"/>
                <w:color w:val="auto"/>
              </w:rPr>
            </w:pPr>
          </w:p>
        </w:tc>
        <w:tc>
          <w:tcPr>
            <w:tcW w:w="92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200" w:type="dxa"/>
            <w:vAlign w:val="bottom"/>
            <w:shd w:val="clear" w:color="auto" w:fill="00ADBB"/>
          </w:tcPr>
          <w:p>
            <w:pPr>
              <w:spacing w:after="0"/>
              <w:rPr>
                <w:sz w:val="11"/>
                <w:szCs w:val="11"/>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122"/>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spacing w:after="0"/>
              <w:rPr>
                <w:sz w:val="10"/>
                <w:szCs w:val="10"/>
                <w:color w:val="auto"/>
              </w:rPr>
            </w:pPr>
          </w:p>
        </w:tc>
        <w:tc>
          <w:tcPr>
            <w:tcW w:w="110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of</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92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Plan Awards:</w:t>
            </w:r>
          </w:p>
        </w:tc>
        <w:tc>
          <w:tcPr>
            <w:tcW w:w="960" w:type="dxa"/>
            <w:vAlign w:val="bottom"/>
            <w:gridSpan w:val="2"/>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Plan Awards:</w:t>
            </w:r>
          </w:p>
        </w:tc>
        <w:tc>
          <w:tcPr>
            <w:tcW w:w="0" w:type="dxa"/>
            <w:vAlign w:val="bottom"/>
          </w:tcPr>
          <w:p>
            <w:pPr>
              <w:spacing w:after="0"/>
              <w:rPr>
                <w:sz w:val="1"/>
                <w:szCs w:val="1"/>
                <w:color w:val="auto"/>
              </w:rPr>
            </w:pPr>
          </w:p>
        </w:tc>
      </w:tr>
      <w:tr>
        <w:trPr>
          <w:trHeight w:val="125"/>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spacing w:after="0"/>
              <w:rPr>
                <w:sz w:val="10"/>
                <w:szCs w:val="10"/>
                <w:color w:val="auto"/>
              </w:rPr>
            </w:pPr>
          </w:p>
        </w:tc>
        <w:tc>
          <w:tcPr>
            <w:tcW w:w="110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7"/>
              </w:rPr>
              <w:t>Shares</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92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8"/>
              </w:rPr>
              <w:t>Number of</w:t>
            </w:r>
          </w:p>
        </w:tc>
        <w:tc>
          <w:tcPr>
            <w:tcW w:w="20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5" w:lineRule="exact"/>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118"/>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spacing w:after="0"/>
              <w:rPr>
                <w:sz w:val="10"/>
                <w:szCs w:val="10"/>
                <w:color w:val="auto"/>
              </w:rPr>
            </w:pPr>
          </w:p>
        </w:tc>
        <w:tc>
          <w:tcPr>
            <w:tcW w:w="110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0"/>
              </w:rPr>
              <w:t>or</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spacing w:after="0"/>
              <w:rPr>
                <w:sz w:val="10"/>
                <w:szCs w:val="10"/>
                <w:color w:val="auto"/>
              </w:rPr>
            </w:pPr>
          </w:p>
        </w:tc>
        <w:tc>
          <w:tcPr>
            <w:tcW w:w="92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8"/>
              </w:rPr>
              <w:t>Unearned</w:t>
            </w:r>
          </w:p>
        </w:tc>
        <w:tc>
          <w:tcPr>
            <w:tcW w:w="960" w:type="dxa"/>
            <w:vAlign w:val="bottom"/>
            <w:gridSpan w:val="2"/>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8"/>
              </w:rPr>
              <w:t>Payout Value</w:t>
            </w:r>
          </w:p>
        </w:tc>
        <w:tc>
          <w:tcPr>
            <w:tcW w:w="0" w:type="dxa"/>
            <w:vAlign w:val="bottom"/>
          </w:tcPr>
          <w:p>
            <w:pPr>
              <w:spacing w:after="0"/>
              <w:rPr>
                <w:sz w:val="1"/>
                <w:szCs w:val="1"/>
                <w:color w:val="auto"/>
              </w:rPr>
            </w:pPr>
          </w:p>
        </w:tc>
      </w:tr>
      <w:tr>
        <w:trPr>
          <w:trHeight w:val="122"/>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1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Units of</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jc w:val="center"/>
              <w:ind w:right="114"/>
              <w:spacing w:after="0" w:line="122" w:lineRule="exact"/>
              <w:rPr>
                <w:sz w:val="20"/>
                <w:szCs w:val="20"/>
                <w:color w:val="auto"/>
              </w:rPr>
            </w:pPr>
            <w:r>
              <w:rPr>
                <w:rFonts w:ascii="Arial" w:cs="Arial" w:eastAsia="Arial" w:hAnsi="Arial"/>
                <w:sz w:val="11"/>
                <w:szCs w:val="11"/>
                <w:b w:val="1"/>
                <w:bCs w:val="1"/>
                <w:color w:val="FFFFFF"/>
              </w:rPr>
              <w:t>Market</w:t>
            </w:r>
          </w:p>
        </w:tc>
        <w:tc>
          <w:tcPr>
            <w:tcW w:w="92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Shares,</w:t>
            </w:r>
          </w:p>
        </w:tc>
        <w:tc>
          <w:tcPr>
            <w:tcW w:w="960" w:type="dxa"/>
            <w:vAlign w:val="bottom"/>
            <w:gridSpan w:val="2"/>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9"/>
              </w:rPr>
              <w:t>of Unearned</w:t>
            </w:r>
          </w:p>
        </w:tc>
        <w:tc>
          <w:tcPr>
            <w:tcW w:w="0" w:type="dxa"/>
            <w:vAlign w:val="bottom"/>
          </w:tcPr>
          <w:p>
            <w:pPr>
              <w:spacing w:after="0"/>
              <w:rPr>
                <w:sz w:val="1"/>
                <w:szCs w:val="1"/>
                <w:color w:val="auto"/>
              </w:rPr>
            </w:pPr>
          </w:p>
        </w:tc>
      </w:tr>
      <w:tr>
        <w:trPr>
          <w:trHeight w:val="125"/>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4"/>
              </w:rPr>
              <w:t>Securities</w:t>
            </w:r>
          </w:p>
        </w:tc>
        <w:tc>
          <w:tcPr>
            <w:tcW w:w="11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4"/>
              </w:rPr>
              <w:t>Securities</w:t>
            </w: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9"/>
              </w:rPr>
              <w:t>Stock</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jc w:val="center"/>
              <w:ind w:right="134"/>
              <w:spacing w:after="0" w:line="125" w:lineRule="exact"/>
              <w:rPr>
                <w:sz w:val="20"/>
                <w:szCs w:val="20"/>
                <w:color w:val="auto"/>
              </w:rPr>
            </w:pPr>
            <w:r>
              <w:rPr>
                <w:rFonts w:ascii="Arial" w:cs="Arial" w:eastAsia="Arial" w:hAnsi="Arial"/>
                <w:sz w:val="11"/>
                <w:szCs w:val="11"/>
                <w:b w:val="1"/>
                <w:bCs w:val="1"/>
                <w:color w:val="FFFFFF"/>
                <w:w w:val="98"/>
              </w:rPr>
              <w:t>Value of</w:t>
            </w:r>
          </w:p>
        </w:tc>
        <w:tc>
          <w:tcPr>
            <w:tcW w:w="92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Units or</w:t>
            </w:r>
          </w:p>
        </w:tc>
        <w:tc>
          <w:tcPr>
            <w:tcW w:w="960" w:type="dxa"/>
            <w:vAlign w:val="bottom"/>
            <w:gridSpan w:val="2"/>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118"/>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rPr>
              <w:t>Underlying</w:t>
            </w:r>
          </w:p>
        </w:tc>
        <w:tc>
          <w:tcPr>
            <w:tcW w:w="110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rPr>
              <w:t>Underlying</w:t>
            </w:r>
          </w:p>
        </w:tc>
        <w:tc>
          <w:tcPr>
            <w:tcW w:w="68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70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8"/>
              </w:rPr>
              <w:t>that</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jc w:val="center"/>
              <w:ind w:right="134"/>
              <w:spacing w:after="0" w:line="119" w:lineRule="exact"/>
              <w:rPr>
                <w:sz w:val="20"/>
                <w:szCs w:val="20"/>
                <w:color w:val="auto"/>
              </w:rPr>
            </w:pPr>
            <w:r>
              <w:rPr>
                <w:rFonts w:ascii="Arial" w:cs="Arial" w:eastAsia="Arial" w:hAnsi="Arial"/>
                <w:sz w:val="11"/>
                <w:szCs w:val="11"/>
                <w:b w:val="1"/>
                <w:bCs w:val="1"/>
                <w:color w:val="FFFFFF"/>
                <w:w w:val="98"/>
              </w:rPr>
              <w:t>Shares or</w:t>
            </w:r>
          </w:p>
        </w:tc>
        <w:tc>
          <w:tcPr>
            <w:tcW w:w="92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rPr>
              <w:t>Other</w:t>
            </w:r>
          </w:p>
        </w:tc>
        <w:tc>
          <w:tcPr>
            <w:tcW w:w="20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19" w:lineRule="exact"/>
              <w:rPr>
                <w:sz w:val="20"/>
                <w:szCs w:val="20"/>
                <w:color w:val="auto"/>
              </w:rPr>
            </w:pPr>
            <w:r>
              <w:rPr>
                <w:rFonts w:ascii="Arial" w:cs="Arial" w:eastAsia="Arial" w:hAnsi="Arial"/>
                <w:sz w:val="11"/>
                <w:szCs w:val="11"/>
                <w:b w:val="1"/>
                <w:bCs w:val="1"/>
                <w:color w:val="FFFFFF"/>
              </w:rPr>
              <w:t>or Other</w:t>
            </w:r>
          </w:p>
        </w:tc>
        <w:tc>
          <w:tcPr>
            <w:tcW w:w="0" w:type="dxa"/>
            <w:vAlign w:val="bottom"/>
          </w:tcPr>
          <w:p>
            <w:pPr>
              <w:spacing w:after="0"/>
              <w:rPr>
                <w:sz w:val="1"/>
                <w:szCs w:val="1"/>
                <w:color w:val="auto"/>
              </w:rPr>
            </w:pPr>
          </w:p>
        </w:tc>
      </w:tr>
      <w:tr>
        <w:trPr>
          <w:trHeight w:val="122"/>
        </w:trPr>
        <w:tc>
          <w:tcPr>
            <w:tcW w:w="3160" w:type="dxa"/>
            <w:vAlign w:val="bottom"/>
            <w:shd w:val="clear" w:color="auto" w:fill="00ADBB"/>
          </w:tcPr>
          <w:p>
            <w:pPr>
              <w:spacing w:after="0"/>
              <w:rPr>
                <w:sz w:val="10"/>
                <w:szCs w:val="10"/>
                <w:color w:val="auto"/>
              </w:rPr>
            </w:pPr>
          </w:p>
        </w:tc>
        <w:tc>
          <w:tcPr>
            <w:tcW w:w="820" w:type="dxa"/>
            <w:vAlign w:val="bottom"/>
            <w:shd w:val="clear" w:color="auto" w:fill="00ADBB"/>
          </w:tcPr>
          <w:p>
            <w:pPr>
              <w:spacing w:after="0"/>
              <w:rPr>
                <w:sz w:val="10"/>
                <w:szCs w:val="10"/>
                <w:color w:val="auto"/>
              </w:rPr>
            </w:pPr>
          </w:p>
        </w:tc>
        <w:tc>
          <w:tcPr>
            <w:tcW w:w="86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Unexercised</w:t>
            </w:r>
          </w:p>
        </w:tc>
        <w:tc>
          <w:tcPr>
            <w:tcW w:w="11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Unexercised</w:t>
            </w: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Option</w:t>
            </w: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Option</w:t>
            </w:r>
          </w:p>
        </w:tc>
        <w:tc>
          <w:tcPr>
            <w:tcW w:w="7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Have Not</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jc w:val="center"/>
              <w:ind w:right="134"/>
              <w:spacing w:after="0" w:line="122" w:lineRule="exact"/>
              <w:rPr>
                <w:sz w:val="20"/>
                <w:szCs w:val="20"/>
                <w:color w:val="auto"/>
              </w:rPr>
            </w:pPr>
            <w:r>
              <w:rPr>
                <w:rFonts w:ascii="Arial" w:cs="Arial" w:eastAsia="Arial" w:hAnsi="Arial"/>
                <w:sz w:val="11"/>
                <w:szCs w:val="11"/>
                <w:b w:val="1"/>
                <w:bCs w:val="1"/>
                <w:color w:val="FFFFFF"/>
                <w:w w:val="98"/>
              </w:rPr>
              <w:t>Units that</w:t>
            </w:r>
          </w:p>
        </w:tc>
        <w:tc>
          <w:tcPr>
            <w:tcW w:w="92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9"/>
              </w:rPr>
              <w:t>Rights</w:t>
            </w:r>
          </w:p>
        </w:tc>
        <w:tc>
          <w:tcPr>
            <w:tcW w:w="960" w:type="dxa"/>
            <w:vAlign w:val="bottom"/>
            <w:gridSpan w:val="2"/>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9"/>
              </w:rPr>
              <w:t>Rights That</w:t>
            </w:r>
          </w:p>
        </w:tc>
        <w:tc>
          <w:tcPr>
            <w:tcW w:w="0" w:type="dxa"/>
            <w:vAlign w:val="bottom"/>
          </w:tcPr>
          <w:p>
            <w:pPr>
              <w:spacing w:after="0"/>
              <w:rPr>
                <w:sz w:val="1"/>
                <w:szCs w:val="1"/>
                <w:color w:val="auto"/>
              </w:rPr>
            </w:pPr>
          </w:p>
        </w:tc>
      </w:tr>
      <w:tr>
        <w:trPr>
          <w:trHeight w:val="125"/>
        </w:trPr>
        <w:tc>
          <w:tcPr>
            <w:tcW w:w="3160" w:type="dxa"/>
            <w:vAlign w:val="bottom"/>
            <w:vMerge w:val="restart"/>
            <w:shd w:val="clear" w:color="auto" w:fill="00ADBB"/>
          </w:tcPr>
          <w:p>
            <w:pPr>
              <w:ind w:left="240"/>
              <w:spacing w:after="0"/>
              <w:rPr>
                <w:sz w:val="20"/>
                <w:szCs w:val="20"/>
                <w:color w:val="auto"/>
              </w:rPr>
            </w:pPr>
            <w:r>
              <w:rPr>
                <w:rFonts w:ascii="Arial" w:cs="Arial" w:eastAsia="Arial" w:hAnsi="Arial"/>
                <w:sz w:val="11"/>
                <w:szCs w:val="11"/>
                <w:b w:val="1"/>
                <w:bCs w:val="1"/>
                <w:color w:val="FFFFFF"/>
              </w:rPr>
              <w:t>Name</w:t>
            </w:r>
          </w:p>
        </w:tc>
        <w:tc>
          <w:tcPr>
            <w:tcW w:w="82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8"/>
              </w:rPr>
              <w:t>Award Date /</w:t>
            </w:r>
          </w:p>
        </w:tc>
        <w:tc>
          <w:tcPr>
            <w:tcW w:w="86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Options</w:t>
            </w:r>
          </w:p>
        </w:tc>
        <w:tc>
          <w:tcPr>
            <w:tcW w:w="11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Options</w:t>
            </w:r>
          </w:p>
        </w:tc>
        <w:tc>
          <w:tcPr>
            <w:tcW w:w="6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7"/>
              </w:rPr>
              <w:t>Exercise</w:t>
            </w:r>
          </w:p>
        </w:tc>
        <w:tc>
          <w:tcPr>
            <w:tcW w:w="8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Expiration</w:t>
            </w:r>
          </w:p>
        </w:tc>
        <w:tc>
          <w:tcPr>
            <w:tcW w:w="7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4"/>
              </w:rPr>
              <w:t>Vested</w:t>
            </w:r>
          </w:p>
        </w:tc>
        <w:tc>
          <w:tcPr>
            <w:tcW w:w="200" w:type="dxa"/>
            <w:vAlign w:val="bottom"/>
            <w:shd w:val="clear" w:color="auto" w:fill="00ADBB"/>
          </w:tcPr>
          <w:p>
            <w:pPr>
              <w:spacing w:after="0"/>
              <w:rPr>
                <w:sz w:val="10"/>
                <w:szCs w:val="10"/>
                <w:color w:val="auto"/>
              </w:rPr>
            </w:pPr>
          </w:p>
        </w:tc>
        <w:tc>
          <w:tcPr>
            <w:tcW w:w="740" w:type="dxa"/>
            <w:vAlign w:val="bottom"/>
            <w:shd w:val="clear" w:color="auto" w:fill="00ADBB"/>
          </w:tcPr>
          <w:p>
            <w:pPr>
              <w:jc w:val="center"/>
              <w:ind w:right="114"/>
              <w:spacing w:after="0" w:line="125" w:lineRule="exact"/>
              <w:rPr>
                <w:sz w:val="20"/>
                <w:szCs w:val="20"/>
                <w:color w:val="auto"/>
              </w:rPr>
            </w:pPr>
            <w:r>
              <w:rPr>
                <w:rFonts w:ascii="Arial" w:cs="Arial" w:eastAsia="Arial" w:hAnsi="Arial"/>
                <w:sz w:val="11"/>
                <w:szCs w:val="11"/>
                <w:b w:val="1"/>
                <w:bCs w:val="1"/>
                <w:color w:val="FFFFFF"/>
              </w:rPr>
              <w:t>Have Not</w:t>
            </w:r>
          </w:p>
        </w:tc>
        <w:tc>
          <w:tcPr>
            <w:tcW w:w="92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8"/>
              </w:rPr>
              <w:t>That Have</w:t>
            </w:r>
          </w:p>
        </w:tc>
        <w:tc>
          <w:tcPr>
            <w:tcW w:w="200" w:type="dxa"/>
            <w:vAlign w:val="bottom"/>
            <w:shd w:val="clear" w:color="auto" w:fill="00ADBB"/>
          </w:tcPr>
          <w:p>
            <w:pPr>
              <w:spacing w:after="0"/>
              <w:rPr>
                <w:sz w:val="10"/>
                <w:szCs w:val="10"/>
                <w:color w:val="auto"/>
              </w:rPr>
            </w:pPr>
          </w:p>
        </w:tc>
        <w:tc>
          <w:tcPr>
            <w:tcW w:w="760" w:type="dxa"/>
            <w:vAlign w:val="bottom"/>
            <w:shd w:val="clear" w:color="auto" w:fill="00ADBB"/>
          </w:tcPr>
          <w:p>
            <w:pPr>
              <w:jc w:val="center"/>
              <w:ind w:right="136"/>
              <w:spacing w:after="0" w:line="125" w:lineRule="exact"/>
              <w:rPr>
                <w:sz w:val="20"/>
                <w:szCs w:val="20"/>
                <w:color w:val="auto"/>
              </w:rPr>
            </w:pPr>
            <w:r>
              <w:rPr>
                <w:rFonts w:ascii="Arial" w:cs="Arial" w:eastAsia="Arial" w:hAnsi="Arial"/>
                <w:sz w:val="11"/>
                <w:szCs w:val="11"/>
                <w:b w:val="1"/>
                <w:bCs w:val="1"/>
                <w:color w:val="FFFFFF"/>
              </w:rPr>
              <w:t>Have Not</w:t>
            </w:r>
          </w:p>
        </w:tc>
        <w:tc>
          <w:tcPr>
            <w:tcW w:w="0" w:type="dxa"/>
            <w:vAlign w:val="bottom"/>
          </w:tcPr>
          <w:p>
            <w:pPr>
              <w:spacing w:after="0"/>
              <w:rPr>
                <w:sz w:val="1"/>
                <w:szCs w:val="1"/>
                <w:color w:val="auto"/>
              </w:rPr>
            </w:pPr>
          </w:p>
        </w:tc>
      </w:tr>
      <w:tr>
        <w:trPr>
          <w:trHeight w:val="142"/>
        </w:trPr>
        <w:tc>
          <w:tcPr>
            <w:tcW w:w="3160" w:type="dxa"/>
            <w:vAlign w:val="bottom"/>
            <w:vMerge w:val="continue"/>
            <w:shd w:val="clear" w:color="auto" w:fill="00ADBB"/>
          </w:tcPr>
          <w:p>
            <w:pPr>
              <w:spacing w:after="0"/>
              <w:rPr>
                <w:sz w:val="12"/>
                <w:szCs w:val="12"/>
                <w:color w:val="auto"/>
              </w:rPr>
            </w:pPr>
          </w:p>
        </w:tc>
        <w:tc>
          <w:tcPr>
            <w:tcW w:w="82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9"/>
              </w:rPr>
              <w:t>Award Type</w:t>
            </w:r>
          </w:p>
        </w:tc>
        <w:tc>
          <w:tcPr>
            <w:tcW w:w="86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1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 xml:space="preserve">Unexercisable </w:t>
            </w:r>
            <w:r>
              <w:rPr>
                <w:rFonts w:ascii="Arial" w:cs="Arial" w:eastAsia="Arial" w:hAnsi="Arial"/>
                <w:sz w:val="9"/>
                <w:szCs w:val="9"/>
                <w:b w:val="1"/>
                <w:bCs w:val="1"/>
                <w:color w:val="FFFFFF"/>
                <w:w w:val="96"/>
              </w:rPr>
              <w:t>(1)</w:t>
            </w:r>
          </w:p>
        </w:tc>
        <w:tc>
          <w:tcPr>
            <w:tcW w:w="6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8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2"/>
              </w:rPr>
              <w:t>Date</w:t>
            </w:r>
          </w:p>
        </w:tc>
        <w:tc>
          <w:tcPr>
            <w:tcW w:w="700" w:type="dxa"/>
            <w:vAlign w:val="bottom"/>
            <w:shd w:val="clear" w:color="auto" w:fill="00ADBB"/>
          </w:tcPr>
          <w:p>
            <w:pPr>
              <w:jc w:val="center"/>
              <w:spacing w:after="0"/>
              <w:rPr>
                <w:sz w:val="20"/>
                <w:szCs w:val="20"/>
                <w:color w:val="auto"/>
              </w:rPr>
            </w:pPr>
            <w:r>
              <w:rPr>
                <w:rFonts w:ascii="Arial" w:cs="Arial" w:eastAsia="Arial" w:hAnsi="Arial"/>
                <w:sz w:val="9"/>
                <w:szCs w:val="9"/>
                <w:b w:val="1"/>
                <w:bCs w:val="1"/>
                <w:color w:val="FFFFFF"/>
                <w:w w:val="90"/>
              </w:rPr>
              <w:t>(2)</w:t>
            </w:r>
          </w:p>
        </w:tc>
        <w:tc>
          <w:tcPr>
            <w:tcW w:w="200" w:type="dxa"/>
            <w:vAlign w:val="bottom"/>
            <w:shd w:val="clear" w:color="auto" w:fill="00ADBB"/>
          </w:tcPr>
          <w:p>
            <w:pPr>
              <w:spacing w:after="0"/>
              <w:rPr>
                <w:sz w:val="12"/>
                <w:szCs w:val="12"/>
                <w:color w:val="auto"/>
              </w:rPr>
            </w:pPr>
          </w:p>
        </w:tc>
        <w:tc>
          <w:tcPr>
            <w:tcW w:w="740" w:type="dxa"/>
            <w:vAlign w:val="bottom"/>
            <w:shd w:val="clear" w:color="auto" w:fill="00ADBB"/>
          </w:tcPr>
          <w:p>
            <w:pPr>
              <w:jc w:val="center"/>
              <w:ind w:right="114"/>
              <w:spacing w:after="0"/>
              <w:rPr>
                <w:sz w:val="20"/>
                <w:szCs w:val="20"/>
                <w:color w:val="auto"/>
              </w:rPr>
            </w:pPr>
            <w:r>
              <w:rPr>
                <w:rFonts w:ascii="Arial" w:cs="Arial" w:eastAsia="Arial" w:hAnsi="Arial"/>
                <w:sz w:val="11"/>
                <w:szCs w:val="11"/>
                <w:b w:val="1"/>
                <w:bCs w:val="1"/>
                <w:color w:val="FFFFFF"/>
                <w:w w:val="95"/>
              </w:rPr>
              <w:t xml:space="preserve">Vested </w:t>
            </w:r>
            <w:r>
              <w:rPr>
                <w:rFonts w:ascii="Arial" w:cs="Arial" w:eastAsia="Arial" w:hAnsi="Arial"/>
                <w:sz w:val="9"/>
                <w:szCs w:val="9"/>
                <w:b w:val="1"/>
                <w:bCs w:val="1"/>
                <w:color w:val="FFFFFF"/>
                <w:w w:val="95"/>
              </w:rPr>
              <w:t>(3)</w:t>
            </w:r>
          </w:p>
        </w:tc>
        <w:tc>
          <w:tcPr>
            <w:tcW w:w="92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7"/>
              </w:rPr>
              <w:t xml:space="preserve">Not Vested </w:t>
            </w:r>
            <w:r>
              <w:rPr>
                <w:rFonts w:ascii="Arial" w:cs="Arial" w:eastAsia="Arial" w:hAnsi="Arial"/>
                <w:sz w:val="9"/>
                <w:szCs w:val="9"/>
                <w:b w:val="1"/>
                <w:bCs w:val="1"/>
                <w:color w:val="FFFFFF"/>
                <w:w w:val="97"/>
              </w:rPr>
              <w:t>(4)</w:t>
            </w:r>
          </w:p>
        </w:tc>
        <w:tc>
          <w:tcPr>
            <w:tcW w:w="200" w:type="dxa"/>
            <w:vAlign w:val="bottom"/>
            <w:shd w:val="clear" w:color="auto" w:fill="00ADBB"/>
          </w:tcPr>
          <w:p>
            <w:pPr>
              <w:spacing w:after="0"/>
              <w:rPr>
                <w:sz w:val="12"/>
                <w:szCs w:val="12"/>
                <w:color w:val="auto"/>
              </w:rPr>
            </w:pPr>
          </w:p>
        </w:tc>
        <w:tc>
          <w:tcPr>
            <w:tcW w:w="760" w:type="dxa"/>
            <w:vAlign w:val="bottom"/>
            <w:shd w:val="clear" w:color="auto" w:fill="00ADBB"/>
          </w:tcPr>
          <w:p>
            <w:pPr>
              <w:jc w:val="center"/>
              <w:ind w:right="136"/>
              <w:spacing w:after="0"/>
              <w:rPr>
                <w:sz w:val="20"/>
                <w:szCs w:val="20"/>
                <w:color w:val="auto"/>
              </w:rPr>
            </w:pPr>
            <w:r>
              <w:rPr>
                <w:rFonts w:ascii="Arial" w:cs="Arial" w:eastAsia="Arial" w:hAnsi="Arial"/>
                <w:sz w:val="11"/>
                <w:szCs w:val="11"/>
                <w:b w:val="1"/>
                <w:bCs w:val="1"/>
                <w:color w:val="FFFFFF"/>
                <w:w w:val="95"/>
              </w:rPr>
              <w:t xml:space="preserve">Vested </w:t>
            </w:r>
            <w:r>
              <w:rPr>
                <w:rFonts w:ascii="Arial" w:cs="Arial" w:eastAsia="Arial" w:hAnsi="Arial"/>
                <w:sz w:val="9"/>
                <w:szCs w:val="9"/>
                <w:b w:val="1"/>
                <w:bCs w:val="1"/>
                <w:color w:val="FFFFFF"/>
                <w:w w:val="95"/>
              </w:rPr>
              <w:t>(5)</w:t>
            </w:r>
          </w:p>
        </w:tc>
        <w:tc>
          <w:tcPr>
            <w:tcW w:w="0" w:type="dxa"/>
            <w:vAlign w:val="bottom"/>
          </w:tcPr>
          <w:p>
            <w:pPr>
              <w:spacing w:after="0"/>
              <w:rPr>
                <w:sz w:val="1"/>
                <w:szCs w:val="1"/>
                <w:color w:val="auto"/>
              </w:rPr>
            </w:pPr>
          </w:p>
        </w:tc>
      </w:tr>
      <w:tr>
        <w:trPr>
          <w:trHeight w:val="61"/>
        </w:trPr>
        <w:tc>
          <w:tcPr>
            <w:tcW w:w="3160" w:type="dxa"/>
            <w:vAlign w:val="bottom"/>
            <w:shd w:val="clear" w:color="auto" w:fill="00ADBB"/>
          </w:tcPr>
          <w:p>
            <w:pPr>
              <w:spacing w:after="0"/>
              <w:rPr>
                <w:sz w:val="5"/>
                <w:szCs w:val="5"/>
                <w:color w:val="auto"/>
              </w:rPr>
            </w:pPr>
          </w:p>
        </w:tc>
        <w:tc>
          <w:tcPr>
            <w:tcW w:w="820" w:type="dxa"/>
            <w:vAlign w:val="bottom"/>
            <w:shd w:val="clear" w:color="auto" w:fill="00ADBB"/>
          </w:tcPr>
          <w:p>
            <w:pPr>
              <w:spacing w:after="0"/>
              <w:rPr>
                <w:sz w:val="5"/>
                <w:szCs w:val="5"/>
                <w:color w:val="auto"/>
              </w:rPr>
            </w:pPr>
          </w:p>
        </w:tc>
        <w:tc>
          <w:tcPr>
            <w:tcW w:w="860" w:type="dxa"/>
            <w:vAlign w:val="bottom"/>
            <w:shd w:val="clear" w:color="auto" w:fill="00ADBB"/>
          </w:tcPr>
          <w:p>
            <w:pPr>
              <w:spacing w:after="0"/>
              <w:rPr>
                <w:sz w:val="5"/>
                <w:szCs w:val="5"/>
                <w:color w:val="auto"/>
              </w:rPr>
            </w:pPr>
          </w:p>
        </w:tc>
        <w:tc>
          <w:tcPr>
            <w:tcW w:w="1100" w:type="dxa"/>
            <w:vAlign w:val="bottom"/>
            <w:shd w:val="clear" w:color="auto" w:fill="00ADBB"/>
          </w:tcPr>
          <w:p>
            <w:pPr>
              <w:spacing w:after="0"/>
              <w:rPr>
                <w:sz w:val="5"/>
                <w:szCs w:val="5"/>
                <w:color w:val="auto"/>
              </w:rPr>
            </w:pPr>
          </w:p>
        </w:tc>
        <w:tc>
          <w:tcPr>
            <w:tcW w:w="680" w:type="dxa"/>
            <w:vAlign w:val="bottom"/>
            <w:shd w:val="clear" w:color="auto" w:fill="00ADBB"/>
          </w:tcPr>
          <w:p>
            <w:pPr>
              <w:spacing w:after="0"/>
              <w:rPr>
                <w:sz w:val="5"/>
                <w:szCs w:val="5"/>
                <w:color w:val="auto"/>
              </w:rPr>
            </w:pPr>
          </w:p>
        </w:tc>
        <w:tc>
          <w:tcPr>
            <w:tcW w:w="880" w:type="dxa"/>
            <w:vAlign w:val="bottom"/>
            <w:shd w:val="clear" w:color="auto" w:fill="00ADBB"/>
          </w:tcPr>
          <w:p>
            <w:pPr>
              <w:spacing w:after="0"/>
              <w:rPr>
                <w:sz w:val="5"/>
                <w:szCs w:val="5"/>
                <w:color w:val="auto"/>
              </w:rPr>
            </w:pPr>
          </w:p>
        </w:tc>
        <w:tc>
          <w:tcPr>
            <w:tcW w:w="700" w:type="dxa"/>
            <w:vAlign w:val="bottom"/>
            <w:shd w:val="clear" w:color="auto" w:fill="00ADBB"/>
          </w:tcPr>
          <w:p>
            <w:pPr>
              <w:spacing w:after="0"/>
              <w:rPr>
                <w:sz w:val="5"/>
                <w:szCs w:val="5"/>
                <w:color w:val="auto"/>
              </w:rPr>
            </w:pPr>
          </w:p>
        </w:tc>
        <w:tc>
          <w:tcPr>
            <w:tcW w:w="200" w:type="dxa"/>
            <w:vAlign w:val="bottom"/>
            <w:shd w:val="clear" w:color="auto" w:fill="00ADBB"/>
          </w:tcPr>
          <w:p>
            <w:pPr>
              <w:spacing w:after="0"/>
              <w:rPr>
                <w:sz w:val="5"/>
                <w:szCs w:val="5"/>
                <w:color w:val="auto"/>
              </w:rPr>
            </w:pPr>
          </w:p>
        </w:tc>
        <w:tc>
          <w:tcPr>
            <w:tcW w:w="740" w:type="dxa"/>
            <w:vAlign w:val="bottom"/>
            <w:shd w:val="clear" w:color="auto" w:fill="00ADBB"/>
          </w:tcPr>
          <w:p>
            <w:pPr>
              <w:spacing w:after="0"/>
              <w:rPr>
                <w:sz w:val="5"/>
                <w:szCs w:val="5"/>
                <w:color w:val="auto"/>
              </w:rPr>
            </w:pPr>
          </w:p>
        </w:tc>
        <w:tc>
          <w:tcPr>
            <w:tcW w:w="920" w:type="dxa"/>
            <w:vAlign w:val="bottom"/>
            <w:shd w:val="clear" w:color="auto" w:fill="00ADBB"/>
          </w:tcPr>
          <w:p>
            <w:pPr>
              <w:spacing w:after="0"/>
              <w:rPr>
                <w:sz w:val="5"/>
                <w:szCs w:val="5"/>
                <w:color w:val="auto"/>
              </w:rPr>
            </w:pPr>
          </w:p>
        </w:tc>
        <w:tc>
          <w:tcPr>
            <w:tcW w:w="200" w:type="dxa"/>
            <w:vAlign w:val="bottom"/>
            <w:shd w:val="clear" w:color="auto" w:fill="00ADBB"/>
          </w:tcPr>
          <w:p>
            <w:pPr>
              <w:spacing w:after="0"/>
              <w:rPr>
                <w:sz w:val="5"/>
                <w:szCs w:val="5"/>
                <w:color w:val="auto"/>
              </w:rPr>
            </w:pPr>
          </w:p>
        </w:tc>
        <w:tc>
          <w:tcPr>
            <w:tcW w:w="760" w:type="dxa"/>
            <w:vAlign w:val="bottom"/>
            <w:shd w:val="clear" w:color="auto" w:fill="00ADBB"/>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60" w:type="dxa"/>
            <w:vAlign w:val="bottom"/>
          </w:tcPr>
          <w:p>
            <w:pPr>
              <w:ind w:left="100"/>
              <w:spacing w:after="0"/>
              <w:rPr>
                <w:sz w:val="20"/>
                <w:szCs w:val="20"/>
                <w:color w:val="auto"/>
              </w:rPr>
            </w:pPr>
            <w:r>
              <w:rPr>
                <w:rFonts w:ascii="Arial" w:cs="Arial" w:eastAsia="Arial" w:hAnsi="Arial"/>
                <w:sz w:val="14"/>
                <w:szCs w:val="14"/>
                <w:color w:val="4C4C4C"/>
              </w:rPr>
              <w:t>Eric Steigerwalt</w:t>
            </w: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9,351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338,600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36,468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w w:val="99"/>
              </w:rPr>
              <w:t>1,320,506</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vMerge w:val="restart"/>
          </w:tcPr>
          <w:p>
            <w:pPr>
              <w:jc w:val="right"/>
              <w:ind w:right="40"/>
              <w:spacing w:after="0"/>
              <w:rPr>
                <w:sz w:val="20"/>
                <w:szCs w:val="20"/>
                <w:color w:val="auto"/>
              </w:rPr>
            </w:pPr>
            <w:r>
              <w:rPr>
                <w:rFonts w:ascii="Arial" w:cs="Arial" w:eastAsia="Arial" w:hAnsi="Arial"/>
                <w:sz w:val="14"/>
                <w:szCs w:val="14"/>
                <w:color w:val="4C4C4C"/>
              </w:rPr>
              <w:t>61,425</w:t>
            </w: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color w:val="4C4C4C"/>
              </w:rPr>
              <w:t>30,712</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4C4C4C"/>
              </w:rPr>
              <w:t>$53.47</w:t>
            </w:r>
          </w:p>
        </w:tc>
        <w:tc>
          <w:tcPr>
            <w:tcW w:w="880" w:type="dxa"/>
            <w:vAlign w:val="bottom"/>
            <w:vMerge w:val="restart"/>
          </w:tcPr>
          <w:p>
            <w:pPr>
              <w:jc w:val="right"/>
              <w:ind w:right="37"/>
              <w:spacing w:after="0"/>
              <w:rPr>
                <w:sz w:val="20"/>
                <w:szCs w:val="20"/>
                <w:color w:val="auto"/>
              </w:rPr>
            </w:pPr>
            <w:r>
              <w:rPr>
                <w:rFonts w:ascii="Arial" w:cs="Arial" w:eastAsia="Arial" w:hAnsi="Arial"/>
                <w:sz w:val="14"/>
                <w:szCs w:val="14"/>
                <w:color w:val="4C4C4C"/>
              </w:rPr>
              <w:t>2/29/2028</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(NQSO)</w:t>
            </w:r>
          </w:p>
        </w:tc>
        <w:tc>
          <w:tcPr>
            <w:tcW w:w="8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23,094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836,234</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4"/>
                <w:szCs w:val="14"/>
                <w:color w:val="4C4C4C"/>
              </w:rPr>
              <w:t>80,831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w w:val="99"/>
              </w:rPr>
              <w:t>2,926,891</w:t>
            </w: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41,036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w w:val="99"/>
              </w:rPr>
              <w:t>1,485,914</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4"/>
                <w:szCs w:val="14"/>
                <w:color w:val="4C4C4C"/>
              </w:rPr>
              <w:t>95,751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w w:val="99"/>
              </w:rPr>
              <w:t>3,467,144</w:t>
            </w: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4C4C4C"/>
            </w:tcBorders>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ind w:left="100"/>
              <w:spacing w:after="0" w:line="174" w:lineRule="exact"/>
              <w:rPr>
                <w:sz w:val="20"/>
                <w:szCs w:val="20"/>
                <w:color w:val="auto"/>
              </w:rPr>
            </w:pPr>
            <w:r>
              <w:rPr>
                <w:rFonts w:ascii="Arial" w:cs="Arial" w:eastAsia="Arial" w:hAnsi="Arial"/>
                <w:sz w:val="12"/>
                <w:szCs w:val="12"/>
                <w:color w:val="4C4C4C"/>
              </w:rPr>
              <w:t xml:space="preserve">Ed Spehar </w:t>
            </w:r>
            <w:r>
              <w:rPr>
                <w:rFonts w:ascii="Arial" w:cs="Arial" w:eastAsia="Arial" w:hAnsi="Arial"/>
                <w:sz w:val="20"/>
                <w:szCs w:val="20"/>
                <w:color w:val="4C4C4C"/>
                <w:vertAlign w:val="superscript"/>
              </w:rPr>
              <w:t>(6)</w:t>
            </w: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9/3/19</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9,554</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345,950</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11,718</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424,309</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40" w:type="dxa"/>
            <w:vAlign w:val="bottom"/>
            <w:shd w:val="clear" w:color="auto" w:fill="E5F6F8"/>
          </w:tcPr>
          <w:p>
            <w:pPr>
              <w:spacing w:after="0"/>
              <w:rPr>
                <w:sz w:val="15"/>
                <w:szCs w:val="15"/>
                <w:color w:val="auto"/>
              </w:rPr>
            </w:pPr>
          </w:p>
        </w:tc>
        <w:tc>
          <w:tcPr>
            <w:tcW w:w="920" w:type="dxa"/>
            <w:vAlign w:val="bottom"/>
            <w:vMerge w:val="restart"/>
            <w:shd w:val="clear" w:color="auto" w:fill="E5F6F8"/>
          </w:tcPr>
          <w:p>
            <w:pPr>
              <w:jc w:val="right"/>
              <w:ind w:right="39"/>
              <w:spacing w:after="0"/>
              <w:rPr>
                <w:sz w:val="20"/>
                <w:szCs w:val="20"/>
                <w:color w:val="auto"/>
              </w:rPr>
            </w:pPr>
            <w:r>
              <w:rPr>
                <w:rFonts w:ascii="Arial" w:cs="Arial" w:eastAsia="Arial" w:hAnsi="Arial"/>
                <w:sz w:val="14"/>
                <w:szCs w:val="14"/>
                <w:color w:val="4C4C4C"/>
              </w:rPr>
              <w:t>17,578</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636,499</w:t>
            </w: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92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4C4C4C"/>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100"/>
              <w:spacing w:after="0"/>
              <w:rPr>
                <w:sz w:val="20"/>
                <w:szCs w:val="20"/>
                <w:color w:val="auto"/>
              </w:rPr>
            </w:pPr>
            <w:r>
              <w:rPr>
                <w:rFonts w:ascii="Arial" w:cs="Arial" w:eastAsia="Arial" w:hAnsi="Arial"/>
                <w:sz w:val="14"/>
                <w:szCs w:val="14"/>
                <w:color w:val="4C4C4C"/>
              </w:rPr>
              <w:t>Christine DeBiase</w:t>
            </w: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2,091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75,715</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8,154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295,256</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vMerge w:val="restart"/>
          </w:tcPr>
          <w:p>
            <w:pPr>
              <w:jc w:val="right"/>
              <w:ind w:right="40"/>
              <w:spacing w:after="0"/>
              <w:rPr>
                <w:sz w:val="20"/>
                <w:szCs w:val="20"/>
                <w:color w:val="auto"/>
              </w:rPr>
            </w:pPr>
            <w:r>
              <w:rPr>
                <w:rFonts w:ascii="Arial" w:cs="Arial" w:eastAsia="Arial" w:hAnsi="Arial"/>
                <w:sz w:val="14"/>
                <w:szCs w:val="14"/>
                <w:color w:val="4C4C4C"/>
              </w:rPr>
              <w:t>13,735</w:t>
            </w: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color w:val="4C4C4C"/>
              </w:rPr>
              <w:t>6,867</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4C4C4C"/>
              </w:rPr>
              <w:t>$53.47</w:t>
            </w:r>
          </w:p>
        </w:tc>
        <w:tc>
          <w:tcPr>
            <w:tcW w:w="880" w:type="dxa"/>
            <w:vAlign w:val="bottom"/>
            <w:vMerge w:val="restart"/>
          </w:tcPr>
          <w:p>
            <w:pPr>
              <w:jc w:val="right"/>
              <w:ind w:right="37"/>
              <w:spacing w:after="0"/>
              <w:rPr>
                <w:sz w:val="20"/>
                <w:szCs w:val="20"/>
                <w:color w:val="auto"/>
              </w:rPr>
            </w:pPr>
            <w:r>
              <w:rPr>
                <w:rFonts w:ascii="Arial" w:cs="Arial" w:eastAsia="Arial" w:hAnsi="Arial"/>
                <w:sz w:val="14"/>
                <w:szCs w:val="14"/>
                <w:color w:val="4C4C4C"/>
              </w:rPr>
              <w:t>2/29/2028</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(NQSO)</w:t>
            </w:r>
          </w:p>
        </w:tc>
        <w:tc>
          <w:tcPr>
            <w:tcW w:w="8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7,184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260,133</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4"/>
                <w:szCs w:val="14"/>
                <w:color w:val="4C4C4C"/>
              </w:rPr>
              <w:t>16,166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585,371</w:t>
            </w: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4"/>
                <w:szCs w:val="14"/>
                <w:color w:val="4C4C4C"/>
              </w:rPr>
              <w:t>11,718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tcPr>
          <w:p>
            <w:pPr>
              <w:jc w:val="right"/>
              <w:ind w:right="34"/>
              <w:spacing w:after="0"/>
              <w:rPr>
                <w:sz w:val="20"/>
                <w:szCs w:val="20"/>
                <w:color w:val="auto"/>
              </w:rPr>
            </w:pPr>
            <w:r>
              <w:rPr>
                <w:rFonts w:ascii="Arial" w:cs="Arial" w:eastAsia="Arial" w:hAnsi="Arial"/>
                <w:sz w:val="14"/>
                <w:szCs w:val="14"/>
                <w:color w:val="4C4C4C"/>
              </w:rPr>
              <w:t>424,309</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20" w:type="dxa"/>
            <w:vAlign w:val="bottom"/>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4"/>
                <w:szCs w:val="14"/>
                <w:color w:val="4C4C4C"/>
              </w:rPr>
              <w:t>17,578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color w:val="4C4C4C"/>
              </w:rPr>
              <w:t>636,499</w:t>
            </w: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820" w:type="dxa"/>
            <w:vAlign w:val="bottom"/>
            <w:vMerge w:val="restart"/>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4C4C4C"/>
            </w:tcBorders>
          </w:tcPr>
          <w:p>
            <w:pPr>
              <w:spacing w:after="0"/>
              <w:rPr>
                <w:sz w:val="5"/>
                <w:szCs w:val="5"/>
                <w:color w:val="auto"/>
              </w:rPr>
            </w:pPr>
          </w:p>
        </w:tc>
        <w:tc>
          <w:tcPr>
            <w:tcW w:w="820" w:type="dxa"/>
            <w:vAlign w:val="bottom"/>
            <w:tcBorders>
              <w:bottom w:val="single" w:sz="8" w:color="4C4C4C"/>
            </w:tcBorders>
            <w:vMerge w:val="continue"/>
          </w:tcPr>
          <w:p>
            <w:pPr>
              <w:spacing w:after="0"/>
              <w:rPr>
                <w:sz w:val="5"/>
                <w:szCs w:val="5"/>
                <w:color w:val="auto"/>
              </w:rPr>
            </w:pPr>
          </w:p>
        </w:tc>
        <w:tc>
          <w:tcPr>
            <w:tcW w:w="860" w:type="dxa"/>
            <w:vAlign w:val="bottom"/>
            <w:tcBorders>
              <w:bottom w:val="single" w:sz="8" w:color="4C4C4C"/>
            </w:tcBorders>
          </w:tcPr>
          <w:p>
            <w:pPr>
              <w:spacing w:after="0"/>
              <w:rPr>
                <w:sz w:val="5"/>
                <w:szCs w:val="5"/>
                <w:color w:val="auto"/>
              </w:rPr>
            </w:pPr>
          </w:p>
        </w:tc>
        <w:tc>
          <w:tcPr>
            <w:tcW w:w="110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70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40" w:type="dxa"/>
            <w:vAlign w:val="bottom"/>
            <w:tcBorders>
              <w:bottom w:val="single" w:sz="8" w:color="4C4C4C"/>
            </w:tcBorders>
          </w:tcPr>
          <w:p>
            <w:pPr>
              <w:spacing w:after="0"/>
              <w:rPr>
                <w:sz w:val="5"/>
                <w:szCs w:val="5"/>
                <w:color w:val="auto"/>
              </w:rPr>
            </w:pPr>
          </w:p>
        </w:tc>
        <w:tc>
          <w:tcPr>
            <w:tcW w:w="920" w:type="dxa"/>
            <w:vAlign w:val="bottom"/>
            <w:tcBorders>
              <w:bottom w:val="single" w:sz="8" w:color="4C4C4C"/>
            </w:tcBorders>
          </w:tcPr>
          <w:p>
            <w:pPr>
              <w:spacing w:after="0"/>
              <w:rPr>
                <w:sz w:val="5"/>
                <w:szCs w:val="5"/>
                <w:color w:val="auto"/>
              </w:rPr>
            </w:pPr>
          </w:p>
        </w:tc>
        <w:tc>
          <w:tcPr>
            <w:tcW w:w="200" w:type="dxa"/>
            <w:vAlign w:val="bottom"/>
            <w:tcBorders>
              <w:bottom w:val="single" w:sz="8" w:color="4C4C4C"/>
            </w:tcBorders>
          </w:tcPr>
          <w:p>
            <w:pPr>
              <w:spacing w:after="0"/>
              <w:rPr>
                <w:sz w:val="5"/>
                <w:szCs w:val="5"/>
                <w:color w:val="auto"/>
              </w:rPr>
            </w:pPr>
          </w:p>
        </w:tc>
        <w:tc>
          <w:tcPr>
            <w:tcW w:w="76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1,605</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58,117</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6,259</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226,638</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5/23/2018</w:t>
            </w:r>
          </w:p>
        </w:tc>
        <w:tc>
          <w:tcPr>
            <w:tcW w:w="860" w:type="dxa"/>
            <w:vAlign w:val="bottom"/>
            <w:vMerge w:val="restart"/>
            <w:shd w:val="clear" w:color="auto" w:fill="E5F6F8"/>
          </w:tcPr>
          <w:p>
            <w:pPr>
              <w:jc w:val="right"/>
              <w:ind w:right="40"/>
              <w:spacing w:after="0"/>
              <w:rPr>
                <w:sz w:val="20"/>
                <w:szCs w:val="20"/>
                <w:color w:val="auto"/>
              </w:rPr>
            </w:pPr>
            <w:r>
              <w:rPr>
                <w:rFonts w:ascii="Arial" w:cs="Arial" w:eastAsia="Arial" w:hAnsi="Arial"/>
                <w:sz w:val="14"/>
                <w:szCs w:val="14"/>
                <w:color w:val="4C4C4C"/>
              </w:rPr>
              <w:t>10,544</w:t>
            </w:r>
          </w:p>
        </w:tc>
        <w:tc>
          <w:tcPr>
            <w:tcW w:w="1100" w:type="dxa"/>
            <w:vAlign w:val="bottom"/>
            <w:vMerge w:val="restart"/>
            <w:shd w:val="clear" w:color="auto" w:fill="E5F6F8"/>
          </w:tcPr>
          <w:p>
            <w:pPr>
              <w:jc w:val="right"/>
              <w:ind w:right="61"/>
              <w:spacing w:after="0"/>
              <w:rPr>
                <w:sz w:val="20"/>
                <w:szCs w:val="20"/>
                <w:color w:val="auto"/>
              </w:rPr>
            </w:pPr>
            <w:r>
              <w:rPr>
                <w:rFonts w:ascii="Arial" w:cs="Arial" w:eastAsia="Arial" w:hAnsi="Arial"/>
                <w:sz w:val="14"/>
                <w:szCs w:val="14"/>
                <w:color w:val="4C4C4C"/>
              </w:rPr>
              <w:t>5,272</w:t>
            </w:r>
          </w:p>
        </w:tc>
        <w:tc>
          <w:tcPr>
            <w:tcW w:w="680" w:type="dxa"/>
            <w:vAlign w:val="bottom"/>
            <w:vMerge w:val="restart"/>
            <w:shd w:val="clear" w:color="auto" w:fill="E5F6F8"/>
          </w:tcPr>
          <w:p>
            <w:pPr>
              <w:jc w:val="center"/>
              <w:spacing w:after="0"/>
              <w:rPr>
                <w:sz w:val="20"/>
                <w:szCs w:val="20"/>
                <w:color w:val="auto"/>
              </w:rPr>
            </w:pPr>
            <w:r>
              <w:rPr>
                <w:rFonts w:ascii="Arial" w:cs="Arial" w:eastAsia="Arial" w:hAnsi="Arial"/>
                <w:sz w:val="14"/>
                <w:szCs w:val="14"/>
                <w:color w:val="4C4C4C"/>
              </w:rPr>
              <w:t>$53.47</w:t>
            </w:r>
          </w:p>
        </w:tc>
        <w:tc>
          <w:tcPr>
            <w:tcW w:w="880" w:type="dxa"/>
            <w:vAlign w:val="bottom"/>
            <w:vMerge w:val="restart"/>
            <w:shd w:val="clear" w:color="auto" w:fill="E5F6F8"/>
          </w:tcPr>
          <w:p>
            <w:pPr>
              <w:jc w:val="right"/>
              <w:ind w:right="37"/>
              <w:spacing w:after="0"/>
              <w:rPr>
                <w:sz w:val="20"/>
                <w:szCs w:val="20"/>
                <w:color w:val="auto"/>
              </w:rPr>
            </w:pPr>
            <w:r>
              <w:rPr>
                <w:rFonts w:ascii="Arial" w:cs="Arial" w:eastAsia="Arial" w:hAnsi="Arial"/>
                <w:sz w:val="14"/>
                <w:szCs w:val="14"/>
                <w:color w:val="4C4C4C"/>
              </w:rPr>
              <w:t>2/29/2028</w:t>
            </w:r>
          </w:p>
        </w:tc>
        <w:tc>
          <w:tcPr>
            <w:tcW w:w="70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40" w:type="dxa"/>
            <w:vAlign w:val="bottom"/>
            <w:shd w:val="clear" w:color="auto" w:fill="E5F6F8"/>
          </w:tcPr>
          <w:p>
            <w:pPr>
              <w:spacing w:after="0"/>
              <w:rPr>
                <w:sz w:val="15"/>
                <w:szCs w:val="15"/>
                <w:color w:val="auto"/>
              </w:rPr>
            </w:pP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(NQSO)</w:t>
            </w:r>
          </w:p>
        </w:tc>
        <w:tc>
          <w:tcPr>
            <w:tcW w:w="860" w:type="dxa"/>
            <w:vAlign w:val="bottom"/>
            <w:vMerge w:val="continue"/>
            <w:shd w:val="clear" w:color="auto" w:fill="E5F6F8"/>
          </w:tcPr>
          <w:p>
            <w:pPr>
              <w:spacing w:after="0"/>
              <w:rPr>
                <w:sz w:val="7"/>
                <w:szCs w:val="7"/>
                <w:color w:val="auto"/>
              </w:rPr>
            </w:pPr>
          </w:p>
        </w:tc>
        <w:tc>
          <w:tcPr>
            <w:tcW w:w="1100" w:type="dxa"/>
            <w:vAlign w:val="bottom"/>
            <w:vMerge w:val="continue"/>
            <w:shd w:val="clear" w:color="auto" w:fill="E5F6F8"/>
          </w:tcPr>
          <w:p>
            <w:pPr>
              <w:spacing w:after="0"/>
              <w:rPr>
                <w:sz w:val="7"/>
                <w:szCs w:val="7"/>
                <w:color w:val="auto"/>
              </w:rPr>
            </w:pPr>
          </w:p>
        </w:tc>
        <w:tc>
          <w:tcPr>
            <w:tcW w:w="680" w:type="dxa"/>
            <w:vAlign w:val="bottom"/>
            <w:vMerge w:val="continue"/>
            <w:shd w:val="clear" w:color="auto" w:fill="E5F6F8"/>
          </w:tcPr>
          <w:p>
            <w:pPr>
              <w:spacing w:after="0"/>
              <w:rPr>
                <w:sz w:val="7"/>
                <w:szCs w:val="7"/>
                <w:color w:val="auto"/>
              </w:rPr>
            </w:pPr>
          </w:p>
        </w:tc>
        <w:tc>
          <w:tcPr>
            <w:tcW w:w="880" w:type="dxa"/>
            <w:vAlign w:val="bottom"/>
            <w:vMerge w:val="continue"/>
            <w:shd w:val="clear" w:color="auto" w:fill="E5F6F8"/>
          </w:tcPr>
          <w:p>
            <w:pPr>
              <w:spacing w:after="0"/>
              <w:rPr>
                <w:sz w:val="7"/>
                <w:szCs w:val="7"/>
                <w:color w:val="auto"/>
              </w:rPr>
            </w:pPr>
          </w:p>
        </w:tc>
        <w:tc>
          <w:tcPr>
            <w:tcW w:w="70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7,800</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282,438</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3/1/19</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40" w:type="dxa"/>
            <w:vAlign w:val="bottom"/>
            <w:shd w:val="clear" w:color="auto" w:fill="E5F6F8"/>
          </w:tcPr>
          <w:p>
            <w:pPr>
              <w:spacing w:after="0"/>
              <w:rPr>
                <w:sz w:val="15"/>
                <w:szCs w:val="15"/>
                <w:color w:val="auto"/>
              </w:rPr>
            </w:pPr>
          </w:p>
        </w:tc>
        <w:tc>
          <w:tcPr>
            <w:tcW w:w="920" w:type="dxa"/>
            <w:vAlign w:val="bottom"/>
            <w:vMerge w:val="restart"/>
            <w:shd w:val="clear" w:color="auto" w:fill="E5F6F8"/>
          </w:tcPr>
          <w:p>
            <w:pPr>
              <w:jc w:val="right"/>
              <w:ind w:right="39"/>
              <w:spacing w:after="0"/>
              <w:rPr>
                <w:sz w:val="20"/>
                <w:szCs w:val="20"/>
                <w:color w:val="auto"/>
              </w:rPr>
            </w:pPr>
            <w:r>
              <w:rPr>
                <w:rFonts w:ascii="Arial" w:cs="Arial" w:eastAsia="Arial" w:hAnsi="Arial"/>
                <w:sz w:val="14"/>
                <w:szCs w:val="14"/>
                <w:color w:val="4C4C4C"/>
              </w:rPr>
              <w:t>17,551</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635,522</w:t>
            </w: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92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vMerge w:val="restart"/>
            <w:shd w:val="clear" w:color="auto" w:fill="E5F6F8"/>
          </w:tcPr>
          <w:p>
            <w:pPr>
              <w:jc w:val="right"/>
              <w:ind w:right="36"/>
              <w:spacing w:after="0"/>
              <w:rPr>
                <w:sz w:val="20"/>
                <w:szCs w:val="20"/>
                <w:color w:val="auto"/>
              </w:rPr>
            </w:pPr>
            <w:r>
              <w:rPr>
                <w:rFonts w:ascii="Arial" w:cs="Arial" w:eastAsia="Arial" w:hAnsi="Arial"/>
                <w:sz w:val="14"/>
                <w:szCs w:val="14"/>
                <w:color w:val="4C4C4C"/>
              </w:rPr>
              <w:t>12,723</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40" w:type="dxa"/>
            <w:vAlign w:val="bottom"/>
            <w:vMerge w:val="restart"/>
            <w:shd w:val="clear" w:color="auto" w:fill="E5F6F8"/>
          </w:tcPr>
          <w:p>
            <w:pPr>
              <w:jc w:val="right"/>
              <w:ind w:right="34"/>
              <w:spacing w:after="0"/>
              <w:rPr>
                <w:sz w:val="20"/>
                <w:szCs w:val="20"/>
                <w:color w:val="auto"/>
              </w:rPr>
            </w:pPr>
            <w:r>
              <w:rPr>
                <w:rFonts w:ascii="Arial" w:cs="Arial" w:eastAsia="Arial" w:hAnsi="Arial"/>
                <w:sz w:val="14"/>
                <w:szCs w:val="14"/>
                <w:color w:val="4C4C4C"/>
              </w:rPr>
              <w:t>460,700</w:t>
            </w:r>
          </w:p>
        </w:tc>
        <w:tc>
          <w:tcPr>
            <w:tcW w:w="92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60" w:type="dxa"/>
            <w:vAlign w:val="bottom"/>
            <w:shd w:val="clear" w:color="auto" w:fill="E5F6F8"/>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(RSU)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40" w:type="dxa"/>
            <w:vAlign w:val="bottom"/>
            <w:vMerge w:val="continue"/>
            <w:shd w:val="clear" w:color="auto" w:fill="E5F6F8"/>
          </w:tcPr>
          <w:p>
            <w:pPr>
              <w:spacing w:after="0"/>
              <w:rPr>
                <w:sz w:val="7"/>
                <w:szCs w:val="7"/>
                <w:color w:val="auto"/>
              </w:rPr>
            </w:pPr>
          </w:p>
        </w:tc>
        <w:tc>
          <w:tcPr>
            <w:tcW w:w="92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60" w:type="dxa"/>
            <w:vAlign w:val="bottom"/>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E5F6F8"/>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E5F6F8"/>
          </w:tcPr>
          <w:p>
            <w:pPr>
              <w:spacing w:after="0"/>
              <w:rPr>
                <w:sz w:val="15"/>
                <w:szCs w:val="15"/>
                <w:color w:val="auto"/>
              </w:rPr>
            </w:pPr>
          </w:p>
        </w:tc>
        <w:tc>
          <w:tcPr>
            <w:tcW w:w="820" w:type="dxa"/>
            <w:vAlign w:val="bottom"/>
            <w:shd w:val="clear" w:color="auto" w:fill="E5F6F8"/>
          </w:tcPr>
          <w:p>
            <w:pPr>
              <w:jc w:val="center"/>
              <w:ind w:left="29"/>
              <w:spacing w:after="0"/>
              <w:rPr>
                <w:sz w:val="20"/>
                <w:szCs w:val="20"/>
                <w:color w:val="auto"/>
              </w:rPr>
            </w:pPr>
            <w:r>
              <w:rPr>
                <w:rFonts w:ascii="Arial" w:cs="Arial" w:eastAsia="Arial" w:hAnsi="Arial"/>
                <w:sz w:val="14"/>
                <w:szCs w:val="14"/>
                <w:color w:val="4C4C4C"/>
              </w:rPr>
              <w:t>3/1/20</w:t>
            </w:r>
          </w:p>
        </w:tc>
        <w:tc>
          <w:tcPr>
            <w:tcW w:w="860" w:type="dxa"/>
            <w:vAlign w:val="bottom"/>
            <w:shd w:val="clear" w:color="auto" w:fill="E5F6F8"/>
          </w:tcPr>
          <w:p>
            <w:pPr>
              <w:spacing w:after="0"/>
              <w:rPr>
                <w:sz w:val="15"/>
                <w:szCs w:val="15"/>
                <w:color w:val="auto"/>
              </w:rPr>
            </w:pPr>
          </w:p>
        </w:tc>
        <w:tc>
          <w:tcPr>
            <w:tcW w:w="1100" w:type="dxa"/>
            <w:vAlign w:val="bottom"/>
            <w:shd w:val="clear" w:color="auto" w:fill="E5F6F8"/>
          </w:tcPr>
          <w:p>
            <w:pPr>
              <w:spacing w:after="0"/>
              <w:rPr>
                <w:sz w:val="15"/>
                <w:szCs w:val="15"/>
                <w:color w:val="auto"/>
              </w:rPr>
            </w:pPr>
          </w:p>
        </w:tc>
        <w:tc>
          <w:tcPr>
            <w:tcW w:w="680" w:type="dxa"/>
            <w:vAlign w:val="bottom"/>
            <w:shd w:val="clear" w:color="auto" w:fill="E5F6F8"/>
          </w:tcPr>
          <w:p>
            <w:pPr>
              <w:spacing w:after="0"/>
              <w:rPr>
                <w:sz w:val="15"/>
                <w:szCs w:val="15"/>
                <w:color w:val="auto"/>
              </w:rPr>
            </w:pPr>
          </w:p>
        </w:tc>
        <w:tc>
          <w:tcPr>
            <w:tcW w:w="880" w:type="dxa"/>
            <w:vAlign w:val="bottom"/>
            <w:shd w:val="clear" w:color="auto" w:fill="E5F6F8"/>
          </w:tcPr>
          <w:p>
            <w:pPr>
              <w:spacing w:after="0"/>
              <w:rPr>
                <w:sz w:val="15"/>
                <w:szCs w:val="15"/>
                <w:color w:val="auto"/>
              </w:rPr>
            </w:pPr>
          </w:p>
        </w:tc>
        <w:tc>
          <w:tcPr>
            <w:tcW w:w="700" w:type="dxa"/>
            <w:vAlign w:val="bottom"/>
            <w:shd w:val="clear" w:color="auto" w:fill="E5F6F8"/>
          </w:tcPr>
          <w:p>
            <w:pPr>
              <w:spacing w:after="0"/>
              <w:rPr>
                <w:sz w:val="15"/>
                <w:szCs w:val="15"/>
                <w:color w:val="auto"/>
              </w:rPr>
            </w:pPr>
          </w:p>
        </w:tc>
        <w:tc>
          <w:tcPr>
            <w:tcW w:w="200" w:type="dxa"/>
            <w:vAlign w:val="bottom"/>
            <w:shd w:val="clear" w:color="auto" w:fill="E5F6F8"/>
          </w:tcPr>
          <w:p>
            <w:pPr>
              <w:spacing w:after="0"/>
              <w:rPr>
                <w:sz w:val="15"/>
                <w:szCs w:val="15"/>
                <w:color w:val="auto"/>
              </w:rPr>
            </w:pPr>
          </w:p>
        </w:tc>
        <w:tc>
          <w:tcPr>
            <w:tcW w:w="740" w:type="dxa"/>
            <w:vAlign w:val="bottom"/>
            <w:shd w:val="clear" w:color="auto" w:fill="E5F6F8"/>
          </w:tcPr>
          <w:p>
            <w:pPr>
              <w:spacing w:after="0"/>
              <w:rPr>
                <w:sz w:val="15"/>
                <w:szCs w:val="15"/>
                <w:color w:val="auto"/>
              </w:rPr>
            </w:pPr>
          </w:p>
        </w:tc>
        <w:tc>
          <w:tcPr>
            <w:tcW w:w="920" w:type="dxa"/>
            <w:vAlign w:val="bottom"/>
            <w:vMerge w:val="restart"/>
            <w:shd w:val="clear" w:color="auto" w:fill="E5F6F8"/>
          </w:tcPr>
          <w:p>
            <w:pPr>
              <w:jc w:val="right"/>
              <w:ind w:right="39"/>
              <w:spacing w:after="0"/>
              <w:rPr>
                <w:sz w:val="20"/>
                <w:szCs w:val="20"/>
                <w:color w:val="auto"/>
              </w:rPr>
            </w:pPr>
            <w:r>
              <w:rPr>
                <w:rFonts w:ascii="Arial" w:cs="Arial" w:eastAsia="Arial" w:hAnsi="Arial"/>
                <w:sz w:val="14"/>
                <w:szCs w:val="14"/>
                <w:color w:val="4C4C4C"/>
              </w:rPr>
              <w:t>19,084</w:t>
            </w:r>
          </w:p>
        </w:tc>
        <w:tc>
          <w:tcPr>
            <w:tcW w:w="200" w:type="dxa"/>
            <w:vAlign w:val="bottom"/>
            <w:vMerge w:val="restart"/>
            <w:shd w:val="clear" w:color="auto" w:fill="E5F6F8"/>
          </w:tcPr>
          <w:p>
            <w:pPr>
              <w:jc w:val="right"/>
              <w:spacing w:after="0"/>
              <w:rPr>
                <w:sz w:val="20"/>
                <w:szCs w:val="20"/>
                <w:color w:val="auto"/>
              </w:rPr>
            </w:pPr>
            <w:r>
              <w:rPr>
                <w:rFonts w:ascii="Arial" w:cs="Arial" w:eastAsia="Arial" w:hAnsi="Arial"/>
                <w:sz w:val="14"/>
                <w:szCs w:val="14"/>
                <w:color w:val="4C4C4C"/>
              </w:rPr>
              <w:t>$</w:t>
            </w:r>
          </w:p>
        </w:tc>
        <w:tc>
          <w:tcPr>
            <w:tcW w:w="760" w:type="dxa"/>
            <w:vAlign w:val="bottom"/>
            <w:vMerge w:val="restart"/>
            <w:shd w:val="clear" w:color="auto" w:fill="E5F6F8"/>
          </w:tcPr>
          <w:p>
            <w:pPr>
              <w:jc w:val="right"/>
              <w:ind w:right="56"/>
              <w:spacing w:after="0"/>
              <w:rPr>
                <w:sz w:val="20"/>
                <w:szCs w:val="20"/>
                <w:color w:val="auto"/>
              </w:rPr>
            </w:pPr>
            <w:r>
              <w:rPr>
                <w:rFonts w:ascii="Arial" w:cs="Arial" w:eastAsia="Arial" w:hAnsi="Arial"/>
                <w:sz w:val="14"/>
                <w:szCs w:val="14"/>
                <w:color w:val="4C4C4C"/>
              </w:rPr>
              <w:t>691,032</w:t>
            </w:r>
          </w:p>
        </w:tc>
        <w:tc>
          <w:tcPr>
            <w:tcW w:w="0" w:type="dxa"/>
            <w:vAlign w:val="bottom"/>
          </w:tcPr>
          <w:p>
            <w:pPr>
              <w:spacing w:after="0"/>
              <w:rPr>
                <w:sz w:val="1"/>
                <w:szCs w:val="1"/>
                <w:color w:val="auto"/>
              </w:rPr>
            </w:pPr>
          </w:p>
        </w:tc>
      </w:tr>
      <w:tr>
        <w:trPr>
          <w:trHeight w:val="91"/>
        </w:trPr>
        <w:tc>
          <w:tcPr>
            <w:tcW w:w="3160" w:type="dxa"/>
            <w:vAlign w:val="bottom"/>
            <w:shd w:val="clear" w:color="auto" w:fill="E5F6F8"/>
          </w:tcPr>
          <w:p>
            <w:pPr>
              <w:spacing w:after="0"/>
              <w:rPr>
                <w:sz w:val="7"/>
                <w:szCs w:val="7"/>
                <w:color w:val="auto"/>
              </w:rPr>
            </w:pPr>
          </w:p>
        </w:tc>
        <w:tc>
          <w:tcPr>
            <w:tcW w:w="820" w:type="dxa"/>
            <w:vAlign w:val="bottom"/>
            <w:vMerge w:val="restart"/>
            <w:shd w:val="clear" w:color="auto" w:fill="E5F6F8"/>
          </w:tcPr>
          <w:p>
            <w:pPr>
              <w:jc w:val="center"/>
              <w:ind w:left="29"/>
              <w:spacing w:after="0" w:line="157" w:lineRule="exact"/>
              <w:rPr>
                <w:sz w:val="20"/>
                <w:szCs w:val="20"/>
                <w:color w:val="auto"/>
              </w:rPr>
            </w:pPr>
            <w:r>
              <w:rPr>
                <w:rFonts w:ascii="Arial" w:cs="Arial" w:eastAsia="Arial" w:hAnsi="Arial"/>
                <w:sz w:val="14"/>
                <w:szCs w:val="14"/>
                <w:color w:val="4C4C4C"/>
              </w:rPr>
              <w:t>(PSU)</w:t>
            </w:r>
          </w:p>
        </w:tc>
        <w:tc>
          <w:tcPr>
            <w:tcW w:w="860" w:type="dxa"/>
            <w:vAlign w:val="bottom"/>
            <w:shd w:val="clear" w:color="auto" w:fill="E5F6F8"/>
          </w:tcPr>
          <w:p>
            <w:pPr>
              <w:spacing w:after="0"/>
              <w:rPr>
                <w:sz w:val="7"/>
                <w:szCs w:val="7"/>
                <w:color w:val="auto"/>
              </w:rPr>
            </w:pPr>
          </w:p>
        </w:tc>
        <w:tc>
          <w:tcPr>
            <w:tcW w:w="1100" w:type="dxa"/>
            <w:vAlign w:val="bottom"/>
            <w:shd w:val="clear" w:color="auto" w:fill="E5F6F8"/>
          </w:tcPr>
          <w:p>
            <w:pPr>
              <w:spacing w:after="0"/>
              <w:rPr>
                <w:sz w:val="7"/>
                <w:szCs w:val="7"/>
                <w:color w:val="auto"/>
              </w:rPr>
            </w:pPr>
          </w:p>
        </w:tc>
        <w:tc>
          <w:tcPr>
            <w:tcW w:w="680" w:type="dxa"/>
            <w:vAlign w:val="bottom"/>
            <w:shd w:val="clear" w:color="auto" w:fill="E5F6F8"/>
          </w:tcPr>
          <w:p>
            <w:pPr>
              <w:spacing w:after="0"/>
              <w:rPr>
                <w:sz w:val="7"/>
                <w:szCs w:val="7"/>
                <w:color w:val="auto"/>
              </w:rPr>
            </w:pPr>
          </w:p>
        </w:tc>
        <w:tc>
          <w:tcPr>
            <w:tcW w:w="880" w:type="dxa"/>
            <w:vAlign w:val="bottom"/>
            <w:shd w:val="clear" w:color="auto" w:fill="E5F6F8"/>
          </w:tcPr>
          <w:p>
            <w:pPr>
              <w:spacing w:after="0"/>
              <w:rPr>
                <w:sz w:val="7"/>
                <w:szCs w:val="7"/>
                <w:color w:val="auto"/>
              </w:rPr>
            </w:pPr>
          </w:p>
        </w:tc>
        <w:tc>
          <w:tcPr>
            <w:tcW w:w="700" w:type="dxa"/>
            <w:vAlign w:val="bottom"/>
            <w:shd w:val="clear" w:color="auto" w:fill="E5F6F8"/>
          </w:tcPr>
          <w:p>
            <w:pPr>
              <w:spacing w:after="0"/>
              <w:rPr>
                <w:sz w:val="7"/>
                <w:szCs w:val="7"/>
                <w:color w:val="auto"/>
              </w:rPr>
            </w:pPr>
          </w:p>
        </w:tc>
        <w:tc>
          <w:tcPr>
            <w:tcW w:w="200" w:type="dxa"/>
            <w:vAlign w:val="bottom"/>
            <w:shd w:val="clear" w:color="auto" w:fill="E5F6F8"/>
          </w:tcPr>
          <w:p>
            <w:pPr>
              <w:spacing w:after="0"/>
              <w:rPr>
                <w:sz w:val="7"/>
                <w:szCs w:val="7"/>
                <w:color w:val="auto"/>
              </w:rPr>
            </w:pPr>
          </w:p>
        </w:tc>
        <w:tc>
          <w:tcPr>
            <w:tcW w:w="740" w:type="dxa"/>
            <w:vAlign w:val="bottom"/>
            <w:shd w:val="clear" w:color="auto" w:fill="E5F6F8"/>
          </w:tcPr>
          <w:p>
            <w:pPr>
              <w:spacing w:after="0"/>
              <w:rPr>
                <w:sz w:val="7"/>
                <w:szCs w:val="7"/>
                <w:color w:val="auto"/>
              </w:rPr>
            </w:pPr>
          </w:p>
        </w:tc>
        <w:tc>
          <w:tcPr>
            <w:tcW w:w="920" w:type="dxa"/>
            <w:vAlign w:val="bottom"/>
            <w:vMerge w:val="continue"/>
            <w:shd w:val="clear" w:color="auto" w:fill="E5F6F8"/>
          </w:tcPr>
          <w:p>
            <w:pPr>
              <w:spacing w:after="0"/>
              <w:rPr>
                <w:sz w:val="7"/>
                <w:szCs w:val="7"/>
                <w:color w:val="auto"/>
              </w:rPr>
            </w:pPr>
          </w:p>
        </w:tc>
        <w:tc>
          <w:tcPr>
            <w:tcW w:w="200" w:type="dxa"/>
            <w:vAlign w:val="bottom"/>
            <w:vMerge w:val="continue"/>
            <w:shd w:val="clear" w:color="auto" w:fill="E5F6F8"/>
          </w:tcPr>
          <w:p>
            <w:pPr>
              <w:spacing w:after="0"/>
              <w:rPr>
                <w:sz w:val="7"/>
                <w:szCs w:val="7"/>
                <w:color w:val="auto"/>
              </w:rPr>
            </w:pPr>
          </w:p>
        </w:tc>
        <w:tc>
          <w:tcPr>
            <w:tcW w:w="760" w:type="dxa"/>
            <w:vAlign w:val="bottom"/>
            <w:vMerge w:val="continue"/>
            <w:shd w:val="clear" w:color="auto" w:fill="E5F6F8"/>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bottom w:val="single" w:sz="8" w:color="4C4C4C"/>
            </w:tcBorders>
            <w:shd w:val="clear" w:color="auto" w:fill="E5F6F8"/>
          </w:tcPr>
          <w:p>
            <w:pPr>
              <w:spacing w:after="0"/>
              <w:rPr>
                <w:sz w:val="5"/>
                <w:szCs w:val="5"/>
                <w:color w:val="auto"/>
              </w:rPr>
            </w:pPr>
          </w:p>
        </w:tc>
        <w:tc>
          <w:tcPr>
            <w:tcW w:w="820" w:type="dxa"/>
            <w:vAlign w:val="bottom"/>
            <w:tcBorders>
              <w:bottom w:val="single" w:sz="8" w:color="4C4C4C"/>
            </w:tcBorders>
            <w:vMerge w:val="continue"/>
            <w:shd w:val="clear" w:color="auto" w:fill="E5F6F8"/>
          </w:tcPr>
          <w:p>
            <w:pPr>
              <w:spacing w:after="0"/>
              <w:rPr>
                <w:sz w:val="5"/>
                <w:szCs w:val="5"/>
                <w:color w:val="auto"/>
              </w:rPr>
            </w:pPr>
          </w:p>
        </w:tc>
        <w:tc>
          <w:tcPr>
            <w:tcW w:w="860" w:type="dxa"/>
            <w:vAlign w:val="bottom"/>
            <w:tcBorders>
              <w:bottom w:val="single" w:sz="8" w:color="4C4C4C"/>
            </w:tcBorders>
            <w:shd w:val="clear" w:color="auto" w:fill="E5F6F8"/>
          </w:tcPr>
          <w:p>
            <w:pPr>
              <w:spacing w:after="0"/>
              <w:rPr>
                <w:sz w:val="5"/>
                <w:szCs w:val="5"/>
                <w:color w:val="auto"/>
              </w:rPr>
            </w:pPr>
          </w:p>
        </w:tc>
        <w:tc>
          <w:tcPr>
            <w:tcW w:w="1100" w:type="dxa"/>
            <w:vAlign w:val="bottom"/>
            <w:tcBorders>
              <w:bottom w:val="single" w:sz="8" w:color="4C4C4C"/>
            </w:tcBorders>
            <w:shd w:val="clear" w:color="auto" w:fill="E5F6F8"/>
          </w:tcPr>
          <w:p>
            <w:pPr>
              <w:spacing w:after="0"/>
              <w:rPr>
                <w:sz w:val="5"/>
                <w:szCs w:val="5"/>
                <w:color w:val="auto"/>
              </w:rPr>
            </w:pPr>
          </w:p>
        </w:tc>
        <w:tc>
          <w:tcPr>
            <w:tcW w:w="680" w:type="dxa"/>
            <w:vAlign w:val="bottom"/>
            <w:tcBorders>
              <w:bottom w:val="single" w:sz="8" w:color="4C4C4C"/>
            </w:tcBorders>
            <w:shd w:val="clear" w:color="auto" w:fill="E5F6F8"/>
          </w:tcPr>
          <w:p>
            <w:pPr>
              <w:spacing w:after="0"/>
              <w:rPr>
                <w:sz w:val="5"/>
                <w:szCs w:val="5"/>
                <w:color w:val="auto"/>
              </w:rPr>
            </w:pPr>
          </w:p>
        </w:tc>
        <w:tc>
          <w:tcPr>
            <w:tcW w:w="880" w:type="dxa"/>
            <w:vAlign w:val="bottom"/>
            <w:tcBorders>
              <w:bottom w:val="single" w:sz="8" w:color="4C4C4C"/>
            </w:tcBorders>
            <w:shd w:val="clear" w:color="auto" w:fill="E5F6F8"/>
          </w:tcPr>
          <w:p>
            <w:pPr>
              <w:spacing w:after="0"/>
              <w:rPr>
                <w:sz w:val="5"/>
                <w:szCs w:val="5"/>
                <w:color w:val="auto"/>
              </w:rPr>
            </w:pPr>
          </w:p>
        </w:tc>
        <w:tc>
          <w:tcPr>
            <w:tcW w:w="70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40" w:type="dxa"/>
            <w:vAlign w:val="bottom"/>
            <w:tcBorders>
              <w:bottom w:val="single" w:sz="8" w:color="4C4C4C"/>
            </w:tcBorders>
            <w:shd w:val="clear" w:color="auto" w:fill="E5F6F8"/>
          </w:tcPr>
          <w:p>
            <w:pPr>
              <w:spacing w:after="0"/>
              <w:rPr>
                <w:sz w:val="5"/>
                <w:szCs w:val="5"/>
                <w:color w:val="auto"/>
              </w:rPr>
            </w:pPr>
          </w:p>
        </w:tc>
        <w:tc>
          <w:tcPr>
            <w:tcW w:w="920" w:type="dxa"/>
            <w:vAlign w:val="bottom"/>
            <w:tcBorders>
              <w:bottom w:val="single" w:sz="8" w:color="4C4C4C"/>
            </w:tcBorders>
            <w:shd w:val="clear" w:color="auto" w:fill="E5F6F8"/>
          </w:tcPr>
          <w:p>
            <w:pPr>
              <w:spacing w:after="0"/>
              <w:rPr>
                <w:sz w:val="5"/>
                <w:szCs w:val="5"/>
                <w:color w:val="auto"/>
              </w:rPr>
            </w:pPr>
          </w:p>
        </w:tc>
        <w:tc>
          <w:tcPr>
            <w:tcW w:w="200" w:type="dxa"/>
            <w:vAlign w:val="bottom"/>
            <w:tcBorders>
              <w:bottom w:val="single" w:sz="8" w:color="4C4C4C"/>
            </w:tcBorders>
            <w:shd w:val="clear" w:color="auto" w:fill="E5F6F8"/>
          </w:tcPr>
          <w:p>
            <w:pPr>
              <w:spacing w:after="0"/>
              <w:rPr>
                <w:sz w:val="5"/>
                <w:szCs w:val="5"/>
                <w:color w:val="auto"/>
              </w:rPr>
            </w:pPr>
          </w:p>
        </w:tc>
        <w:tc>
          <w:tcPr>
            <w:tcW w:w="760" w:type="dxa"/>
            <w:vAlign w:val="bottom"/>
            <w:tcBorders>
              <w:bottom w:val="single" w:sz="8" w:color="4C4C4C"/>
            </w:tcBorders>
            <w:shd w:val="clear" w:color="auto" w:fill="E5F6F8"/>
          </w:tcPr>
          <w:p>
            <w:pPr>
              <w:spacing w:after="0"/>
              <w:rPr>
                <w:sz w:val="5"/>
                <w:szCs w:val="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69</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60" w:type="dxa"/>
            <w:vAlign w:val="bottom"/>
            <w:gridSpan w:val="2"/>
          </w:tcPr>
          <w:p>
            <w:pPr>
              <w:spacing w:after="0"/>
              <w:rPr>
                <w:sz w:val="20"/>
                <w:szCs w:val="20"/>
                <w:color w:val="auto"/>
              </w:rPr>
            </w:pPr>
            <w:r>
              <w:rPr>
                <w:rFonts w:ascii="Arial" w:cs="Arial" w:eastAsia="Arial" w:hAnsi="Arial"/>
                <w:sz w:val="13"/>
                <w:szCs w:val="13"/>
                <w:b w:val="1"/>
                <w:bCs w:val="1"/>
                <w:color w:val="00ADBB"/>
              </w:rPr>
              <w:t>Compensation Tables</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3"/>
          </w:tcPr>
          <w:p>
            <w:pPr>
              <w:ind w:left="240"/>
              <w:spacing w:after="0"/>
              <w:rPr>
                <w:sz w:val="20"/>
                <w:szCs w:val="20"/>
                <w:color w:val="auto"/>
              </w:rPr>
            </w:pPr>
            <w:r>
              <w:rPr>
                <w:rFonts w:ascii="Arial" w:cs="Arial" w:eastAsia="Arial" w:hAnsi="Arial"/>
                <w:sz w:val="13"/>
                <w:szCs w:val="13"/>
                <w:b w:val="1"/>
                <w:bCs w:val="1"/>
                <w:color w:val="00ADBB"/>
                <w:w w:val="96"/>
              </w:rPr>
              <w:t>Brighthouse Financial, Inc.</w:t>
            </w:r>
          </w:p>
        </w:tc>
        <w:tc>
          <w:tcPr>
            <w:tcW w:w="0" w:type="dxa"/>
            <w:vAlign w:val="bottom"/>
          </w:tcPr>
          <w:p>
            <w:pPr>
              <w:spacing w:after="0"/>
              <w:rPr>
                <w:sz w:val="1"/>
                <w:szCs w:val="1"/>
                <w:color w:val="auto"/>
              </w:rPr>
            </w:pPr>
          </w:p>
        </w:tc>
      </w:tr>
      <w:tr>
        <w:trPr>
          <w:trHeight w:val="168"/>
        </w:trPr>
        <w:tc>
          <w:tcPr>
            <w:tcW w:w="3460" w:type="dxa"/>
            <w:vAlign w:val="bottom"/>
            <w:gridSpan w:val="2"/>
          </w:tcPr>
          <w:p>
            <w:pPr>
              <w:spacing w:after="0"/>
              <w:rPr>
                <w:sz w:val="20"/>
                <w:szCs w:val="20"/>
                <w:color w:val="auto"/>
              </w:rPr>
            </w:pPr>
            <w:r>
              <w:rPr>
                <w:rFonts w:ascii="Arial" w:cs="Arial" w:eastAsia="Arial" w:hAnsi="Arial"/>
                <w:sz w:val="13"/>
                <w:szCs w:val="13"/>
                <w:b w:val="1"/>
                <w:bCs w:val="1"/>
                <w:color w:val="00ADBB"/>
              </w:rPr>
              <w:t>Outstanding Equity Awards at 2020 Fiscal Year-End</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3300" w:type="dxa"/>
            <w:vAlign w:val="bottom"/>
            <w:shd w:val="clear" w:color="auto" w:fill="00ADBB"/>
          </w:tcPr>
          <w:p>
            <w:pPr>
              <w:spacing w:after="0"/>
              <w:rPr>
                <w:sz w:val="18"/>
                <w:szCs w:val="18"/>
                <w:color w:val="auto"/>
              </w:rPr>
            </w:pPr>
          </w:p>
        </w:tc>
        <w:tc>
          <w:tcPr>
            <w:tcW w:w="800" w:type="dxa"/>
            <w:vAlign w:val="bottom"/>
            <w:shd w:val="clear" w:color="auto" w:fill="00ADBB"/>
          </w:tcPr>
          <w:p>
            <w:pPr>
              <w:spacing w:after="0"/>
              <w:rPr>
                <w:sz w:val="18"/>
                <w:szCs w:val="18"/>
                <w:color w:val="auto"/>
              </w:rPr>
            </w:pPr>
          </w:p>
        </w:tc>
        <w:tc>
          <w:tcPr>
            <w:tcW w:w="840" w:type="dxa"/>
            <w:vAlign w:val="bottom"/>
            <w:shd w:val="clear" w:color="auto" w:fill="00ADBB"/>
          </w:tcPr>
          <w:p>
            <w:pPr>
              <w:spacing w:after="0"/>
              <w:rPr>
                <w:sz w:val="18"/>
                <w:szCs w:val="18"/>
                <w:color w:val="auto"/>
              </w:rPr>
            </w:pPr>
          </w:p>
        </w:tc>
        <w:tc>
          <w:tcPr>
            <w:tcW w:w="1740" w:type="dxa"/>
            <w:vAlign w:val="bottom"/>
            <w:gridSpan w:val="2"/>
            <w:shd w:val="clear" w:color="auto" w:fill="00ADBB"/>
          </w:tcPr>
          <w:p>
            <w:pPr>
              <w:ind w:left="500"/>
              <w:spacing w:after="0"/>
              <w:rPr>
                <w:sz w:val="20"/>
                <w:szCs w:val="20"/>
                <w:color w:val="auto"/>
              </w:rPr>
            </w:pPr>
            <w:r>
              <w:rPr>
                <w:rFonts w:ascii="Arial" w:cs="Arial" w:eastAsia="Arial" w:hAnsi="Arial"/>
                <w:sz w:val="11"/>
                <w:szCs w:val="11"/>
                <w:b w:val="1"/>
                <w:bCs w:val="1"/>
                <w:color w:val="FFFFFF"/>
              </w:rPr>
              <w:t>Option Awards</w:t>
            </w:r>
          </w:p>
        </w:tc>
        <w:tc>
          <w:tcPr>
            <w:tcW w:w="840" w:type="dxa"/>
            <w:vAlign w:val="bottom"/>
            <w:shd w:val="clear" w:color="auto" w:fill="00ADBB"/>
          </w:tcPr>
          <w:p>
            <w:pPr>
              <w:spacing w:after="0"/>
              <w:rPr>
                <w:sz w:val="18"/>
                <w:szCs w:val="18"/>
                <w:color w:val="auto"/>
              </w:rPr>
            </w:pPr>
          </w:p>
        </w:tc>
        <w:tc>
          <w:tcPr>
            <w:tcW w:w="680" w:type="dxa"/>
            <w:vAlign w:val="bottom"/>
            <w:shd w:val="clear" w:color="auto" w:fill="00ADBB"/>
          </w:tcPr>
          <w:p>
            <w:pPr>
              <w:spacing w:after="0"/>
              <w:rPr>
                <w:sz w:val="18"/>
                <w:szCs w:val="18"/>
                <w:color w:val="auto"/>
              </w:rPr>
            </w:pPr>
          </w:p>
        </w:tc>
        <w:tc>
          <w:tcPr>
            <w:tcW w:w="180" w:type="dxa"/>
            <w:vAlign w:val="bottom"/>
            <w:shd w:val="clear" w:color="auto" w:fill="00ADBB"/>
          </w:tcPr>
          <w:p>
            <w:pPr>
              <w:spacing w:after="0"/>
              <w:rPr>
                <w:sz w:val="18"/>
                <w:szCs w:val="18"/>
                <w:color w:val="auto"/>
              </w:rPr>
            </w:pPr>
          </w:p>
        </w:tc>
        <w:tc>
          <w:tcPr>
            <w:tcW w:w="1500" w:type="dxa"/>
            <w:vAlign w:val="bottom"/>
            <w:gridSpan w:val="2"/>
            <w:shd w:val="clear" w:color="auto" w:fill="00ADBB"/>
          </w:tcPr>
          <w:p>
            <w:pPr>
              <w:jc w:val="right"/>
              <w:ind w:right="363"/>
              <w:spacing w:after="0"/>
              <w:rPr>
                <w:sz w:val="20"/>
                <w:szCs w:val="20"/>
                <w:color w:val="auto"/>
              </w:rPr>
            </w:pPr>
            <w:r>
              <w:rPr>
                <w:rFonts w:ascii="Arial" w:cs="Arial" w:eastAsia="Arial" w:hAnsi="Arial"/>
                <w:sz w:val="11"/>
                <w:szCs w:val="11"/>
                <w:b w:val="1"/>
                <w:bCs w:val="1"/>
                <w:color w:val="FFFFFF"/>
              </w:rPr>
              <w:t>Stock Awards</w:t>
            </w:r>
          </w:p>
        </w:tc>
        <w:tc>
          <w:tcPr>
            <w:tcW w:w="800" w:type="dxa"/>
            <w:vAlign w:val="bottom"/>
            <w:shd w:val="clear" w:color="auto" w:fill="00ADBB"/>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300" w:type="dxa"/>
            <w:vAlign w:val="bottom"/>
            <w:shd w:val="clear" w:color="auto" w:fill="00ADBB"/>
          </w:tcPr>
          <w:p>
            <w:pPr>
              <w:spacing w:after="0"/>
              <w:rPr>
                <w:sz w:val="17"/>
                <w:szCs w:val="17"/>
                <w:color w:val="auto"/>
              </w:rPr>
            </w:pPr>
          </w:p>
        </w:tc>
        <w:tc>
          <w:tcPr>
            <w:tcW w:w="800" w:type="dxa"/>
            <w:vAlign w:val="bottom"/>
            <w:shd w:val="clear" w:color="auto" w:fill="00ADBB"/>
          </w:tcPr>
          <w:p>
            <w:pPr>
              <w:spacing w:after="0"/>
              <w:rPr>
                <w:sz w:val="17"/>
                <w:szCs w:val="17"/>
                <w:color w:val="auto"/>
              </w:rPr>
            </w:pPr>
          </w:p>
        </w:tc>
        <w:tc>
          <w:tcPr>
            <w:tcW w:w="840" w:type="dxa"/>
            <w:vAlign w:val="bottom"/>
            <w:shd w:val="clear" w:color="auto" w:fill="00ADBB"/>
          </w:tcPr>
          <w:p>
            <w:pPr>
              <w:spacing w:after="0"/>
              <w:rPr>
                <w:sz w:val="17"/>
                <w:szCs w:val="17"/>
                <w:color w:val="auto"/>
              </w:rPr>
            </w:pPr>
          </w:p>
        </w:tc>
        <w:tc>
          <w:tcPr>
            <w:tcW w:w="1080" w:type="dxa"/>
            <w:vAlign w:val="bottom"/>
            <w:shd w:val="clear" w:color="auto" w:fill="00ADBB"/>
          </w:tcPr>
          <w:p>
            <w:pPr>
              <w:spacing w:after="0"/>
              <w:rPr>
                <w:sz w:val="17"/>
                <w:szCs w:val="17"/>
                <w:color w:val="auto"/>
              </w:rPr>
            </w:pPr>
          </w:p>
        </w:tc>
        <w:tc>
          <w:tcPr>
            <w:tcW w:w="660" w:type="dxa"/>
            <w:vAlign w:val="bottom"/>
            <w:shd w:val="clear" w:color="auto" w:fill="00ADBB"/>
          </w:tcPr>
          <w:p>
            <w:pPr>
              <w:spacing w:after="0"/>
              <w:rPr>
                <w:sz w:val="17"/>
                <w:szCs w:val="17"/>
                <w:color w:val="auto"/>
              </w:rPr>
            </w:pPr>
          </w:p>
        </w:tc>
        <w:tc>
          <w:tcPr>
            <w:tcW w:w="840" w:type="dxa"/>
            <w:vAlign w:val="bottom"/>
            <w:shd w:val="clear" w:color="auto" w:fill="00ADBB"/>
          </w:tcPr>
          <w:p>
            <w:pPr>
              <w:spacing w:after="0"/>
              <w:rPr>
                <w:sz w:val="17"/>
                <w:szCs w:val="17"/>
                <w:color w:val="auto"/>
              </w:rPr>
            </w:pPr>
          </w:p>
        </w:tc>
        <w:tc>
          <w:tcPr>
            <w:tcW w:w="680" w:type="dxa"/>
            <w:vAlign w:val="bottom"/>
            <w:shd w:val="clear" w:color="auto" w:fill="00ADBB"/>
          </w:tcPr>
          <w:p>
            <w:pPr>
              <w:spacing w:after="0"/>
              <w:rPr>
                <w:sz w:val="17"/>
                <w:szCs w:val="17"/>
                <w:color w:val="auto"/>
              </w:rPr>
            </w:pPr>
          </w:p>
        </w:tc>
        <w:tc>
          <w:tcPr>
            <w:tcW w:w="180" w:type="dxa"/>
            <w:vAlign w:val="bottom"/>
            <w:shd w:val="clear" w:color="auto" w:fill="00ADBB"/>
          </w:tcPr>
          <w:p>
            <w:pPr>
              <w:spacing w:after="0"/>
              <w:rPr>
                <w:sz w:val="17"/>
                <w:szCs w:val="17"/>
                <w:color w:val="auto"/>
              </w:rPr>
            </w:pPr>
          </w:p>
        </w:tc>
        <w:tc>
          <w:tcPr>
            <w:tcW w:w="620" w:type="dxa"/>
            <w:vAlign w:val="bottom"/>
            <w:shd w:val="clear" w:color="auto" w:fill="00ADBB"/>
          </w:tcPr>
          <w:p>
            <w:pPr>
              <w:spacing w:after="0"/>
              <w:rPr>
                <w:sz w:val="17"/>
                <w:szCs w:val="17"/>
                <w:color w:val="auto"/>
              </w:rPr>
            </w:pPr>
          </w:p>
        </w:tc>
        <w:tc>
          <w:tcPr>
            <w:tcW w:w="880" w:type="dxa"/>
            <w:vAlign w:val="bottom"/>
            <w:shd w:val="clear" w:color="auto" w:fill="00ADBB"/>
          </w:tcPr>
          <w:p>
            <w:pPr>
              <w:spacing w:after="0"/>
              <w:rPr>
                <w:sz w:val="17"/>
                <w:szCs w:val="17"/>
                <w:color w:val="auto"/>
              </w:rPr>
            </w:pPr>
          </w:p>
        </w:tc>
        <w:tc>
          <w:tcPr>
            <w:tcW w:w="8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Incentive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4"/>
              </w:rPr>
              <w:t>Plan</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spacing w:after="0"/>
              <w:rPr>
                <w:sz w:val="10"/>
                <w:szCs w:val="10"/>
                <w:color w:val="auto"/>
              </w:rPr>
            </w:pP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spacing w:after="0"/>
              <w:rPr>
                <w:sz w:val="10"/>
                <w:szCs w:val="10"/>
                <w:color w:val="auto"/>
              </w:rPr>
            </w:pP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Equity</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Market or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3300" w:type="dxa"/>
            <w:vAlign w:val="bottom"/>
            <w:shd w:val="clear" w:color="auto" w:fill="00ADBB"/>
          </w:tcPr>
          <w:p>
            <w:pPr>
              <w:spacing w:after="0"/>
              <w:rPr>
                <w:sz w:val="11"/>
                <w:szCs w:val="11"/>
                <w:color w:val="auto"/>
              </w:rPr>
            </w:pPr>
          </w:p>
        </w:tc>
        <w:tc>
          <w:tcPr>
            <w:tcW w:w="800" w:type="dxa"/>
            <w:vAlign w:val="bottom"/>
            <w:shd w:val="clear" w:color="auto" w:fill="00ADBB"/>
          </w:tcPr>
          <w:p>
            <w:pPr>
              <w:spacing w:after="0"/>
              <w:rPr>
                <w:sz w:val="11"/>
                <w:szCs w:val="11"/>
                <w:color w:val="auto"/>
              </w:rPr>
            </w:pPr>
          </w:p>
        </w:tc>
        <w:tc>
          <w:tcPr>
            <w:tcW w:w="840" w:type="dxa"/>
            <w:vAlign w:val="bottom"/>
            <w:shd w:val="clear" w:color="auto" w:fill="00ADBB"/>
          </w:tcPr>
          <w:p>
            <w:pPr>
              <w:spacing w:after="0"/>
              <w:rPr>
                <w:sz w:val="11"/>
                <w:szCs w:val="11"/>
                <w:color w:val="auto"/>
              </w:rPr>
            </w:pPr>
          </w:p>
        </w:tc>
        <w:tc>
          <w:tcPr>
            <w:tcW w:w="1080" w:type="dxa"/>
            <w:vAlign w:val="bottom"/>
            <w:shd w:val="clear" w:color="auto" w:fill="00ADBB"/>
          </w:tcPr>
          <w:p>
            <w:pPr>
              <w:spacing w:after="0"/>
              <w:rPr>
                <w:sz w:val="11"/>
                <w:szCs w:val="11"/>
                <w:color w:val="auto"/>
              </w:rPr>
            </w:pPr>
          </w:p>
        </w:tc>
        <w:tc>
          <w:tcPr>
            <w:tcW w:w="660" w:type="dxa"/>
            <w:vAlign w:val="bottom"/>
            <w:shd w:val="clear" w:color="auto" w:fill="00ADBB"/>
          </w:tcPr>
          <w:p>
            <w:pPr>
              <w:spacing w:after="0"/>
              <w:rPr>
                <w:sz w:val="11"/>
                <w:szCs w:val="11"/>
                <w:color w:val="auto"/>
              </w:rPr>
            </w:pPr>
          </w:p>
        </w:tc>
        <w:tc>
          <w:tcPr>
            <w:tcW w:w="840" w:type="dxa"/>
            <w:vAlign w:val="bottom"/>
            <w:shd w:val="clear" w:color="auto" w:fill="00ADBB"/>
          </w:tcPr>
          <w:p>
            <w:pPr>
              <w:spacing w:after="0"/>
              <w:rPr>
                <w:sz w:val="11"/>
                <w:szCs w:val="11"/>
                <w:color w:val="auto"/>
              </w:rPr>
            </w:pPr>
          </w:p>
        </w:tc>
        <w:tc>
          <w:tcPr>
            <w:tcW w:w="6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Number</w:t>
            </w:r>
          </w:p>
        </w:tc>
        <w:tc>
          <w:tcPr>
            <w:tcW w:w="180" w:type="dxa"/>
            <w:vAlign w:val="bottom"/>
            <w:shd w:val="clear" w:color="auto" w:fill="00ADBB"/>
          </w:tcPr>
          <w:p>
            <w:pPr>
              <w:spacing w:after="0"/>
              <w:rPr>
                <w:sz w:val="11"/>
                <w:szCs w:val="11"/>
                <w:color w:val="auto"/>
              </w:rPr>
            </w:pPr>
          </w:p>
        </w:tc>
        <w:tc>
          <w:tcPr>
            <w:tcW w:w="620" w:type="dxa"/>
            <w:vAlign w:val="bottom"/>
            <w:shd w:val="clear" w:color="auto" w:fill="00ADBB"/>
          </w:tcPr>
          <w:p>
            <w:pPr>
              <w:spacing w:after="0"/>
              <w:rPr>
                <w:sz w:val="11"/>
                <w:szCs w:val="11"/>
                <w:color w:val="auto"/>
              </w:rPr>
            </w:pPr>
          </w:p>
        </w:tc>
        <w:tc>
          <w:tcPr>
            <w:tcW w:w="8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rPr>
              <w:t>Incentive</w:t>
            </w:r>
          </w:p>
        </w:tc>
        <w:tc>
          <w:tcPr>
            <w:tcW w:w="8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8"/>
              </w:rPr>
              <w:t>Payout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of</w:t>
            </w: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Plan Awards:</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Value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7"/>
              </w:rPr>
              <w:t>Shares</w:t>
            </w: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8"/>
              </w:rPr>
              <w:t>Number of</w:t>
            </w:r>
          </w:p>
        </w:tc>
        <w:tc>
          <w:tcPr>
            <w:tcW w:w="8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5"/>
              </w:rPr>
              <w:t>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1080" w:type="dxa"/>
            <w:vAlign w:val="bottom"/>
            <w:shd w:val="clear" w:color="auto" w:fill="00ADBB"/>
          </w:tcPr>
          <w:p>
            <w:pPr>
              <w:spacing w:after="0"/>
              <w:rPr>
                <w:sz w:val="10"/>
                <w:szCs w:val="10"/>
                <w:color w:val="auto"/>
              </w:rPr>
            </w:pP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rPr>
              <w:t>or</w:t>
            </w: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spacing w:after="0"/>
              <w:rPr>
                <w:sz w:val="10"/>
                <w:szCs w:val="10"/>
                <w:color w:val="auto"/>
              </w:rPr>
            </w:pPr>
          </w:p>
        </w:tc>
        <w:tc>
          <w:tcPr>
            <w:tcW w:w="88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8"/>
              </w:rPr>
              <w:t>Unearned</w:t>
            </w:r>
          </w:p>
        </w:tc>
        <w:tc>
          <w:tcPr>
            <w:tcW w:w="800" w:type="dxa"/>
            <w:vAlign w:val="bottom"/>
            <w:shd w:val="clear" w:color="auto" w:fill="00ADBB"/>
          </w:tcPr>
          <w:p>
            <w:pPr>
              <w:jc w:val="center"/>
              <w:spacing w:after="0" w:line="119" w:lineRule="exact"/>
              <w:rPr>
                <w:sz w:val="20"/>
                <w:szCs w:val="20"/>
                <w:color w:val="auto"/>
              </w:rPr>
            </w:pPr>
            <w:r>
              <w:rPr>
                <w:rFonts w:ascii="Arial" w:cs="Arial" w:eastAsia="Arial" w:hAnsi="Arial"/>
                <w:sz w:val="11"/>
                <w:szCs w:val="11"/>
                <w:b w:val="1"/>
                <w:bCs w:val="1"/>
                <w:color w:val="FFFFFF"/>
                <w:w w:val="98"/>
              </w:rPr>
              <w:t>Unearned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0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Units of</w:t>
            </w: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jc w:val="center"/>
              <w:ind w:right="116"/>
              <w:spacing w:after="0" w:line="122" w:lineRule="exact"/>
              <w:rPr>
                <w:sz w:val="20"/>
                <w:szCs w:val="20"/>
                <w:color w:val="auto"/>
              </w:rPr>
            </w:pPr>
            <w:r>
              <w:rPr>
                <w:rFonts w:ascii="Arial" w:cs="Arial" w:eastAsia="Arial" w:hAnsi="Arial"/>
                <w:sz w:val="11"/>
                <w:szCs w:val="11"/>
                <w:b w:val="1"/>
                <w:bCs w:val="1"/>
                <w:color w:val="FFFFFF"/>
              </w:rPr>
              <w:t>Market</w:t>
            </w: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Shares,</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Shares,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10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3"/>
              </w:rPr>
              <w:t>Stock</w:t>
            </w:r>
          </w:p>
        </w:tc>
        <w:tc>
          <w:tcPr>
            <w:tcW w:w="180" w:type="dxa"/>
            <w:vAlign w:val="bottom"/>
            <w:shd w:val="clear" w:color="auto" w:fill="00ADBB"/>
          </w:tcPr>
          <w:p>
            <w:pPr>
              <w:spacing w:after="0"/>
              <w:rPr>
                <w:sz w:val="10"/>
                <w:szCs w:val="10"/>
                <w:color w:val="auto"/>
              </w:rPr>
            </w:pPr>
          </w:p>
        </w:tc>
        <w:tc>
          <w:tcPr>
            <w:tcW w:w="620" w:type="dxa"/>
            <w:vAlign w:val="bottom"/>
            <w:shd w:val="clear" w:color="auto" w:fill="00ADBB"/>
          </w:tcPr>
          <w:p>
            <w:pPr>
              <w:jc w:val="center"/>
              <w:ind w:right="116"/>
              <w:spacing w:after="0" w:line="122" w:lineRule="exact"/>
              <w:rPr>
                <w:sz w:val="20"/>
                <w:szCs w:val="20"/>
                <w:color w:val="auto"/>
              </w:rPr>
            </w:pPr>
            <w:r>
              <w:rPr>
                <w:rFonts w:ascii="Arial" w:cs="Arial" w:eastAsia="Arial" w:hAnsi="Arial"/>
                <w:sz w:val="11"/>
                <w:szCs w:val="11"/>
                <w:b w:val="1"/>
                <w:bCs w:val="1"/>
                <w:color w:val="FFFFFF"/>
                <w:w w:val="93"/>
              </w:rPr>
              <w:t>Value of</w:t>
            </w: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Units or</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Units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10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660" w:type="dxa"/>
            <w:vAlign w:val="bottom"/>
            <w:shd w:val="clear" w:color="auto" w:fill="00ADBB"/>
          </w:tcPr>
          <w:p>
            <w:pPr>
              <w:spacing w:after="0"/>
              <w:rPr>
                <w:sz w:val="10"/>
                <w:szCs w:val="10"/>
                <w:color w:val="auto"/>
              </w:rPr>
            </w:pPr>
          </w:p>
        </w:tc>
        <w:tc>
          <w:tcPr>
            <w:tcW w:w="840" w:type="dxa"/>
            <w:vAlign w:val="bottom"/>
            <w:shd w:val="clear" w:color="auto" w:fill="00ADBB"/>
          </w:tcPr>
          <w:p>
            <w:pPr>
              <w:spacing w:after="0"/>
              <w:rPr>
                <w:sz w:val="10"/>
                <w:szCs w:val="10"/>
                <w:color w:val="auto"/>
              </w:rPr>
            </w:pP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that</w:t>
            </w:r>
          </w:p>
        </w:tc>
        <w:tc>
          <w:tcPr>
            <w:tcW w:w="800" w:type="dxa"/>
            <w:vAlign w:val="bottom"/>
            <w:gridSpan w:val="2"/>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Shares or</w:t>
            </w: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Other</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6"/>
              </w:rPr>
              <w:t>or Other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3300" w:type="dxa"/>
            <w:vAlign w:val="bottom"/>
            <w:shd w:val="clear" w:color="auto" w:fill="00ADBB"/>
          </w:tcPr>
          <w:p>
            <w:pPr>
              <w:spacing w:after="0"/>
              <w:rPr>
                <w:sz w:val="10"/>
                <w:szCs w:val="10"/>
                <w:color w:val="auto"/>
              </w:rPr>
            </w:pPr>
          </w:p>
        </w:tc>
        <w:tc>
          <w:tcPr>
            <w:tcW w:w="800" w:type="dxa"/>
            <w:vAlign w:val="bottom"/>
            <w:shd w:val="clear" w:color="auto" w:fill="00ADBB"/>
          </w:tcPr>
          <w:p>
            <w:pPr>
              <w:spacing w:after="0"/>
              <w:rPr>
                <w:sz w:val="10"/>
                <w:szCs w:val="10"/>
                <w:color w:val="auto"/>
              </w:rPr>
            </w:pPr>
          </w:p>
        </w:tc>
        <w:tc>
          <w:tcPr>
            <w:tcW w:w="84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Unexercised</w:t>
            </w:r>
          </w:p>
        </w:tc>
        <w:tc>
          <w:tcPr>
            <w:tcW w:w="10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7"/>
              </w:rPr>
              <w:t>Unexercised</w:t>
            </w:r>
          </w:p>
        </w:tc>
        <w:tc>
          <w:tcPr>
            <w:tcW w:w="66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Option</w:t>
            </w:r>
          </w:p>
        </w:tc>
        <w:tc>
          <w:tcPr>
            <w:tcW w:w="84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5"/>
              </w:rPr>
              <w:t>Option</w:t>
            </w:r>
          </w:p>
        </w:tc>
        <w:tc>
          <w:tcPr>
            <w:tcW w:w="6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rPr>
              <w:t>Have Not</w:t>
            </w:r>
          </w:p>
        </w:tc>
        <w:tc>
          <w:tcPr>
            <w:tcW w:w="800" w:type="dxa"/>
            <w:vAlign w:val="bottom"/>
            <w:gridSpan w:val="2"/>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8"/>
              </w:rPr>
              <w:t>Units that</w:t>
            </w:r>
          </w:p>
        </w:tc>
        <w:tc>
          <w:tcPr>
            <w:tcW w:w="88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3"/>
              </w:rPr>
              <w:t>Rights</w:t>
            </w:r>
          </w:p>
        </w:tc>
        <w:tc>
          <w:tcPr>
            <w:tcW w:w="800" w:type="dxa"/>
            <w:vAlign w:val="bottom"/>
            <w:shd w:val="clear" w:color="auto" w:fill="00ADBB"/>
          </w:tcPr>
          <w:p>
            <w:pPr>
              <w:jc w:val="center"/>
              <w:spacing w:after="0" w:line="122" w:lineRule="exact"/>
              <w:rPr>
                <w:sz w:val="20"/>
                <w:szCs w:val="20"/>
                <w:color w:val="auto"/>
              </w:rPr>
            </w:pPr>
            <w:r>
              <w:rPr>
                <w:rFonts w:ascii="Arial" w:cs="Arial" w:eastAsia="Arial" w:hAnsi="Arial"/>
                <w:sz w:val="11"/>
                <w:szCs w:val="11"/>
                <w:b w:val="1"/>
                <w:bCs w:val="1"/>
                <w:color w:val="FFFFFF"/>
                <w:w w:val="99"/>
              </w:rPr>
              <w:t>Rights That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3300" w:type="dxa"/>
            <w:vAlign w:val="bottom"/>
            <w:vMerge w:val="restart"/>
            <w:shd w:val="clear" w:color="auto" w:fill="00ADBB"/>
          </w:tcPr>
          <w:p>
            <w:pPr>
              <w:ind w:left="260"/>
              <w:spacing w:after="0"/>
              <w:rPr>
                <w:sz w:val="20"/>
                <w:szCs w:val="20"/>
                <w:color w:val="auto"/>
              </w:rPr>
            </w:pPr>
            <w:r>
              <w:rPr>
                <w:rFonts w:ascii="Arial" w:cs="Arial" w:eastAsia="Arial" w:hAnsi="Arial"/>
                <w:sz w:val="11"/>
                <w:szCs w:val="11"/>
                <w:b w:val="1"/>
                <w:bCs w:val="1"/>
                <w:color w:val="FFFFFF"/>
              </w:rPr>
              <w:t>Name</w:t>
            </w:r>
          </w:p>
        </w:tc>
        <w:tc>
          <w:tcPr>
            <w:tcW w:w="8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5"/>
              </w:rPr>
              <w:t>Award Date /</w:t>
            </w:r>
          </w:p>
        </w:tc>
        <w:tc>
          <w:tcPr>
            <w:tcW w:w="84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Options</w:t>
            </w:r>
          </w:p>
        </w:tc>
        <w:tc>
          <w:tcPr>
            <w:tcW w:w="10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6"/>
              </w:rPr>
              <w:t>Options</w:t>
            </w:r>
          </w:p>
        </w:tc>
        <w:tc>
          <w:tcPr>
            <w:tcW w:w="66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Exercise</w:t>
            </w:r>
          </w:p>
        </w:tc>
        <w:tc>
          <w:tcPr>
            <w:tcW w:w="84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6"/>
              </w:rPr>
              <w:t>Expiration</w:t>
            </w:r>
          </w:p>
        </w:tc>
        <w:tc>
          <w:tcPr>
            <w:tcW w:w="6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9"/>
              </w:rPr>
              <w:t>Vested</w:t>
            </w:r>
          </w:p>
        </w:tc>
        <w:tc>
          <w:tcPr>
            <w:tcW w:w="800" w:type="dxa"/>
            <w:vAlign w:val="bottom"/>
            <w:gridSpan w:val="2"/>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rPr>
              <w:t>Have Not</w:t>
            </w:r>
          </w:p>
        </w:tc>
        <w:tc>
          <w:tcPr>
            <w:tcW w:w="88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8"/>
              </w:rPr>
              <w:t>That Have</w:t>
            </w:r>
          </w:p>
        </w:tc>
        <w:tc>
          <w:tcPr>
            <w:tcW w:w="800" w:type="dxa"/>
            <w:vAlign w:val="bottom"/>
            <w:shd w:val="clear" w:color="auto" w:fill="00ADBB"/>
          </w:tcPr>
          <w:p>
            <w:pPr>
              <w:jc w:val="center"/>
              <w:spacing w:after="0" w:line="125" w:lineRule="exact"/>
              <w:rPr>
                <w:sz w:val="20"/>
                <w:szCs w:val="20"/>
                <w:color w:val="auto"/>
              </w:rPr>
            </w:pPr>
            <w:r>
              <w:rPr>
                <w:rFonts w:ascii="Arial" w:cs="Arial" w:eastAsia="Arial" w:hAnsi="Arial"/>
                <w:sz w:val="11"/>
                <w:szCs w:val="11"/>
                <w:b w:val="1"/>
                <w:bCs w:val="1"/>
                <w:color w:val="FFFFFF"/>
                <w:w w:val="96"/>
              </w:rPr>
              <w:t>Have Not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3300" w:type="dxa"/>
            <w:vAlign w:val="bottom"/>
            <w:vMerge w:val="continue"/>
            <w:shd w:val="clear" w:color="auto" w:fill="00ADBB"/>
          </w:tcPr>
          <w:p>
            <w:pPr>
              <w:spacing w:after="0"/>
              <w:rPr>
                <w:sz w:val="12"/>
                <w:szCs w:val="12"/>
                <w:color w:val="auto"/>
              </w:rPr>
            </w:pPr>
          </w:p>
        </w:tc>
        <w:tc>
          <w:tcPr>
            <w:tcW w:w="8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Award Type</w:t>
            </w:r>
          </w:p>
        </w:tc>
        <w:tc>
          <w:tcPr>
            <w:tcW w:w="84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0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9"/>
              </w:rPr>
              <w:t xml:space="preserve">Unexercisable </w:t>
            </w:r>
            <w:r>
              <w:rPr>
                <w:rFonts w:ascii="Arial" w:cs="Arial" w:eastAsia="Arial" w:hAnsi="Arial"/>
                <w:sz w:val="9"/>
                <w:szCs w:val="9"/>
                <w:b w:val="1"/>
                <w:bCs w:val="1"/>
                <w:color w:val="FFFFFF"/>
                <w:w w:val="99"/>
              </w:rPr>
              <w:t>(1)</w:t>
            </w:r>
          </w:p>
        </w:tc>
        <w:tc>
          <w:tcPr>
            <w:tcW w:w="66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84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rPr>
              <w:t>Date</w:t>
            </w:r>
          </w:p>
        </w:tc>
        <w:tc>
          <w:tcPr>
            <w:tcW w:w="680" w:type="dxa"/>
            <w:vAlign w:val="bottom"/>
            <w:shd w:val="clear" w:color="auto" w:fill="00ADBB"/>
          </w:tcPr>
          <w:p>
            <w:pPr>
              <w:jc w:val="center"/>
              <w:spacing w:after="0"/>
              <w:rPr>
                <w:sz w:val="20"/>
                <w:szCs w:val="20"/>
                <w:color w:val="auto"/>
              </w:rPr>
            </w:pPr>
            <w:r>
              <w:rPr>
                <w:rFonts w:ascii="Arial" w:cs="Arial" w:eastAsia="Arial" w:hAnsi="Arial"/>
                <w:sz w:val="9"/>
                <w:szCs w:val="9"/>
                <w:b w:val="1"/>
                <w:bCs w:val="1"/>
                <w:color w:val="FFFFFF"/>
              </w:rPr>
              <w:t>(2)</w:t>
            </w:r>
          </w:p>
        </w:tc>
        <w:tc>
          <w:tcPr>
            <w:tcW w:w="800" w:type="dxa"/>
            <w:vAlign w:val="bottom"/>
            <w:gridSpan w:val="2"/>
            <w:shd w:val="clear" w:color="auto" w:fill="00ADBB"/>
          </w:tcPr>
          <w:p>
            <w:pPr>
              <w:jc w:val="center"/>
              <w:spacing w:after="0"/>
              <w:rPr>
                <w:sz w:val="20"/>
                <w:szCs w:val="20"/>
                <w:color w:val="auto"/>
              </w:rPr>
            </w:pPr>
            <w:r>
              <w:rPr>
                <w:rFonts w:ascii="Arial" w:cs="Arial" w:eastAsia="Arial" w:hAnsi="Arial"/>
                <w:sz w:val="11"/>
                <w:szCs w:val="11"/>
                <w:b w:val="1"/>
                <w:bCs w:val="1"/>
                <w:color w:val="FFFFFF"/>
                <w:w w:val="95"/>
              </w:rPr>
              <w:t xml:space="preserve">Vested </w:t>
            </w:r>
            <w:r>
              <w:rPr>
                <w:rFonts w:ascii="Arial" w:cs="Arial" w:eastAsia="Arial" w:hAnsi="Arial"/>
                <w:sz w:val="9"/>
                <w:szCs w:val="9"/>
                <w:b w:val="1"/>
                <w:bCs w:val="1"/>
                <w:color w:val="FFFFFF"/>
                <w:w w:val="95"/>
              </w:rPr>
              <w:t>(3)</w:t>
            </w:r>
          </w:p>
        </w:tc>
        <w:tc>
          <w:tcPr>
            <w:tcW w:w="88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7"/>
              </w:rPr>
              <w:t xml:space="preserve">Not Vested </w:t>
            </w:r>
            <w:r>
              <w:rPr>
                <w:rFonts w:ascii="Arial" w:cs="Arial" w:eastAsia="Arial" w:hAnsi="Arial"/>
                <w:sz w:val="9"/>
                <w:szCs w:val="9"/>
                <w:b w:val="1"/>
                <w:bCs w:val="1"/>
                <w:color w:val="FFFFFF"/>
                <w:w w:val="97"/>
              </w:rPr>
              <w:t>(4)</w:t>
            </w:r>
          </w:p>
        </w:tc>
        <w:tc>
          <w:tcPr>
            <w:tcW w:w="800" w:type="dxa"/>
            <w:vAlign w:val="bottom"/>
            <w:shd w:val="clear" w:color="auto" w:fill="00ADBB"/>
          </w:tcPr>
          <w:p>
            <w:pPr>
              <w:jc w:val="center"/>
              <w:spacing w:after="0"/>
              <w:rPr>
                <w:sz w:val="20"/>
                <w:szCs w:val="20"/>
                <w:color w:val="auto"/>
              </w:rPr>
            </w:pPr>
            <w:r>
              <w:rPr>
                <w:rFonts w:ascii="Arial" w:cs="Arial" w:eastAsia="Arial" w:hAnsi="Arial"/>
                <w:sz w:val="11"/>
                <w:szCs w:val="11"/>
                <w:b w:val="1"/>
                <w:bCs w:val="1"/>
                <w:color w:val="FFFFFF"/>
                <w:w w:val="95"/>
              </w:rPr>
              <w:t xml:space="preserve">Vested </w:t>
            </w:r>
            <w:r>
              <w:rPr>
                <w:rFonts w:ascii="Arial" w:cs="Arial" w:eastAsia="Arial" w:hAnsi="Arial"/>
                <w:sz w:val="9"/>
                <w:szCs w:val="9"/>
                <w:b w:val="1"/>
                <w:bCs w:val="1"/>
                <w:color w:val="FFFFFF"/>
                <w:w w:val="95"/>
              </w:rPr>
              <w:t>(5)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3300" w:type="dxa"/>
            <w:vAlign w:val="bottom"/>
            <w:shd w:val="clear" w:color="auto" w:fill="00ADBB"/>
          </w:tcPr>
          <w:p>
            <w:pPr>
              <w:spacing w:after="0"/>
              <w:rPr>
                <w:sz w:val="5"/>
                <w:szCs w:val="5"/>
                <w:color w:val="auto"/>
              </w:rPr>
            </w:pPr>
          </w:p>
        </w:tc>
        <w:tc>
          <w:tcPr>
            <w:tcW w:w="800" w:type="dxa"/>
            <w:vAlign w:val="bottom"/>
            <w:shd w:val="clear" w:color="auto" w:fill="00ADBB"/>
          </w:tcPr>
          <w:p>
            <w:pPr>
              <w:spacing w:after="0"/>
              <w:rPr>
                <w:sz w:val="5"/>
                <w:szCs w:val="5"/>
                <w:color w:val="auto"/>
              </w:rPr>
            </w:pPr>
          </w:p>
        </w:tc>
        <w:tc>
          <w:tcPr>
            <w:tcW w:w="840" w:type="dxa"/>
            <w:vAlign w:val="bottom"/>
            <w:shd w:val="clear" w:color="auto" w:fill="00ADBB"/>
          </w:tcPr>
          <w:p>
            <w:pPr>
              <w:spacing w:after="0"/>
              <w:rPr>
                <w:sz w:val="5"/>
                <w:szCs w:val="5"/>
                <w:color w:val="auto"/>
              </w:rPr>
            </w:pPr>
          </w:p>
        </w:tc>
        <w:tc>
          <w:tcPr>
            <w:tcW w:w="1080" w:type="dxa"/>
            <w:vAlign w:val="bottom"/>
            <w:shd w:val="clear" w:color="auto" w:fill="00ADBB"/>
          </w:tcPr>
          <w:p>
            <w:pPr>
              <w:spacing w:after="0"/>
              <w:rPr>
                <w:sz w:val="5"/>
                <w:szCs w:val="5"/>
                <w:color w:val="auto"/>
              </w:rPr>
            </w:pPr>
          </w:p>
        </w:tc>
        <w:tc>
          <w:tcPr>
            <w:tcW w:w="660" w:type="dxa"/>
            <w:vAlign w:val="bottom"/>
            <w:shd w:val="clear" w:color="auto" w:fill="00ADBB"/>
          </w:tcPr>
          <w:p>
            <w:pPr>
              <w:spacing w:after="0"/>
              <w:rPr>
                <w:sz w:val="5"/>
                <w:szCs w:val="5"/>
                <w:color w:val="auto"/>
              </w:rPr>
            </w:pPr>
          </w:p>
        </w:tc>
        <w:tc>
          <w:tcPr>
            <w:tcW w:w="840" w:type="dxa"/>
            <w:vAlign w:val="bottom"/>
            <w:shd w:val="clear" w:color="auto" w:fill="00ADBB"/>
          </w:tcPr>
          <w:p>
            <w:pPr>
              <w:spacing w:after="0"/>
              <w:rPr>
                <w:sz w:val="5"/>
                <w:szCs w:val="5"/>
                <w:color w:val="auto"/>
              </w:rPr>
            </w:pPr>
          </w:p>
        </w:tc>
        <w:tc>
          <w:tcPr>
            <w:tcW w:w="680" w:type="dxa"/>
            <w:vAlign w:val="bottom"/>
            <w:shd w:val="clear" w:color="auto" w:fill="00ADBB"/>
          </w:tcPr>
          <w:p>
            <w:pPr>
              <w:spacing w:after="0"/>
              <w:rPr>
                <w:sz w:val="5"/>
                <w:szCs w:val="5"/>
                <w:color w:val="auto"/>
              </w:rPr>
            </w:pPr>
          </w:p>
        </w:tc>
        <w:tc>
          <w:tcPr>
            <w:tcW w:w="180" w:type="dxa"/>
            <w:vAlign w:val="bottom"/>
            <w:shd w:val="clear" w:color="auto" w:fill="00ADBB"/>
          </w:tcPr>
          <w:p>
            <w:pPr>
              <w:spacing w:after="0"/>
              <w:rPr>
                <w:sz w:val="5"/>
                <w:szCs w:val="5"/>
                <w:color w:val="auto"/>
              </w:rPr>
            </w:pPr>
          </w:p>
        </w:tc>
        <w:tc>
          <w:tcPr>
            <w:tcW w:w="620" w:type="dxa"/>
            <w:vAlign w:val="bottom"/>
            <w:shd w:val="clear" w:color="auto" w:fill="00ADBB"/>
          </w:tcPr>
          <w:p>
            <w:pPr>
              <w:spacing w:after="0"/>
              <w:rPr>
                <w:sz w:val="5"/>
                <w:szCs w:val="5"/>
                <w:color w:val="auto"/>
              </w:rPr>
            </w:pPr>
          </w:p>
        </w:tc>
        <w:tc>
          <w:tcPr>
            <w:tcW w:w="880" w:type="dxa"/>
            <w:vAlign w:val="bottom"/>
            <w:shd w:val="clear" w:color="auto" w:fill="00ADBB"/>
          </w:tcPr>
          <w:p>
            <w:pPr>
              <w:spacing w:after="0"/>
              <w:rPr>
                <w:sz w:val="5"/>
                <w:szCs w:val="5"/>
                <w:color w:val="auto"/>
              </w:rPr>
            </w:pPr>
          </w:p>
        </w:tc>
        <w:tc>
          <w:tcPr>
            <w:tcW w:w="800" w:type="dxa"/>
            <w:vAlign w:val="bottom"/>
            <w:shd w:val="clear" w:color="auto" w:fill="00ADBB"/>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4C4C4C"/>
              </w:rPr>
              <w:t>John Rosenthal</w:t>
            </w: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5/23/2018</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4"/>
                <w:szCs w:val="14"/>
                <w:color w:val="4C4C4C"/>
              </w:rPr>
              <w:t>2,286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color w:val="4C4C4C"/>
              </w:rPr>
              <w:t>82,776</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50"/>
              <w:spacing w:after="0" w:line="157" w:lineRule="exact"/>
              <w:rPr>
                <w:sz w:val="20"/>
                <w:szCs w:val="20"/>
                <w:color w:val="auto"/>
              </w:rPr>
            </w:pPr>
            <w:r>
              <w:rPr>
                <w:rFonts w:ascii="Arial" w:cs="Arial" w:eastAsia="Arial" w:hAnsi="Arial"/>
                <w:sz w:val="14"/>
                <w:szCs w:val="14"/>
                <w:color w:val="4C4C4C"/>
              </w:rPr>
              <w:t>(RSU)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5/23/2018</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4"/>
                <w:szCs w:val="14"/>
                <w:color w:val="4C4C4C"/>
              </w:rPr>
              <w:t>8,914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color w:val="4C4C4C"/>
                <w:w w:val="98"/>
              </w:rPr>
              <w:t>322,776</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30"/>
              <w:spacing w:after="0" w:line="157" w:lineRule="exact"/>
              <w:rPr>
                <w:sz w:val="20"/>
                <w:szCs w:val="20"/>
                <w:color w:val="auto"/>
              </w:rPr>
            </w:pPr>
            <w:r>
              <w:rPr>
                <w:rFonts w:ascii="Arial" w:cs="Arial" w:eastAsia="Arial" w:hAnsi="Arial"/>
                <w:sz w:val="14"/>
                <w:szCs w:val="14"/>
                <w:color w:val="4C4C4C"/>
                <w:w w:val="99"/>
              </w:rPr>
              <w:t>(PSU)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5/23/2018</w:t>
            </w:r>
          </w:p>
        </w:tc>
        <w:tc>
          <w:tcPr>
            <w:tcW w:w="840" w:type="dxa"/>
            <w:vAlign w:val="bottom"/>
            <w:vMerge w:val="restart"/>
          </w:tcPr>
          <w:p>
            <w:pPr>
              <w:jc w:val="right"/>
              <w:ind w:right="23"/>
              <w:spacing w:after="0"/>
              <w:rPr>
                <w:sz w:val="20"/>
                <w:szCs w:val="20"/>
                <w:color w:val="auto"/>
              </w:rPr>
            </w:pPr>
            <w:r>
              <w:rPr>
                <w:rFonts w:ascii="Arial" w:cs="Arial" w:eastAsia="Arial" w:hAnsi="Arial"/>
                <w:sz w:val="14"/>
                <w:szCs w:val="14"/>
                <w:color w:val="4C4C4C"/>
              </w:rPr>
              <w:t>15,015</w:t>
            </w:r>
          </w:p>
        </w:tc>
        <w:tc>
          <w:tcPr>
            <w:tcW w:w="1080" w:type="dxa"/>
            <w:vAlign w:val="bottom"/>
            <w:vMerge w:val="restart"/>
          </w:tcPr>
          <w:p>
            <w:pPr>
              <w:jc w:val="right"/>
              <w:ind w:right="44"/>
              <w:spacing w:after="0"/>
              <w:rPr>
                <w:sz w:val="20"/>
                <w:szCs w:val="20"/>
                <w:color w:val="auto"/>
              </w:rPr>
            </w:pPr>
            <w:r>
              <w:rPr>
                <w:rFonts w:ascii="Arial" w:cs="Arial" w:eastAsia="Arial" w:hAnsi="Arial"/>
                <w:sz w:val="14"/>
                <w:szCs w:val="14"/>
                <w:color w:val="4C4C4C"/>
              </w:rPr>
              <w:t>7,507</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4C4C4C"/>
              </w:rPr>
              <w:t>$53.47</w:t>
            </w:r>
          </w:p>
        </w:tc>
        <w:tc>
          <w:tcPr>
            <w:tcW w:w="840" w:type="dxa"/>
            <w:vAlign w:val="bottom"/>
            <w:vMerge w:val="restart"/>
          </w:tcPr>
          <w:p>
            <w:pPr>
              <w:jc w:val="right"/>
              <w:ind w:right="42"/>
              <w:spacing w:after="0"/>
              <w:rPr>
                <w:sz w:val="20"/>
                <w:szCs w:val="20"/>
                <w:color w:val="auto"/>
              </w:rPr>
            </w:pPr>
            <w:r>
              <w:rPr>
                <w:rFonts w:ascii="Arial" w:cs="Arial" w:eastAsia="Arial" w:hAnsi="Arial"/>
                <w:sz w:val="14"/>
                <w:szCs w:val="14"/>
                <w:color w:val="4C4C4C"/>
              </w:rPr>
              <w:t>2/29/2028</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50"/>
              <w:spacing w:after="0" w:line="157" w:lineRule="exact"/>
              <w:rPr>
                <w:sz w:val="20"/>
                <w:szCs w:val="20"/>
                <w:color w:val="auto"/>
              </w:rPr>
            </w:pPr>
            <w:r>
              <w:rPr>
                <w:rFonts w:ascii="Arial" w:cs="Arial" w:eastAsia="Arial" w:hAnsi="Arial"/>
                <w:sz w:val="14"/>
                <w:szCs w:val="14"/>
                <w:color w:val="4C4C4C"/>
              </w:rPr>
              <w:t>(NQSO)</w:t>
            </w:r>
          </w:p>
        </w:tc>
        <w:tc>
          <w:tcPr>
            <w:tcW w:w="8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3/1/19</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4"/>
                <w:szCs w:val="14"/>
                <w:color w:val="4C4C4C"/>
              </w:rPr>
              <w:t>7,526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color w:val="4C4C4C"/>
                <w:w w:val="98"/>
              </w:rPr>
              <w:t>272,516</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50"/>
              <w:spacing w:after="0" w:line="157" w:lineRule="exact"/>
              <w:rPr>
                <w:sz w:val="20"/>
                <w:szCs w:val="20"/>
                <w:color w:val="auto"/>
              </w:rPr>
            </w:pPr>
            <w:r>
              <w:rPr>
                <w:rFonts w:ascii="Arial" w:cs="Arial" w:eastAsia="Arial" w:hAnsi="Arial"/>
                <w:sz w:val="14"/>
                <w:szCs w:val="14"/>
                <w:color w:val="4C4C4C"/>
              </w:rPr>
              <w:t>(RSU)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3/1/19</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4"/>
                <w:szCs w:val="14"/>
                <w:color w:val="4C4C4C"/>
              </w:rPr>
              <w:t>16,936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4C4C4C"/>
              </w:rPr>
              <w:t>$613,253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30"/>
              <w:spacing w:after="0" w:line="157" w:lineRule="exact"/>
              <w:rPr>
                <w:sz w:val="20"/>
                <w:szCs w:val="20"/>
                <w:color w:val="auto"/>
              </w:rPr>
            </w:pPr>
            <w:r>
              <w:rPr>
                <w:rFonts w:ascii="Arial" w:cs="Arial" w:eastAsia="Arial" w:hAnsi="Arial"/>
                <w:sz w:val="14"/>
                <w:szCs w:val="14"/>
                <w:color w:val="4C4C4C"/>
                <w:w w:val="99"/>
              </w:rPr>
              <w:t>(PSU)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3/1/20</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4"/>
                <w:szCs w:val="14"/>
                <w:color w:val="4C4C4C"/>
              </w:rPr>
              <w:t>15,345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4C4C4C"/>
              </w:rPr>
              <w:t>$</w:t>
            </w:r>
          </w:p>
        </w:tc>
        <w:tc>
          <w:tcPr>
            <w:tcW w:w="620" w:type="dxa"/>
            <w:vAlign w:val="bottom"/>
            <w:vMerge w:val="restart"/>
          </w:tcPr>
          <w:p>
            <w:pPr>
              <w:jc w:val="right"/>
              <w:ind w:right="36"/>
              <w:spacing w:after="0"/>
              <w:rPr>
                <w:sz w:val="20"/>
                <w:szCs w:val="20"/>
                <w:color w:val="auto"/>
              </w:rPr>
            </w:pPr>
            <w:r>
              <w:rPr>
                <w:rFonts w:ascii="Arial" w:cs="Arial" w:eastAsia="Arial" w:hAnsi="Arial"/>
                <w:sz w:val="14"/>
                <w:szCs w:val="14"/>
                <w:color w:val="4C4C4C"/>
                <w:w w:val="98"/>
              </w:rPr>
              <w:t>555,642</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50"/>
              <w:spacing w:after="0" w:line="157" w:lineRule="exact"/>
              <w:rPr>
                <w:sz w:val="20"/>
                <w:szCs w:val="20"/>
                <w:color w:val="auto"/>
              </w:rPr>
            </w:pPr>
            <w:r>
              <w:rPr>
                <w:rFonts w:ascii="Arial" w:cs="Arial" w:eastAsia="Arial" w:hAnsi="Arial"/>
                <w:sz w:val="14"/>
                <w:szCs w:val="14"/>
                <w:color w:val="4C4C4C"/>
              </w:rPr>
              <w:t>(RSU)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00" w:type="dxa"/>
            <w:vAlign w:val="bottom"/>
          </w:tcPr>
          <w:p>
            <w:pPr>
              <w:jc w:val="center"/>
              <w:ind w:left="50"/>
              <w:spacing w:after="0"/>
              <w:rPr>
                <w:sz w:val="20"/>
                <w:szCs w:val="20"/>
                <w:color w:val="auto"/>
              </w:rPr>
            </w:pPr>
            <w:r>
              <w:rPr>
                <w:rFonts w:ascii="Arial" w:cs="Arial" w:eastAsia="Arial" w:hAnsi="Arial"/>
                <w:sz w:val="14"/>
                <w:szCs w:val="14"/>
                <w:color w:val="4C4C4C"/>
              </w:rPr>
              <w:t>3/1/20</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4"/>
                <w:szCs w:val="14"/>
                <w:color w:val="4C4C4C"/>
              </w:rPr>
              <w:t>23,018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4C4C4C"/>
              </w:rPr>
              <w:t>$833,482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vMerge w:val="restart"/>
          </w:tcPr>
          <w:p>
            <w:pPr>
              <w:jc w:val="center"/>
              <w:ind w:left="30"/>
              <w:spacing w:after="0" w:line="157" w:lineRule="exact"/>
              <w:rPr>
                <w:sz w:val="20"/>
                <w:szCs w:val="20"/>
                <w:color w:val="auto"/>
              </w:rPr>
            </w:pPr>
            <w:r>
              <w:rPr>
                <w:rFonts w:ascii="Arial" w:cs="Arial" w:eastAsia="Arial" w:hAnsi="Arial"/>
                <w:sz w:val="14"/>
                <w:szCs w:val="14"/>
                <w:color w:val="4C4C4C"/>
                <w:w w:val="99"/>
              </w:rPr>
              <w:t>(PSU)</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330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vMerge w:val="continue"/>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10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840" w:type="dxa"/>
            <w:vAlign w:val="bottom"/>
            <w:tcBorders>
              <w:bottom w:val="single" w:sz="8" w:color="4C4C4C"/>
            </w:tcBorders>
          </w:tcPr>
          <w:p>
            <w:pPr>
              <w:spacing w:after="0"/>
              <w:rPr>
                <w:sz w:val="5"/>
                <w:szCs w:val="5"/>
                <w:color w:val="auto"/>
              </w:rPr>
            </w:pPr>
          </w:p>
        </w:tc>
        <w:tc>
          <w:tcPr>
            <w:tcW w:w="680" w:type="dxa"/>
            <w:vAlign w:val="bottom"/>
            <w:tcBorders>
              <w:bottom w:val="single" w:sz="8" w:color="4C4C4C"/>
            </w:tcBorders>
          </w:tcPr>
          <w:p>
            <w:pPr>
              <w:spacing w:after="0"/>
              <w:rPr>
                <w:sz w:val="5"/>
                <w:szCs w:val="5"/>
                <w:color w:val="auto"/>
              </w:rPr>
            </w:pPr>
          </w:p>
        </w:tc>
        <w:tc>
          <w:tcPr>
            <w:tcW w:w="18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8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-2965450</wp:posOffset>
            </wp:positionV>
            <wp:extent cx="4697730" cy="13970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697730" cy="1397000"/>
                    </a:xfrm>
                    <a:prstGeom prst="rect">
                      <a:avLst/>
                    </a:prstGeom>
                    <a:noFill/>
                  </pic:spPr>
                </pic:pic>
              </a:graphicData>
            </a:graphic>
          </wp:anchor>
        </w:drawing>
      </w:r>
    </w:p>
    <w:p>
      <w:pPr>
        <w:spacing w:after="0" w:line="101" w:lineRule="exact"/>
        <w:rPr>
          <w:sz w:val="20"/>
          <w:szCs w:val="20"/>
          <w:color w:val="auto"/>
        </w:rPr>
      </w:pPr>
    </w:p>
    <w:p>
      <w:pPr>
        <w:ind w:left="700" w:right="500" w:hanging="419"/>
        <w:spacing w:after="0" w:line="246" w:lineRule="auto"/>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Represents NQSOs granted on March 1, 2018, and approved by stockholders on May 23, 2018, of which one-third vested on March 1 of each of 2019, 2020, and 2021.</w:t>
      </w:r>
    </w:p>
    <w:p>
      <w:pPr>
        <w:spacing w:after="0" w:line="57" w:lineRule="exact"/>
        <w:rPr>
          <w:rFonts w:ascii="Arial" w:cs="Arial" w:eastAsia="Arial" w:hAnsi="Arial"/>
          <w:sz w:val="18"/>
          <w:szCs w:val="18"/>
          <w:color w:val="4C4C4C"/>
        </w:rPr>
      </w:pPr>
    </w:p>
    <w:p>
      <w:pPr>
        <w:ind w:left="700" w:hanging="419"/>
        <w:spacing w:after="0"/>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All RSUs vest one-third annually as follows: (i) May 23, 2018 RSU vests on March 1 of each of 2019, 2020, and 2021; (ii)</w:t>
      </w:r>
    </w:p>
    <w:p>
      <w:pPr>
        <w:ind w:left="700" w:right="220"/>
        <w:spacing w:after="0" w:line="246" w:lineRule="auto"/>
        <w:rPr>
          <w:rFonts w:ascii="Arial" w:cs="Arial" w:eastAsia="Arial" w:hAnsi="Arial"/>
          <w:sz w:val="18"/>
          <w:szCs w:val="18"/>
          <w:color w:val="4C4C4C"/>
        </w:rPr>
      </w:pPr>
      <w:r>
        <w:rPr>
          <w:rFonts w:ascii="Arial" w:cs="Arial" w:eastAsia="Arial" w:hAnsi="Arial"/>
          <w:sz w:val="18"/>
          <w:szCs w:val="18"/>
          <w:color w:val="4C4C4C"/>
        </w:rPr>
        <w:t>March 1, 2019 RSU vests on March 1 of each of 2020, 2021, and 2022; and (iii) March 1, 2020 RSU vests on March 1 of each of 2021, 2022, and 2023.</w:t>
      </w:r>
    </w:p>
    <w:p>
      <w:pPr>
        <w:spacing w:after="0" w:line="48" w:lineRule="exact"/>
        <w:rPr>
          <w:rFonts w:ascii="Arial" w:cs="Arial" w:eastAsia="Arial" w:hAnsi="Arial"/>
          <w:sz w:val="18"/>
          <w:szCs w:val="18"/>
          <w:color w:val="4C4C4C"/>
        </w:rPr>
      </w:pPr>
    </w:p>
    <w:p>
      <w:pPr>
        <w:ind w:left="700" w:right="560"/>
        <w:spacing w:after="0" w:line="246" w:lineRule="auto"/>
        <w:rPr>
          <w:rFonts w:ascii="Arial" w:cs="Arial" w:eastAsia="Arial" w:hAnsi="Arial"/>
          <w:sz w:val="18"/>
          <w:szCs w:val="18"/>
          <w:color w:val="4C4C4C"/>
        </w:rPr>
      </w:pPr>
      <w:r>
        <w:rPr>
          <w:rFonts w:ascii="Arial" w:cs="Arial" w:eastAsia="Arial" w:hAnsi="Arial"/>
          <w:sz w:val="18"/>
          <w:szCs w:val="18"/>
          <w:color w:val="4C4C4C"/>
        </w:rPr>
        <w:t>The May 23, 2018 PSUs cliff-vested on March 1, 2021, and were paid at 130% of target value, based on actual performance during the 2018-2020 performance period.</w:t>
      </w:r>
    </w:p>
    <w:p>
      <w:pPr>
        <w:spacing w:after="0" w:line="61" w:lineRule="exact"/>
        <w:rPr>
          <w:rFonts w:ascii="Arial" w:cs="Arial" w:eastAsia="Arial" w:hAnsi="Arial"/>
          <w:sz w:val="18"/>
          <w:szCs w:val="18"/>
          <w:color w:val="4C4C4C"/>
        </w:rPr>
      </w:pPr>
    </w:p>
    <w:p>
      <w:pPr>
        <w:ind w:left="700" w:right="440" w:hanging="419"/>
        <w:spacing w:after="0" w:line="246" w:lineRule="auto"/>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The market value of RSUs was determined by multiplying the number of shares by $36.21, the closing price of the Company’s common stock on December 31, 2020.</w:t>
      </w:r>
    </w:p>
    <w:p>
      <w:pPr>
        <w:spacing w:after="0" w:line="48" w:lineRule="exact"/>
        <w:rPr>
          <w:rFonts w:ascii="Arial" w:cs="Arial" w:eastAsia="Arial" w:hAnsi="Arial"/>
          <w:sz w:val="18"/>
          <w:szCs w:val="18"/>
          <w:color w:val="4C4C4C"/>
        </w:rPr>
      </w:pPr>
    </w:p>
    <w:p>
      <w:pPr>
        <w:ind w:left="700" w:right="660"/>
        <w:spacing w:after="0"/>
        <w:rPr>
          <w:rFonts w:ascii="Arial" w:cs="Arial" w:eastAsia="Arial" w:hAnsi="Arial"/>
          <w:sz w:val="18"/>
          <w:szCs w:val="18"/>
          <w:color w:val="4C4C4C"/>
        </w:rPr>
      </w:pPr>
      <w:r>
        <w:rPr>
          <w:rFonts w:ascii="Arial" w:cs="Arial" w:eastAsia="Arial" w:hAnsi="Arial"/>
          <w:sz w:val="18"/>
          <w:szCs w:val="18"/>
          <w:color w:val="4C4C4C"/>
        </w:rPr>
        <w:t>The market value of May 23, 2018 PSUs was determined by multiplying the number of shares, determined based on actual performance during the 2018-2020 performance period, by $36.21, the closing price of the Company’s common stock on December 31, 2020.</w:t>
      </w:r>
    </w:p>
    <w:p>
      <w:pPr>
        <w:spacing w:after="0" w:line="67" w:lineRule="exact"/>
        <w:rPr>
          <w:rFonts w:ascii="Arial" w:cs="Arial" w:eastAsia="Arial" w:hAnsi="Arial"/>
          <w:sz w:val="18"/>
          <w:szCs w:val="18"/>
          <w:color w:val="4C4C4C"/>
        </w:rPr>
      </w:pPr>
    </w:p>
    <w:p>
      <w:pPr>
        <w:ind w:left="700" w:right="300" w:hanging="419"/>
        <w:spacing w:after="0"/>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All PSUs cliff-vest, subject to achievement of specified performance criteria, as follows, with reported performance above based on performance through 2020: (i) March 1, 2019 PSU on March 1, 2022, reported above based on performance at 100% of target value; and (ii) March 1, 2020 PSU on March 1, 2023, reported above based on performance at 100% of target value.</w:t>
      </w:r>
    </w:p>
    <w:p>
      <w:pPr>
        <w:spacing w:after="0" w:line="67" w:lineRule="exact"/>
        <w:rPr>
          <w:rFonts w:ascii="Arial" w:cs="Arial" w:eastAsia="Arial" w:hAnsi="Arial"/>
          <w:sz w:val="18"/>
          <w:szCs w:val="18"/>
          <w:color w:val="4C4C4C"/>
        </w:rPr>
      </w:pPr>
    </w:p>
    <w:p>
      <w:pPr>
        <w:ind w:left="700" w:right="300" w:hanging="419"/>
        <w:spacing w:after="0" w:line="246" w:lineRule="auto"/>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The market value of PSUs was determined by multiplying the number of shares reported above based on performance at 100% of target value by $36.21 (the closing price on December 31, 2020).</w:t>
      </w:r>
    </w:p>
    <w:p>
      <w:pPr>
        <w:spacing w:after="0" w:line="61" w:lineRule="exact"/>
        <w:rPr>
          <w:rFonts w:ascii="Arial" w:cs="Arial" w:eastAsia="Arial" w:hAnsi="Arial"/>
          <w:sz w:val="18"/>
          <w:szCs w:val="18"/>
          <w:color w:val="4C4C4C"/>
        </w:rPr>
      </w:pPr>
    </w:p>
    <w:p>
      <w:pPr>
        <w:ind w:left="700" w:hanging="419"/>
        <w:spacing w:after="0"/>
        <w:tabs>
          <w:tab w:leader="none" w:pos="700" w:val="left"/>
        </w:tabs>
        <w:numPr>
          <w:ilvl w:val="0"/>
          <w:numId w:val="148"/>
        </w:numPr>
        <w:rPr>
          <w:rFonts w:ascii="Arial" w:cs="Arial" w:eastAsia="Arial" w:hAnsi="Arial"/>
          <w:sz w:val="18"/>
          <w:szCs w:val="18"/>
          <w:color w:val="4C4C4C"/>
        </w:rPr>
      </w:pPr>
      <w:r>
        <w:rPr>
          <w:rFonts w:ascii="Arial" w:cs="Arial" w:eastAsia="Arial" w:hAnsi="Arial"/>
          <w:sz w:val="18"/>
          <w:szCs w:val="18"/>
          <w:color w:val="4C4C4C"/>
        </w:rPr>
        <w:t>Mr. Spehar’s 9/3/19 RSUs vest in full on September 3, 2022.</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70 | 2021 Proxy Statement</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Option Exercises and Stock Vested in 2020; Nonqualified Deferred Compensation in 2020</w:t>
      </w:r>
    </w:p>
    <w:p>
      <w:pPr>
        <w:spacing w:after="0" w:line="200" w:lineRule="exact"/>
        <w:rPr>
          <w:sz w:val="20"/>
          <w:szCs w:val="20"/>
          <w:color w:val="auto"/>
        </w:rPr>
      </w:pPr>
    </w:p>
    <w:p>
      <w:pPr>
        <w:sectPr>
          <w:pgSz w:w="11900" w:h="16838" w:orient="portrait"/>
          <w:cols w:equalWidth="0" w:num="2">
            <w:col w:w="5080" w:space="720"/>
            <w:col w:w="5340"/>
          </w:cols>
          <w:pgMar w:left="320" w:top="459" w:right="439" w:bottom="1440" w:gutter="0" w:footer="0" w:header="0"/>
          <w:type w:val="continuous"/>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Option Exercises and Stock Vested in 2020</w:t>
      </w:r>
    </w:p>
    <w:p>
      <w:pPr>
        <w:spacing w:after="0" w:line="125"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4C4C4C"/>
        </w:rPr>
        <w:t>The following table provides information regarding all RSUs and PSUs held by the NEOs that vested during 2020. No options were exercised by any NEO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142875</wp:posOffset>
            </wp:positionV>
            <wp:extent cx="2040255" cy="4375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040255" cy="437515"/>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820" w:type="dxa"/>
            <w:vAlign w:val="bottom"/>
            <w:shd w:val="clear" w:color="auto" w:fill="00ADBB"/>
          </w:tcPr>
          <w:p>
            <w:pPr>
              <w:spacing w:after="0"/>
              <w:rPr>
                <w:sz w:val="18"/>
                <w:szCs w:val="18"/>
                <w:color w:val="auto"/>
              </w:rPr>
            </w:pPr>
          </w:p>
        </w:tc>
        <w:tc>
          <w:tcPr>
            <w:tcW w:w="2080" w:type="dxa"/>
            <w:vAlign w:val="bottom"/>
            <w:gridSpan w:val="2"/>
            <w:shd w:val="clear" w:color="auto" w:fill="00ADBB"/>
          </w:tcPr>
          <w:p>
            <w:pPr>
              <w:jc w:val="right"/>
              <w:spacing w:after="0"/>
              <w:rPr>
                <w:sz w:val="20"/>
                <w:szCs w:val="20"/>
                <w:color w:val="auto"/>
              </w:rPr>
            </w:pPr>
            <w:r>
              <w:rPr>
                <w:rFonts w:ascii="Arial" w:cs="Arial" w:eastAsia="Arial" w:hAnsi="Arial"/>
                <w:sz w:val="14"/>
                <w:szCs w:val="14"/>
                <w:b w:val="1"/>
                <w:bCs w:val="1"/>
                <w:color w:val="FFFFFF"/>
              </w:rPr>
              <w:t>Stock Awards</w:t>
            </w:r>
          </w:p>
        </w:tc>
        <w:tc>
          <w:tcPr>
            <w:tcW w:w="1120" w:type="dxa"/>
            <w:vAlign w:val="bottom"/>
            <w:shd w:val="clear" w:color="auto" w:fill="00ADBB"/>
          </w:tcPr>
          <w:p>
            <w:pPr>
              <w:spacing w:after="0"/>
              <w:rPr>
                <w:sz w:val="18"/>
                <w:szCs w:val="18"/>
                <w:color w:val="auto"/>
              </w:rPr>
            </w:pPr>
          </w:p>
        </w:tc>
      </w:tr>
      <w:tr>
        <w:trPr>
          <w:trHeight w:val="209"/>
        </w:trPr>
        <w:tc>
          <w:tcPr>
            <w:tcW w:w="7820" w:type="dxa"/>
            <w:vAlign w:val="bottom"/>
            <w:shd w:val="clear" w:color="auto" w:fill="00ADBB"/>
          </w:tcPr>
          <w:p>
            <w:pPr>
              <w:spacing w:after="0"/>
              <w:rPr>
                <w:sz w:val="18"/>
                <w:szCs w:val="18"/>
                <w:color w:val="auto"/>
              </w:rPr>
            </w:pPr>
          </w:p>
        </w:tc>
        <w:tc>
          <w:tcPr>
            <w:tcW w:w="1740" w:type="dxa"/>
            <w:vAlign w:val="bottom"/>
            <w:shd w:val="clear" w:color="auto" w:fill="00ADBB"/>
          </w:tcPr>
          <w:p>
            <w:pPr>
              <w:jc w:val="right"/>
              <w:ind w:right="188"/>
              <w:spacing w:after="0"/>
              <w:rPr>
                <w:sz w:val="20"/>
                <w:szCs w:val="20"/>
                <w:color w:val="auto"/>
              </w:rPr>
            </w:pPr>
            <w:r>
              <w:rPr>
                <w:rFonts w:ascii="Arial" w:cs="Arial" w:eastAsia="Arial" w:hAnsi="Arial"/>
                <w:sz w:val="14"/>
                <w:szCs w:val="14"/>
                <w:b w:val="1"/>
                <w:bCs w:val="1"/>
                <w:color w:val="FFFFFF"/>
              </w:rPr>
              <w:t>Number of Shares</w:t>
            </w:r>
          </w:p>
        </w:tc>
        <w:tc>
          <w:tcPr>
            <w:tcW w:w="1460" w:type="dxa"/>
            <w:vAlign w:val="bottom"/>
            <w:gridSpan w:val="2"/>
            <w:shd w:val="clear" w:color="auto" w:fill="00ADBB"/>
          </w:tcPr>
          <w:p>
            <w:pPr>
              <w:jc w:val="right"/>
              <w:ind w:right="168"/>
              <w:spacing w:after="0"/>
              <w:rPr>
                <w:sz w:val="20"/>
                <w:szCs w:val="20"/>
                <w:color w:val="auto"/>
              </w:rPr>
            </w:pPr>
            <w:r>
              <w:rPr>
                <w:rFonts w:ascii="Arial" w:cs="Arial" w:eastAsia="Arial" w:hAnsi="Arial"/>
                <w:sz w:val="14"/>
                <w:szCs w:val="14"/>
                <w:b w:val="1"/>
                <w:bCs w:val="1"/>
                <w:color w:val="FFFFFF"/>
              </w:rPr>
              <w:t>Value Realized</w:t>
            </w:r>
          </w:p>
        </w:tc>
      </w:tr>
      <w:tr>
        <w:trPr>
          <w:trHeight w:val="190"/>
        </w:trPr>
        <w:tc>
          <w:tcPr>
            <w:tcW w:w="7820" w:type="dxa"/>
            <w:vAlign w:val="bottom"/>
            <w:shd w:val="clear" w:color="auto" w:fill="00ADBB"/>
          </w:tcPr>
          <w:p>
            <w:pPr>
              <w:ind w:left="140"/>
              <w:spacing w:after="0"/>
              <w:rPr>
                <w:sz w:val="20"/>
                <w:szCs w:val="20"/>
                <w:color w:val="auto"/>
              </w:rPr>
            </w:pPr>
            <w:r>
              <w:rPr>
                <w:rFonts w:ascii="Arial" w:cs="Arial" w:eastAsia="Arial" w:hAnsi="Arial"/>
                <w:sz w:val="14"/>
                <w:szCs w:val="14"/>
                <w:b w:val="1"/>
                <w:bCs w:val="1"/>
                <w:color w:val="FFFFFF"/>
              </w:rPr>
              <w:t>Name</w:t>
            </w:r>
          </w:p>
        </w:tc>
        <w:tc>
          <w:tcPr>
            <w:tcW w:w="1740" w:type="dxa"/>
            <w:vAlign w:val="bottom"/>
            <w:shd w:val="clear" w:color="auto" w:fill="00ADBB"/>
          </w:tcPr>
          <w:p>
            <w:pPr>
              <w:jc w:val="right"/>
              <w:ind w:right="108"/>
              <w:spacing w:after="0"/>
              <w:rPr>
                <w:sz w:val="20"/>
                <w:szCs w:val="20"/>
                <w:color w:val="auto"/>
              </w:rPr>
            </w:pPr>
            <w:r>
              <w:rPr>
                <w:rFonts w:ascii="Arial" w:cs="Arial" w:eastAsia="Arial" w:hAnsi="Arial"/>
                <w:sz w:val="14"/>
                <w:szCs w:val="14"/>
                <w:b w:val="1"/>
                <w:bCs w:val="1"/>
                <w:color w:val="FFFFFF"/>
              </w:rPr>
              <w:t>Acquired on Vesting</w:t>
            </w:r>
          </w:p>
        </w:tc>
        <w:tc>
          <w:tcPr>
            <w:tcW w:w="340" w:type="dxa"/>
            <w:vAlign w:val="bottom"/>
            <w:shd w:val="clear" w:color="auto" w:fill="00ADBB"/>
          </w:tcPr>
          <w:p>
            <w:pPr>
              <w:spacing w:after="0"/>
              <w:rPr>
                <w:sz w:val="16"/>
                <w:szCs w:val="16"/>
                <w:color w:val="auto"/>
              </w:rPr>
            </w:pPr>
          </w:p>
        </w:tc>
        <w:tc>
          <w:tcPr>
            <w:tcW w:w="1120" w:type="dxa"/>
            <w:vAlign w:val="bottom"/>
            <w:shd w:val="clear" w:color="auto" w:fill="00ADBB"/>
          </w:tcPr>
          <w:p>
            <w:pPr>
              <w:jc w:val="right"/>
              <w:ind w:right="308"/>
              <w:spacing w:after="0"/>
              <w:rPr>
                <w:sz w:val="20"/>
                <w:szCs w:val="20"/>
                <w:color w:val="auto"/>
              </w:rPr>
            </w:pPr>
            <w:r>
              <w:rPr>
                <w:rFonts w:ascii="Arial" w:cs="Arial" w:eastAsia="Arial" w:hAnsi="Arial"/>
                <w:sz w:val="14"/>
                <w:szCs w:val="14"/>
                <w:b w:val="1"/>
                <w:bCs w:val="1"/>
                <w:color w:val="FFFFFF"/>
              </w:rPr>
              <w:t>on Vesting</w:t>
            </w:r>
          </w:p>
        </w:tc>
      </w:tr>
      <w:tr>
        <w:trPr>
          <w:trHeight w:val="80"/>
        </w:trPr>
        <w:tc>
          <w:tcPr>
            <w:tcW w:w="7820" w:type="dxa"/>
            <w:vAlign w:val="bottom"/>
            <w:shd w:val="clear" w:color="auto" w:fill="00ADBB"/>
          </w:tcPr>
          <w:p>
            <w:pPr>
              <w:spacing w:after="0"/>
              <w:rPr>
                <w:sz w:val="6"/>
                <w:szCs w:val="6"/>
                <w:color w:val="auto"/>
              </w:rPr>
            </w:pPr>
          </w:p>
        </w:tc>
        <w:tc>
          <w:tcPr>
            <w:tcW w:w="1740" w:type="dxa"/>
            <w:vAlign w:val="bottom"/>
            <w:shd w:val="clear" w:color="auto" w:fill="00ADBB"/>
          </w:tcPr>
          <w:p>
            <w:pPr>
              <w:spacing w:after="0"/>
              <w:rPr>
                <w:sz w:val="6"/>
                <w:szCs w:val="6"/>
                <w:color w:val="auto"/>
              </w:rPr>
            </w:pPr>
          </w:p>
        </w:tc>
        <w:tc>
          <w:tcPr>
            <w:tcW w:w="340" w:type="dxa"/>
            <w:vAlign w:val="bottom"/>
            <w:shd w:val="clear" w:color="auto" w:fill="00ADBB"/>
          </w:tcPr>
          <w:p>
            <w:pPr>
              <w:spacing w:after="0"/>
              <w:rPr>
                <w:sz w:val="6"/>
                <w:szCs w:val="6"/>
                <w:color w:val="auto"/>
              </w:rPr>
            </w:pPr>
          </w:p>
        </w:tc>
        <w:tc>
          <w:tcPr>
            <w:tcW w:w="1120" w:type="dxa"/>
            <w:vAlign w:val="bottom"/>
            <w:shd w:val="clear" w:color="auto" w:fill="00ADBB"/>
          </w:tcPr>
          <w:p>
            <w:pPr>
              <w:spacing w:after="0"/>
              <w:rPr>
                <w:sz w:val="6"/>
                <w:szCs w:val="6"/>
                <w:color w:val="auto"/>
              </w:rPr>
            </w:pPr>
          </w:p>
        </w:tc>
      </w:tr>
      <w:tr>
        <w:trPr>
          <w:trHeight w:val="244"/>
        </w:trPr>
        <w:tc>
          <w:tcPr>
            <w:tcW w:w="7820" w:type="dxa"/>
            <w:vAlign w:val="bottom"/>
          </w:tcPr>
          <w:p>
            <w:pPr>
              <w:ind w:left="100"/>
              <w:spacing w:after="0"/>
              <w:rPr>
                <w:sz w:val="20"/>
                <w:szCs w:val="20"/>
                <w:color w:val="auto"/>
              </w:rPr>
            </w:pPr>
            <w:r>
              <w:rPr>
                <w:rFonts w:ascii="Arial" w:cs="Arial" w:eastAsia="Arial" w:hAnsi="Arial"/>
                <w:sz w:val="14"/>
                <w:szCs w:val="14"/>
                <w:color w:val="4C4C4C"/>
              </w:rPr>
              <w:t>Eric Steigerwalt</w:t>
            </w:r>
          </w:p>
        </w:tc>
        <w:tc>
          <w:tcPr>
            <w:tcW w:w="1740" w:type="dxa"/>
            <w:vAlign w:val="bottom"/>
          </w:tcPr>
          <w:p>
            <w:pPr>
              <w:jc w:val="right"/>
              <w:ind w:right="128"/>
              <w:spacing w:after="0"/>
              <w:rPr>
                <w:sz w:val="20"/>
                <w:szCs w:val="20"/>
                <w:color w:val="auto"/>
              </w:rPr>
            </w:pPr>
            <w:r>
              <w:rPr>
                <w:rFonts w:ascii="Arial" w:cs="Arial" w:eastAsia="Arial" w:hAnsi="Arial"/>
                <w:sz w:val="14"/>
                <w:szCs w:val="14"/>
                <w:color w:val="4C4C4C"/>
              </w:rPr>
              <w:t>20,899</w:t>
            </w:r>
          </w:p>
        </w:tc>
        <w:tc>
          <w:tcPr>
            <w:tcW w:w="340" w:type="dxa"/>
            <w:vAlign w:val="bottom"/>
          </w:tcPr>
          <w:p>
            <w:pPr>
              <w:jc w:val="right"/>
              <w:ind w:right="28"/>
              <w:spacing w:after="0"/>
              <w:rPr>
                <w:sz w:val="20"/>
                <w:szCs w:val="20"/>
                <w:color w:val="auto"/>
              </w:rPr>
            </w:pPr>
            <w:r>
              <w:rPr>
                <w:rFonts w:ascii="Arial" w:cs="Arial" w:eastAsia="Arial" w:hAnsi="Arial"/>
                <w:sz w:val="14"/>
                <w:szCs w:val="14"/>
                <w:color w:val="4C4C4C"/>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4C4C4C"/>
              </w:rPr>
              <w:t>749,020</w:t>
            </w:r>
          </w:p>
        </w:tc>
      </w:tr>
      <w:tr>
        <w:trPr>
          <w:trHeight w:val="53"/>
        </w:trPr>
        <w:tc>
          <w:tcPr>
            <w:tcW w:w="7820" w:type="dxa"/>
            <w:vAlign w:val="bottom"/>
            <w:tcBorders>
              <w:bottom w:val="single" w:sz="8" w:color="4C4C4C"/>
            </w:tcBorders>
          </w:tcPr>
          <w:p>
            <w:pPr>
              <w:spacing w:after="0"/>
              <w:rPr>
                <w:sz w:val="4"/>
                <w:szCs w:val="4"/>
                <w:color w:val="auto"/>
              </w:rPr>
            </w:pPr>
          </w:p>
        </w:tc>
        <w:tc>
          <w:tcPr>
            <w:tcW w:w="174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r>
      <w:tr>
        <w:trPr>
          <w:trHeight w:val="282"/>
        </w:trPr>
        <w:tc>
          <w:tcPr>
            <w:tcW w:w="7820" w:type="dxa"/>
            <w:vAlign w:val="bottom"/>
            <w:tcBorders>
              <w:bottom w:val="single" w:sz="8" w:color="E5F6F8"/>
            </w:tcBorders>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1740" w:type="dxa"/>
            <w:vAlign w:val="bottom"/>
            <w:tcBorders>
              <w:bottom w:val="single" w:sz="8" w:color="E5F6F8"/>
            </w:tcBorders>
            <w:shd w:val="clear" w:color="auto" w:fill="E5F6F8"/>
          </w:tcPr>
          <w:p>
            <w:pPr>
              <w:jc w:val="right"/>
              <w:ind w:right="128"/>
              <w:spacing w:after="0"/>
              <w:rPr>
                <w:sz w:val="20"/>
                <w:szCs w:val="20"/>
                <w:color w:val="auto"/>
              </w:rPr>
            </w:pPr>
            <w:r>
              <w:rPr>
                <w:rFonts w:ascii="Arial" w:cs="Arial" w:eastAsia="Arial" w:hAnsi="Arial"/>
                <w:sz w:val="14"/>
                <w:szCs w:val="14"/>
                <w:color w:val="4C4C4C"/>
              </w:rPr>
              <w:t>5,698</w:t>
            </w:r>
          </w:p>
        </w:tc>
        <w:tc>
          <w:tcPr>
            <w:tcW w:w="340" w:type="dxa"/>
            <w:vAlign w:val="bottom"/>
            <w:tcBorders>
              <w:bottom w:val="single" w:sz="8" w:color="E5F6F8"/>
            </w:tcBorders>
            <w:shd w:val="clear" w:color="auto" w:fill="E5F6F8"/>
          </w:tcPr>
          <w:p>
            <w:pPr>
              <w:jc w:val="right"/>
              <w:ind w:right="28"/>
              <w:spacing w:after="0"/>
              <w:rPr>
                <w:sz w:val="20"/>
                <w:szCs w:val="20"/>
                <w:color w:val="auto"/>
              </w:rPr>
            </w:pPr>
            <w:r>
              <w:rPr>
                <w:rFonts w:ascii="Arial" w:cs="Arial" w:eastAsia="Arial" w:hAnsi="Arial"/>
                <w:sz w:val="14"/>
                <w:szCs w:val="14"/>
                <w:color w:val="4C4C4C"/>
              </w:rPr>
              <w:t>$</w:t>
            </w:r>
          </w:p>
        </w:tc>
        <w:tc>
          <w:tcPr>
            <w:tcW w:w="1120" w:type="dxa"/>
            <w:vAlign w:val="bottom"/>
            <w:tcBorders>
              <w:bottom w:val="single" w:sz="8" w:color="E5F6F8"/>
            </w:tcBorders>
            <w:shd w:val="clear" w:color="auto" w:fill="E5F6F8"/>
          </w:tcPr>
          <w:p>
            <w:pPr>
              <w:jc w:val="right"/>
              <w:ind w:right="108"/>
              <w:spacing w:after="0"/>
              <w:rPr>
                <w:sz w:val="20"/>
                <w:szCs w:val="20"/>
                <w:color w:val="auto"/>
              </w:rPr>
            </w:pPr>
            <w:r>
              <w:rPr>
                <w:rFonts w:ascii="Arial" w:cs="Arial" w:eastAsia="Arial" w:hAnsi="Arial"/>
                <w:sz w:val="14"/>
                <w:szCs w:val="14"/>
                <w:color w:val="4C4C4C"/>
              </w:rPr>
              <w:t>174,074</w:t>
            </w:r>
          </w:p>
        </w:tc>
      </w:tr>
      <w:tr>
        <w:trPr>
          <w:trHeight w:val="224"/>
        </w:trPr>
        <w:tc>
          <w:tcPr>
            <w:tcW w:w="7820" w:type="dxa"/>
            <w:vAlign w:val="bottom"/>
            <w:tcBorders>
              <w:top w:val="single" w:sz="8" w:color="4C4C4C"/>
            </w:tcBorders>
          </w:tcPr>
          <w:p>
            <w:pPr>
              <w:ind w:left="100"/>
              <w:spacing w:after="0"/>
              <w:rPr>
                <w:sz w:val="20"/>
                <w:szCs w:val="20"/>
                <w:color w:val="auto"/>
              </w:rPr>
            </w:pPr>
            <w:r>
              <w:rPr>
                <w:rFonts w:ascii="Arial" w:cs="Arial" w:eastAsia="Arial" w:hAnsi="Arial"/>
                <w:sz w:val="14"/>
                <w:szCs w:val="14"/>
                <w:color w:val="4C4C4C"/>
              </w:rPr>
              <w:t>Christine DeBiase</w:t>
            </w:r>
          </w:p>
        </w:tc>
        <w:tc>
          <w:tcPr>
            <w:tcW w:w="1740" w:type="dxa"/>
            <w:vAlign w:val="bottom"/>
            <w:tcBorders>
              <w:top w:val="single" w:sz="8" w:color="4C4C4C"/>
            </w:tcBorders>
          </w:tcPr>
          <w:p>
            <w:pPr>
              <w:jc w:val="right"/>
              <w:ind w:right="128"/>
              <w:spacing w:after="0"/>
              <w:rPr>
                <w:sz w:val="20"/>
                <w:szCs w:val="20"/>
                <w:color w:val="auto"/>
              </w:rPr>
            </w:pPr>
            <w:r>
              <w:rPr>
                <w:rFonts w:ascii="Arial" w:cs="Arial" w:eastAsia="Arial" w:hAnsi="Arial"/>
                <w:sz w:val="14"/>
                <w:szCs w:val="14"/>
                <w:color w:val="4C4C4C"/>
              </w:rPr>
              <w:t>5,683</w:t>
            </w:r>
          </w:p>
        </w:tc>
        <w:tc>
          <w:tcPr>
            <w:tcW w:w="340" w:type="dxa"/>
            <w:vAlign w:val="bottom"/>
            <w:tcBorders>
              <w:top w:val="single" w:sz="8" w:color="4C4C4C"/>
            </w:tcBorders>
          </w:tcPr>
          <w:p>
            <w:pPr>
              <w:jc w:val="right"/>
              <w:ind w:right="28"/>
              <w:spacing w:after="0"/>
              <w:rPr>
                <w:sz w:val="20"/>
                <w:szCs w:val="20"/>
                <w:color w:val="auto"/>
              </w:rPr>
            </w:pPr>
            <w:r>
              <w:rPr>
                <w:rFonts w:ascii="Arial" w:cs="Arial" w:eastAsia="Arial" w:hAnsi="Arial"/>
                <w:sz w:val="14"/>
                <w:szCs w:val="14"/>
                <w:color w:val="4C4C4C"/>
              </w:rPr>
              <w:t>$</w:t>
            </w:r>
          </w:p>
        </w:tc>
        <w:tc>
          <w:tcPr>
            <w:tcW w:w="1120" w:type="dxa"/>
            <w:vAlign w:val="bottom"/>
            <w:tcBorders>
              <w:top w:val="single" w:sz="8" w:color="4C4C4C"/>
            </w:tcBorders>
          </w:tcPr>
          <w:p>
            <w:pPr>
              <w:jc w:val="right"/>
              <w:ind w:right="108"/>
              <w:spacing w:after="0"/>
              <w:rPr>
                <w:sz w:val="20"/>
                <w:szCs w:val="20"/>
                <w:color w:val="auto"/>
              </w:rPr>
            </w:pPr>
            <w:r>
              <w:rPr>
                <w:rFonts w:ascii="Arial" w:cs="Arial" w:eastAsia="Arial" w:hAnsi="Arial"/>
                <w:sz w:val="14"/>
                <w:szCs w:val="14"/>
                <w:color w:val="4C4C4C"/>
              </w:rPr>
              <w:t>203,679</w:t>
            </w:r>
          </w:p>
        </w:tc>
      </w:tr>
      <w:tr>
        <w:trPr>
          <w:trHeight w:val="53"/>
        </w:trPr>
        <w:tc>
          <w:tcPr>
            <w:tcW w:w="7820" w:type="dxa"/>
            <w:vAlign w:val="bottom"/>
            <w:tcBorders>
              <w:bottom w:val="single" w:sz="8" w:color="4C4C4C"/>
            </w:tcBorders>
          </w:tcPr>
          <w:p>
            <w:pPr>
              <w:spacing w:after="0"/>
              <w:rPr>
                <w:sz w:val="4"/>
                <w:szCs w:val="4"/>
                <w:color w:val="auto"/>
              </w:rPr>
            </w:pPr>
          </w:p>
        </w:tc>
        <w:tc>
          <w:tcPr>
            <w:tcW w:w="174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r>
      <w:tr>
        <w:trPr>
          <w:trHeight w:val="282"/>
        </w:trPr>
        <w:tc>
          <w:tcPr>
            <w:tcW w:w="7820" w:type="dxa"/>
            <w:vAlign w:val="bottom"/>
            <w:tcBorders>
              <w:bottom w:val="single" w:sz="8" w:color="E5F6F8"/>
            </w:tcBorders>
            <w:shd w:val="clear" w:color="auto" w:fill="E5F6F8"/>
          </w:tcPr>
          <w:p>
            <w:pPr>
              <w:ind w:left="100"/>
              <w:spacing w:after="0"/>
              <w:rPr>
                <w:sz w:val="20"/>
                <w:szCs w:val="20"/>
                <w:color w:val="auto"/>
              </w:rPr>
            </w:pPr>
            <w:r>
              <w:rPr>
                <w:rFonts w:ascii="Arial" w:cs="Arial" w:eastAsia="Arial" w:hAnsi="Arial"/>
                <w:sz w:val="14"/>
                <w:szCs w:val="14"/>
                <w:color w:val="4C4C4C"/>
              </w:rPr>
              <w:t>Conor Murphy</w:t>
            </w:r>
          </w:p>
        </w:tc>
        <w:tc>
          <w:tcPr>
            <w:tcW w:w="1740" w:type="dxa"/>
            <w:vAlign w:val="bottom"/>
            <w:tcBorders>
              <w:bottom w:val="single" w:sz="8" w:color="E5F6F8"/>
            </w:tcBorders>
            <w:shd w:val="clear" w:color="auto" w:fill="E5F6F8"/>
          </w:tcPr>
          <w:p>
            <w:pPr>
              <w:jc w:val="right"/>
              <w:ind w:right="128"/>
              <w:spacing w:after="0"/>
              <w:rPr>
                <w:sz w:val="20"/>
                <w:szCs w:val="20"/>
                <w:color w:val="auto"/>
              </w:rPr>
            </w:pPr>
            <w:r>
              <w:rPr>
                <w:rFonts w:ascii="Arial" w:cs="Arial" w:eastAsia="Arial" w:hAnsi="Arial"/>
                <w:sz w:val="14"/>
                <w:szCs w:val="14"/>
                <w:color w:val="4C4C4C"/>
              </w:rPr>
              <w:t>5,506</w:t>
            </w:r>
          </w:p>
        </w:tc>
        <w:tc>
          <w:tcPr>
            <w:tcW w:w="340" w:type="dxa"/>
            <w:vAlign w:val="bottom"/>
            <w:tcBorders>
              <w:bottom w:val="single" w:sz="8" w:color="E5F6F8"/>
            </w:tcBorders>
            <w:shd w:val="clear" w:color="auto" w:fill="E5F6F8"/>
          </w:tcPr>
          <w:p>
            <w:pPr>
              <w:jc w:val="right"/>
              <w:ind w:right="28"/>
              <w:spacing w:after="0"/>
              <w:rPr>
                <w:sz w:val="20"/>
                <w:szCs w:val="20"/>
                <w:color w:val="auto"/>
              </w:rPr>
            </w:pPr>
            <w:r>
              <w:rPr>
                <w:rFonts w:ascii="Arial" w:cs="Arial" w:eastAsia="Arial" w:hAnsi="Arial"/>
                <w:sz w:val="14"/>
                <w:szCs w:val="14"/>
                <w:color w:val="4C4C4C"/>
              </w:rPr>
              <w:t>$</w:t>
            </w:r>
          </w:p>
        </w:tc>
        <w:tc>
          <w:tcPr>
            <w:tcW w:w="1120" w:type="dxa"/>
            <w:vAlign w:val="bottom"/>
            <w:tcBorders>
              <w:bottom w:val="single" w:sz="8" w:color="E5F6F8"/>
            </w:tcBorders>
            <w:shd w:val="clear" w:color="auto" w:fill="E5F6F8"/>
          </w:tcPr>
          <w:p>
            <w:pPr>
              <w:jc w:val="right"/>
              <w:ind w:right="108"/>
              <w:spacing w:after="0"/>
              <w:rPr>
                <w:sz w:val="20"/>
                <w:szCs w:val="20"/>
                <w:color w:val="auto"/>
              </w:rPr>
            </w:pPr>
            <w:r>
              <w:rPr>
                <w:rFonts w:ascii="Arial" w:cs="Arial" w:eastAsia="Arial" w:hAnsi="Arial"/>
                <w:sz w:val="14"/>
                <w:szCs w:val="14"/>
                <w:color w:val="4C4C4C"/>
              </w:rPr>
              <w:t>197,335</w:t>
            </w:r>
          </w:p>
        </w:tc>
      </w:tr>
      <w:tr>
        <w:trPr>
          <w:trHeight w:val="224"/>
        </w:trPr>
        <w:tc>
          <w:tcPr>
            <w:tcW w:w="7820" w:type="dxa"/>
            <w:vAlign w:val="bottom"/>
            <w:tcBorders>
              <w:top w:val="single" w:sz="8" w:color="4C4C4C"/>
            </w:tcBorders>
          </w:tcPr>
          <w:p>
            <w:pPr>
              <w:ind w:left="100"/>
              <w:spacing w:after="0"/>
              <w:rPr>
                <w:sz w:val="20"/>
                <w:szCs w:val="20"/>
                <w:color w:val="auto"/>
              </w:rPr>
            </w:pPr>
            <w:r>
              <w:rPr>
                <w:rFonts w:ascii="Arial" w:cs="Arial" w:eastAsia="Arial" w:hAnsi="Arial"/>
                <w:sz w:val="14"/>
                <w:szCs w:val="14"/>
                <w:color w:val="4C4C4C"/>
              </w:rPr>
              <w:t>John Rosenthal</w:t>
            </w:r>
          </w:p>
        </w:tc>
        <w:tc>
          <w:tcPr>
            <w:tcW w:w="1740" w:type="dxa"/>
            <w:vAlign w:val="bottom"/>
            <w:tcBorders>
              <w:top w:val="single" w:sz="8" w:color="4C4C4C"/>
            </w:tcBorders>
          </w:tcPr>
          <w:p>
            <w:pPr>
              <w:jc w:val="right"/>
              <w:ind w:right="128"/>
              <w:spacing w:after="0"/>
              <w:rPr>
                <w:sz w:val="20"/>
                <w:szCs w:val="20"/>
                <w:color w:val="auto"/>
              </w:rPr>
            </w:pPr>
            <w:r>
              <w:rPr>
                <w:rFonts w:ascii="Arial" w:cs="Arial" w:eastAsia="Arial" w:hAnsi="Arial"/>
                <w:sz w:val="14"/>
                <w:szCs w:val="14"/>
                <w:color w:val="4C4C4C"/>
              </w:rPr>
              <w:t>6,049</w:t>
            </w:r>
          </w:p>
        </w:tc>
        <w:tc>
          <w:tcPr>
            <w:tcW w:w="340" w:type="dxa"/>
            <w:vAlign w:val="bottom"/>
            <w:tcBorders>
              <w:top w:val="single" w:sz="8" w:color="4C4C4C"/>
            </w:tcBorders>
          </w:tcPr>
          <w:p>
            <w:pPr>
              <w:jc w:val="right"/>
              <w:ind w:right="28"/>
              <w:spacing w:after="0"/>
              <w:rPr>
                <w:sz w:val="20"/>
                <w:szCs w:val="20"/>
                <w:color w:val="auto"/>
              </w:rPr>
            </w:pPr>
            <w:r>
              <w:rPr>
                <w:rFonts w:ascii="Arial" w:cs="Arial" w:eastAsia="Arial" w:hAnsi="Arial"/>
                <w:sz w:val="14"/>
                <w:szCs w:val="14"/>
                <w:color w:val="4C4C4C"/>
              </w:rPr>
              <w:t>$</w:t>
            </w:r>
          </w:p>
        </w:tc>
        <w:tc>
          <w:tcPr>
            <w:tcW w:w="1120" w:type="dxa"/>
            <w:vAlign w:val="bottom"/>
            <w:tcBorders>
              <w:top w:val="single" w:sz="8" w:color="4C4C4C"/>
            </w:tcBorders>
          </w:tcPr>
          <w:p>
            <w:pPr>
              <w:jc w:val="right"/>
              <w:ind w:right="108"/>
              <w:spacing w:after="0"/>
              <w:rPr>
                <w:sz w:val="20"/>
                <w:szCs w:val="20"/>
                <w:color w:val="auto"/>
              </w:rPr>
            </w:pPr>
            <w:r>
              <w:rPr>
                <w:rFonts w:ascii="Arial" w:cs="Arial" w:eastAsia="Arial" w:hAnsi="Arial"/>
                <w:sz w:val="14"/>
                <w:szCs w:val="14"/>
                <w:color w:val="4C4C4C"/>
              </w:rPr>
              <w:t>216,796</w:t>
            </w:r>
          </w:p>
        </w:tc>
      </w:tr>
      <w:tr>
        <w:trPr>
          <w:trHeight w:val="53"/>
        </w:trPr>
        <w:tc>
          <w:tcPr>
            <w:tcW w:w="7820" w:type="dxa"/>
            <w:vAlign w:val="bottom"/>
            <w:tcBorders>
              <w:bottom w:val="single" w:sz="8" w:color="4C4C4C"/>
            </w:tcBorders>
          </w:tcPr>
          <w:p>
            <w:pPr>
              <w:spacing w:after="0"/>
              <w:rPr>
                <w:sz w:val="4"/>
                <w:szCs w:val="4"/>
                <w:color w:val="auto"/>
              </w:rPr>
            </w:pPr>
          </w:p>
        </w:tc>
        <w:tc>
          <w:tcPr>
            <w:tcW w:w="174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r>
    </w:tbl>
    <w:p>
      <w:pPr>
        <w:spacing w:after="0" w:line="2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Nonqualified Deferred Compensation in 2020</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The following table presents nonqualified deferred compensation paid to our NEOs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151765</wp:posOffset>
            </wp:positionV>
            <wp:extent cx="8255" cy="5575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151765</wp:posOffset>
            </wp:positionV>
            <wp:extent cx="8890" cy="5575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151765</wp:posOffset>
            </wp:positionV>
            <wp:extent cx="8890" cy="5575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151765</wp:posOffset>
            </wp:positionV>
            <wp:extent cx="8255" cy="5575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151765</wp:posOffset>
            </wp:positionV>
            <wp:extent cx="8890" cy="5575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151765</wp:posOffset>
            </wp:positionV>
            <wp:extent cx="8890" cy="5575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557530"/>
                    </a:xfrm>
                    <a:prstGeom prst="rect">
                      <a:avLst/>
                    </a:prstGeom>
                    <a:noFill/>
                  </pic:spPr>
                </pic:pic>
              </a:graphicData>
            </a:graphic>
          </wp:anchor>
        </w:drawing>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140" w:type="dxa"/>
            <w:vAlign w:val="bottom"/>
            <w:shd w:val="clear" w:color="auto" w:fill="00ADBB"/>
          </w:tcPr>
          <w:p>
            <w:pPr>
              <w:spacing w:after="0"/>
              <w:rPr>
                <w:sz w:val="14"/>
                <w:szCs w:val="14"/>
                <w:color w:val="auto"/>
              </w:rPr>
            </w:pPr>
          </w:p>
        </w:tc>
        <w:tc>
          <w:tcPr>
            <w:tcW w:w="260" w:type="dxa"/>
            <w:vAlign w:val="bottom"/>
            <w:shd w:val="clear" w:color="auto" w:fill="00ADBB"/>
          </w:tcPr>
          <w:p>
            <w:pPr>
              <w:spacing w:after="0"/>
              <w:rPr>
                <w:sz w:val="14"/>
                <w:szCs w:val="14"/>
                <w:color w:val="auto"/>
              </w:rPr>
            </w:pPr>
          </w:p>
        </w:tc>
        <w:tc>
          <w:tcPr>
            <w:tcW w:w="980" w:type="dxa"/>
            <w:vAlign w:val="bottom"/>
            <w:shd w:val="clear" w:color="auto" w:fill="00ADBB"/>
          </w:tcPr>
          <w:p>
            <w:pPr>
              <w:spacing w:after="0"/>
              <w:rPr>
                <w:sz w:val="14"/>
                <w:szCs w:val="14"/>
                <w:color w:val="auto"/>
              </w:rPr>
            </w:pPr>
          </w:p>
        </w:tc>
        <w:tc>
          <w:tcPr>
            <w:tcW w:w="1060" w:type="dxa"/>
            <w:vAlign w:val="bottom"/>
            <w:gridSpan w:val="2"/>
            <w:shd w:val="clear" w:color="auto" w:fill="00ADBB"/>
          </w:tcPr>
          <w:p>
            <w:pPr>
              <w:jc w:val="center"/>
              <w:spacing w:after="0"/>
              <w:rPr>
                <w:sz w:val="20"/>
                <w:szCs w:val="20"/>
                <w:color w:val="auto"/>
              </w:rPr>
            </w:pPr>
            <w:r>
              <w:rPr>
                <w:rFonts w:ascii="Arial" w:cs="Arial" w:eastAsia="Arial" w:hAnsi="Arial"/>
                <w:sz w:val="14"/>
                <w:szCs w:val="14"/>
                <w:b w:val="1"/>
                <w:bCs w:val="1"/>
                <w:color w:val="FFFFFF"/>
              </w:rPr>
              <w:t>Aggregate</w:t>
            </w:r>
          </w:p>
        </w:tc>
        <w:tc>
          <w:tcPr>
            <w:tcW w:w="1180" w:type="dxa"/>
            <w:vAlign w:val="bottom"/>
            <w:shd w:val="clear" w:color="auto" w:fill="00ADBB"/>
          </w:tcPr>
          <w:p>
            <w:pPr>
              <w:spacing w:after="0"/>
              <w:rPr>
                <w:sz w:val="14"/>
                <w:szCs w:val="14"/>
                <w:color w:val="auto"/>
              </w:rPr>
            </w:pPr>
          </w:p>
        </w:tc>
        <w:tc>
          <w:tcPr>
            <w:tcW w:w="280" w:type="dxa"/>
            <w:vAlign w:val="bottom"/>
            <w:shd w:val="clear" w:color="auto" w:fill="00ADBB"/>
          </w:tcPr>
          <w:p>
            <w:pPr>
              <w:spacing w:after="0"/>
              <w:rPr>
                <w:sz w:val="14"/>
                <w:szCs w:val="14"/>
                <w:color w:val="auto"/>
              </w:rPr>
            </w:pPr>
          </w:p>
        </w:tc>
        <w:tc>
          <w:tcPr>
            <w:tcW w:w="880" w:type="dxa"/>
            <w:vAlign w:val="bottom"/>
            <w:shd w:val="clear" w:color="auto" w:fill="00ADBB"/>
          </w:tcPr>
          <w:p>
            <w:pPr>
              <w:spacing w:after="0"/>
              <w:rPr>
                <w:sz w:val="14"/>
                <w:szCs w:val="14"/>
                <w:color w:val="auto"/>
              </w:rPr>
            </w:pPr>
          </w:p>
        </w:tc>
      </w:tr>
      <w:tr>
        <w:trPr>
          <w:trHeight w:val="162"/>
        </w:trPr>
        <w:tc>
          <w:tcPr>
            <w:tcW w:w="420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14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Executive</w:t>
            </w:r>
          </w:p>
        </w:tc>
        <w:tc>
          <w:tcPr>
            <w:tcW w:w="260" w:type="dxa"/>
            <w:vAlign w:val="bottom"/>
            <w:shd w:val="clear" w:color="auto" w:fill="00ADBB"/>
          </w:tcPr>
          <w:p>
            <w:pPr>
              <w:spacing w:after="0"/>
              <w:rPr>
                <w:sz w:val="14"/>
                <w:szCs w:val="14"/>
                <w:color w:val="auto"/>
              </w:rPr>
            </w:pPr>
          </w:p>
        </w:tc>
        <w:tc>
          <w:tcPr>
            <w:tcW w:w="980" w:type="dxa"/>
            <w:vAlign w:val="bottom"/>
            <w:shd w:val="clear" w:color="auto" w:fill="00ADBB"/>
          </w:tcPr>
          <w:p>
            <w:pPr>
              <w:jc w:val="right"/>
              <w:ind w:right="208"/>
              <w:spacing w:after="0"/>
              <w:rPr>
                <w:sz w:val="20"/>
                <w:szCs w:val="20"/>
                <w:color w:val="auto"/>
              </w:rPr>
            </w:pPr>
            <w:r>
              <w:rPr>
                <w:rFonts w:ascii="Arial" w:cs="Arial" w:eastAsia="Arial" w:hAnsi="Arial"/>
                <w:sz w:val="14"/>
                <w:szCs w:val="14"/>
                <w:b w:val="1"/>
                <w:bCs w:val="1"/>
                <w:color w:val="FFFFFF"/>
              </w:rPr>
              <w:t>Company</w:t>
            </w:r>
          </w:p>
        </w:tc>
        <w:tc>
          <w:tcPr>
            <w:tcW w:w="240" w:type="dxa"/>
            <w:vAlign w:val="bottom"/>
            <w:shd w:val="clear" w:color="auto" w:fill="00ADBB"/>
          </w:tcPr>
          <w:p>
            <w:pPr>
              <w:spacing w:after="0"/>
              <w:rPr>
                <w:sz w:val="14"/>
                <w:szCs w:val="14"/>
                <w:color w:val="auto"/>
              </w:rPr>
            </w:pPr>
          </w:p>
        </w:tc>
        <w:tc>
          <w:tcPr>
            <w:tcW w:w="820" w:type="dxa"/>
            <w:vAlign w:val="bottom"/>
            <w:shd w:val="clear" w:color="auto" w:fill="00ADBB"/>
          </w:tcPr>
          <w:p>
            <w:pPr>
              <w:jc w:val="center"/>
              <w:ind w:right="168"/>
              <w:spacing w:after="0"/>
              <w:rPr>
                <w:sz w:val="20"/>
                <w:szCs w:val="20"/>
                <w:color w:val="auto"/>
              </w:rPr>
            </w:pPr>
            <w:r>
              <w:rPr>
                <w:rFonts w:ascii="Arial" w:cs="Arial" w:eastAsia="Arial" w:hAnsi="Arial"/>
                <w:sz w:val="14"/>
                <w:szCs w:val="14"/>
                <w:b w:val="1"/>
                <w:bCs w:val="1"/>
                <w:color w:val="FFFFFF"/>
                <w:w w:val="97"/>
              </w:rPr>
              <w:t>Gains</w:t>
            </w:r>
          </w:p>
        </w:tc>
        <w:tc>
          <w:tcPr>
            <w:tcW w:w="1180" w:type="dxa"/>
            <w:vAlign w:val="bottom"/>
            <w:shd w:val="clear" w:color="auto" w:fill="00ADBB"/>
          </w:tcPr>
          <w:p>
            <w:pPr>
              <w:spacing w:after="0"/>
              <w:rPr>
                <w:sz w:val="14"/>
                <w:szCs w:val="14"/>
                <w:color w:val="auto"/>
              </w:rPr>
            </w:pPr>
          </w:p>
        </w:tc>
        <w:tc>
          <w:tcPr>
            <w:tcW w:w="1160" w:type="dxa"/>
            <w:vAlign w:val="bottom"/>
            <w:gridSpan w:val="2"/>
            <w:shd w:val="clear" w:color="auto" w:fill="00ADBB"/>
          </w:tcPr>
          <w:p>
            <w:pPr>
              <w:ind w:left="200"/>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420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140" w:type="dxa"/>
            <w:vAlign w:val="bottom"/>
            <w:shd w:val="clear" w:color="auto" w:fill="00ADBB"/>
          </w:tcPr>
          <w:p>
            <w:pPr>
              <w:jc w:val="center"/>
              <w:ind w:right="8"/>
              <w:spacing w:after="0"/>
              <w:rPr>
                <w:sz w:val="20"/>
                <w:szCs w:val="20"/>
                <w:color w:val="auto"/>
              </w:rPr>
            </w:pPr>
            <w:r>
              <w:rPr>
                <w:rFonts w:ascii="Arial" w:cs="Arial" w:eastAsia="Arial" w:hAnsi="Arial"/>
                <w:sz w:val="14"/>
                <w:szCs w:val="14"/>
                <w:b w:val="1"/>
                <w:bCs w:val="1"/>
                <w:color w:val="FFFFFF"/>
              </w:rPr>
              <w:t>Contributions</w:t>
            </w:r>
          </w:p>
        </w:tc>
        <w:tc>
          <w:tcPr>
            <w:tcW w:w="1240" w:type="dxa"/>
            <w:vAlign w:val="bottom"/>
            <w:gridSpan w:val="2"/>
            <w:shd w:val="clear" w:color="auto" w:fill="00ADBB"/>
          </w:tcPr>
          <w:p>
            <w:pPr>
              <w:ind w:left="160"/>
              <w:spacing w:after="0"/>
              <w:rPr>
                <w:sz w:val="20"/>
                <w:szCs w:val="20"/>
                <w:color w:val="auto"/>
              </w:rPr>
            </w:pPr>
            <w:r>
              <w:rPr>
                <w:rFonts w:ascii="Arial" w:cs="Arial" w:eastAsia="Arial" w:hAnsi="Arial"/>
                <w:sz w:val="14"/>
                <w:szCs w:val="14"/>
                <w:b w:val="1"/>
                <w:bCs w:val="1"/>
                <w:color w:val="FFFFFF"/>
              </w:rPr>
              <w:t>Contributions</w:t>
            </w:r>
          </w:p>
        </w:tc>
        <w:tc>
          <w:tcPr>
            <w:tcW w:w="240" w:type="dxa"/>
            <w:vAlign w:val="bottom"/>
            <w:shd w:val="clear" w:color="auto" w:fill="00ADBB"/>
          </w:tcPr>
          <w:p>
            <w:pPr>
              <w:spacing w:after="0"/>
              <w:rPr>
                <w:sz w:val="14"/>
                <w:szCs w:val="14"/>
                <w:color w:val="auto"/>
              </w:rPr>
            </w:pPr>
          </w:p>
        </w:tc>
        <w:tc>
          <w:tcPr>
            <w:tcW w:w="820" w:type="dxa"/>
            <w:vAlign w:val="bottom"/>
            <w:shd w:val="clear" w:color="auto" w:fill="00ADBB"/>
          </w:tcPr>
          <w:p>
            <w:pPr>
              <w:jc w:val="center"/>
              <w:ind w:right="168"/>
              <w:spacing w:after="0"/>
              <w:rPr>
                <w:sz w:val="20"/>
                <w:szCs w:val="20"/>
                <w:color w:val="auto"/>
              </w:rPr>
            </w:pPr>
            <w:r>
              <w:rPr>
                <w:rFonts w:ascii="Arial" w:cs="Arial" w:eastAsia="Arial" w:hAnsi="Arial"/>
                <w:sz w:val="14"/>
                <w:szCs w:val="14"/>
                <w:b w:val="1"/>
                <w:bCs w:val="1"/>
                <w:color w:val="FFFFFF"/>
              </w:rPr>
              <w:t>(Losses)</w:t>
            </w:r>
          </w:p>
        </w:tc>
        <w:tc>
          <w:tcPr>
            <w:tcW w:w="118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Aggregate</w:t>
            </w:r>
          </w:p>
        </w:tc>
        <w:tc>
          <w:tcPr>
            <w:tcW w:w="1160" w:type="dxa"/>
            <w:vAlign w:val="bottom"/>
            <w:gridSpan w:val="2"/>
            <w:shd w:val="clear" w:color="auto" w:fill="00ADBB"/>
          </w:tcPr>
          <w:p>
            <w:pPr>
              <w:ind w:left="200"/>
              <w:spacing w:after="0"/>
              <w:rPr>
                <w:sz w:val="20"/>
                <w:szCs w:val="20"/>
                <w:color w:val="auto"/>
              </w:rPr>
            </w:pPr>
            <w:r>
              <w:rPr>
                <w:rFonts w:ascii="Arial" w:cs="Arial" w:eastAsia="Arial" w:hAnsi="Arial"/>
                <w:sz w:val="14"/>
                <w:szCs w:val="14"/>
                <w:b w:val="1"/>
                <w:bCs w:val="1"/>
                <w:color w:val="FFFFFF"/>
              </w:rPr>
              <w:t>Balance at</w:t>
            </w:r>
          </w:p>
        </w:tc>
      </w:tr>
      <w:tr>
        <w:trPr>
          <w:trHeight w:val="159"/>
        </w:trPr>
        <w:tc>
          <w:tcPr>
            <w:tcW w:w="4200" w:type="dxa"/>
            <w:vAlign w:val="bottom"/>
            <w:shd w:val="clear" w:color="auto" w:fill="00ADBB"/>
          </w:tcPr>
          <w:p>
            <w:pPr>
              <w:spacing w:after="0"/>
              <w:rPr>
                <w:sz w:val="13"/>
                <w:szCs w:val="13"/>
                <w:color w:val="auto"/>
              </w:rPr>
            </w:pPr>
          </w:p>
        </w:tc>
        <w:tc>
          <w:tcPr>
            <w:tcW w:w="1040" w:type="dxa"/>
            <w:vAlign w:val="bottom"/>
            <w:shd w:val="clear" w:color="auto" w:fill="00ADBB"/>
          </w:tcPr>
          <w:p>
            <w:pPr>
              <w:spacing w:after="0"/>
              <w:rPr>
                <w:sz w:val="13"/>
                <w:szCs w:val="13"/>
                <w:color w:val="auto"/>
              </w:rPr>
            </w:pPr>
          </w:p>
        </w:tc>
        <w:tc>
          <w:tcPr>
            <w:tcW w:w="1140" w:type="dxa"/>
            <w:vAlign w:val="bottom"/>
            <w:shd w:val="clear" w:color="auto" w:fill="00ADBB"/>
          </w:tcPr>
          <w:p>
            <w:pPr>
              <w:jc w:val="center"/>
              <w:ind w:right="8"/>
              <w:spacing w:after="0" w:line="159" w:lineRule="exact"/>
              <w:rPr>
                <w:sz w:val="20"/>
                <w:szCs w:val="20"/>
                <w:color w:val="auto"/>
              </w:rPr>
            </w:pPr>
            <w:r>
              <w:rPr>
                <w:rFonts w:ascii="Arial" w:cs="Arial" w:eastAsia="Arial" w:hAnsi="Arial"/>
                <w:sz w:val="14"/>
                <w:szCs w:val="14"/>
                <w:b w:val="1"/>
                <w:bCs w:val="1"/>
                <w:color w:val="FFFFFF"/>
              </w:rPr>
              <w:t>in Last Fiscal</w:t>
            </w:r>
          </w:p>
        </w:tc>
        <w:tc>
          <w:tcPr>
            <w:tcW w:w="1240" w:type="dxa"/>
            <w:vAlign w:val="bottom"/>
            <w:gridSpan w:val="2"/>
            <w:shd w:val="clear" w:color="auto" w:fill="00ADBB"/>
          </w:tcPr>
          <w:p>
            <w:pPr>
              <w:ind w:left="160"/>
              <w:spacing w:after="0" w:line="159" w:lineRule="exact"/>
              <w:rPr>
                <w:sz w:val="20"/>
                <w:szCs w:val="20"/>
                <w:color w:val="auto"/>
              </w:rPr>
            </w:pPr>
            <w:r>
              <w:rPr>
                <w:rFonts w:ascii="Arial" w:cs="Arial" w:eastAsia="Arial" w:hAnsi="Arial"/>
                <w:sz w:val="14"/>
                <w:szCs w:val="14"/>
                <w:b w:val="1"/>
                <w:bCs w:val="1"/>
                <w:color w:val="FFFFFF"/>
              </w:rPr>
              <w:t>in Last Fiscal</w:t>
            </w:r>
          </w:p>
        </w:tc>
        <w:tc>
          <w:tcPr>
            <w:tcW w:w="240" w:type="dxa"/>
            <w:vAlign w:val="bottom"/>
            <w:shd w:val="clear" w:color="auto" w:fill="00ADBB"/>
          </w:tcPr>
          <w:p>
            <w:pPr>
              <w:spacing w:after="0"/>
              <w:rPr>
                <w:sz w:val="13"/>
                <w:szCs w:val="13"/>
                <w:color w:val="auto"/>
              </w:rPr>
            </w:pPr>
          </w:p>
        </w:tc>
        <w:tc>
          <w:tcPr>
            <w:tcW w:w="820" w:type="dxa"/>
            <w:vAlign w:val="bottom"/>
            <w:shd w:val="clear" w:color="auto" w:fill="00ADBB"/>
          </w:tcPr>
          <w:p>
            <w:pPr>
              <w:jc w:val="center"/>
              <w:ind w:right="168"/>
              <w:spacing w:after="0" w:line="159" w:lineRule="exact"/>
              <w:rPr>
                <w:sz w:val="20"/>
                <w:szCs w:val="20"/>
                <w:color w:val="auto"/>
              </w:rPr>
            </w:pPr>
            <w:r>
              <w:rPr>
                <w:rFonts w:ascii="Arial" w:cs="Arial" w:eastAsia="Arial" w:hAnsi="Arial"/>
                <w:sz w:val="14"/>
                <w:szCs w:val="14"/>
                <w:b w:val="1"/>
                <w:bCs w:val="1"/>
                <w:color w:val="FFFFFF"/>
              </w:rPr>
              <w:t>in Last</w:t>
            </w:r>
          </w:p>
        </w:tc>
        <w:tc>
          <w:tcPr>
            <w:tcW w:w="1180" w:type="dxa"/>
            <w:vAlign w:val="bottom"/>
            <w:shd w:val="clear" w:color="auto" w:fill="00ADBB"/>
          </w:tcPr>
          <w:p>
            <w:pPr>
              <w:jc w:val="center"/>
              <w:spacing w:after="0" w:line="159" w:lineRule="exact"/>
              <w:rPr>
                <w:sz w:val="20"/>
                <w:szCs w:val="20"/>
                <w:color w:val="auto"/>
              </w:rPr>
            </w:pPr>
            <w:r>
              <w:rPr>
                <w:rFonts w:ascii="Arial" w:cs="Arial" w:eastAsia="Arial" w:hAnsi="Arial"/>
                <w:sz w:val="14"/>
                <w:szCs w:val="14"/>
                <w:b w:val="1"/>
                <w:bCs w:val="1"/>
                <w:color w:val="FFFFFF"/>
              </w:rPr>
              <w:t>Withdrawals/</w:t>
            </w:r>
          </w:p>
        </w:tc>
        <w:tc>
          <w:tcPr>
            <w:tcW w:w="1160" w:type="dxa"/>
            <w:vAlign w:val="bottom"/>
            <w:gridSpan w:val="2"/>
            <w:shd w:val="clear" w:color="auto" w:fill="00ADBB"/>
          </w:tcPr>
          <w:p>
            <w:pPr>
              <w:ind w:left="180"/>
              <w:spacing w:after="0" w:line="159" w:lineRule="exact"/>
              <w:rPr>
                <w:sz w:val="20"/>
                <w:szCs w:val="20"/>
                <w:color w:val="auto"/>
              </w:rPr>
            </w:pPr>
            <w:r>
              <w:rPr>
                <w:rFonts w:ascii="Arial" w:cs="Arial" w:eastAsia="Arial" w:hAnsi="Arial"/>
                <w:sz w:val="14"/>
                <w:szCs w:val="14"/>
                <w:b w:val="1"/>
                <w:bCs w:val="1"/>
                <w:color w:val="FFFFFF"/>
              </w:rPr>
              <w:t>Last Fiscal</w:t>
            </w:r>
          </w:p>
        </w:tc>
      </w:tr>
      <w:tr>
        <w:trPr>
          <w:trHeight w:val="246"/>
        </w:trPr>
        <w:tc>
          <w:tcPr>
            <w:tcW w:w="4200" w:type="dxa"/>
            <w:vAlign w:val="bottom"/>
            <w:shd w:val="clear" w:color="auto" w:fill="00ADBB"/>
          </w:tcPr>
          <w:p>
            <w:pPr>
              <w:ind w:left="80"/>
              <w:spacing w:after="0"/>
              <w:rPr>
                <w:sz w:val="20"/>
                <w:szCs w:val="20"/>
                <w:color w:val="auto"/>
              </w:rPr>
            </w:pPr>
            <w:r>
              <w:rPr>
                <w:rFonts w:ascii="Arial" w:cs="Arial" w:eastAsia="Arial" w:hAnsi="Arial"/>
                <w:sz w:val="14"/>
                <w:szCs w:val="14"/>
                <w:b w:val="1"/>
                <w:bCs w:val="1"/>
                <w:color w:val="FFFFFF"/>
              </w:rPr>
              <w:t>Name</w:t>
            </w:r>
          </w:p>
        </w:tc>
        <w:tc>
          <w:tcPr>
            <w:tcW w:w="104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Plan Name</w:t>
            </w:r>
          </w:p>
        </w:tc>
        <w:tc>
          <w:tcPr>
            <w:tcW w:w="1140" w:type="dxa"/>
            <w:vAlign w:val="bottom"/>
            <w:shd w:val="clear" w:color="auto" w:fill="00ADBB"/>
          </w:tcPr>
          <w:p>
            <w:pPr>
              <w:jc w:val="center"/>
              <w:ind w:right="8"/>
              <w:spacing w:after="0"/>
              <w:rPr>
                <w:sz w:val="20"/>
                <w:szCs w:val="20"/>
                <w:color w:val="auto"/>
              </w:rPr>
            </w:pPr>
            <w:r>
              <w:rPr>
                <w:rFonts w:ascii="Arial" w:cs="Arial" w:eastAsia="Arial" w:hAnsi="Arial"/>
                <w:sz w:val="14"/>
                <w:szCs w:val="14"/>
                <w:b w:val="1"/>
                <w:bCs w:val="1"/>
                <w:color w:val="FFFFFF"/>
                <w:w w:val="98"/>
              </w:rPr>
              <w:t>Year</w:t>
            </w:r>
          </w:p>
        </w:tc>
        <w:tc>
          <w:tcPr>
            <w:tcW w:w="260" w:type="dxa"/>
            <w:vAlign w:val="bottom"/>
            <w:shd w:val="clear" w:color="auto" w:fill="00ADBB"/>
          </w:tcPr>
          <w:p>
            <w:pPr>
              <w:spacing w:after="0"/>
              <w:rPr>
                <w:sz w:val="21"/>
                <w:szCs w:val="21"/>
                <w:color w:val="auto"/>
              </w:rPr>
            </w:pPr>
          </w:p>
        </w:tc>
        <w:tc>
          <w:tcPr>
            <w:tcW w:w="980" w:type="dxa"/>
            <w:vAlign w:val="bottom"/>
            <w:shd w:val="clear" w:color="auto" w:fill="00ADBB"/>
          </w:tcPr>
          <w:p>
            <w:pPr>
              <w:jc w:val="right"/>
              <w:ind w:right="308"/>
              <w:spacing w:after="0" w:line="247" w:lineRule="exact"/>
              <w:rPr>
                <w:sz w:val="20"/>
                <w:szCs w:val="20"/>
                <w:color w:val="auto"/>
              </w:rPr>
            </w:pPr>
            <w:r>
              <w:rPr>
                <w:rFonts w:ascii="Arial" w:cs="Arial" w:eastAsia="Arial" w:hAnsi="Arial"/>
                <w:sz w:val="14"/>
                <w:szCs w:val="14"/>
                <w:b w:val="1"/>
                <w:bCs w:val="1"/>
                <w:color w:val="FFFFFF"/>
              </w:rPr>
              <w:t xml:space="preserve">Year </w:t>
            </w:r>
            <w:r>
              <w:rPr>
                <w:rFonts w:ascii="Arial" w:cs="Arial" w:eastAsia="Arial" w:hAnsi="Arial"/>
                <w:sz w:val="24"/>
                <w:szCs w:val="24"/>
                <w:b w:val="1"/>
                <w:bCs w:val="1"/>
                <w:color w:val="FFFFFF"/>
                <w:vertAlign w:val="superscript"/>
              </w:rPr>
              <w:t>(1)</w:t>
            </w:r>
          </w:p>
        </w:tc>
        <w:tc>
          <w:tcPr>
            <w:tcW w:w="1060" w:type="dxa"/>
            <w:vAlign w:val="bottom"/>
            <w:gridSpan w:val="2"/>
            <w:shd w:val="clear" w:color="auto" w:fill="00ADBB"/>
          </w:tcPr>
          <w:p>
            <w:pPr>
              <w:ind w:left="160"/>
              <w:spacing w:after="0"/>
              <w:rPr>
                <w:sz w:val="20"/>
                <w:szCs w:val="20"/>
                <w:color w:val="auto"/>
              </w:rPr>
            </w:pPr>
            <w:r>
              <w:rPr>
                <w:rFonts w:ascii="Arial" w:cs="Arial" w:eastAsia="Arial" w:hAnsi="Arial"/>
                <w:sz w:val="14"/>
                <w:szCs w:val="14"/>
                <w:b w:val="1"/>
                <w:bCs w:val="1"/>
                <w:color w:val="FFFFFF"/>
              </w:rPr>
              <w:t>Fiscal Year</w:t>
            </w:r>
          </w:p>
        </w:tc>
        <w:tc>
          <w:tcPr>
            <w:tcW w:w="118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Distributions</w:t>
            </w:r>
          </w:p>
        </w:tc>
        <w:tc>
          <w:tcPr>
            <w:tcW w:w="1160" w:type="dxa"/>
            <w:vAlign w:val="bottom"/>
            <w:gridSpan w:val="2"/>
            <w:shd w:val="clear" w:color="auto" w:fill="00ADBB"/>
          </w:tcPr>
          <w:p>
            <w:pPr>
              <w:ind w:left="160"/>
              <w:spacing w:after="0" w:line="247" w:lineRule="exact"/>
              <w:rPr>
                <w:sz w:val="20"/>
                <w:szCs w:val="20"/>
                <w:color w:val="auto"/>
              </w:rPr>
            </w:pPr>
            <w:r>
              <w:rPr>
                <w:rFonts w:ascii="Arial" w:cs="Arial" w:eastAsia="Arial" w:hAnsi="Arial"/>
                <w:sz w:val="14"/>
                <w:szCs w:val="14"/>
                <w:b w:val="1"/>
                <w:bCs w:val="1"/>
                <w:color w:val="FFFFFF"/>
              </w:rPr>
              <w:t xml:space="preserve">Year End </w:t>
            </w:r>
            <w:r>
              <w:rPr>
                <w:rFonts w:ascii="Arial" w:cs="Arial" w:eastAsia="Arial" w:hAnsi="Arial"/>
                <w:sz w:val="24"/>
                <w:szCs w:val="24"/>
                <w:b w:val="1"/>
                <w:bCs w:val="1"/>
                <w:color w:val="FFFFFF"/>
                <w:vertAlign w:val="superscript"/>
              </w:rPr>
              <w:t>(2)</w:t>
            </w:r>
          </w:p>
        </w:tc>
      </w:tr>
      <w:tr>
        <w:trPr>
          <w:trHeight w:val="245"/>
        </w:trPr>
        <w:tc>
          <w:tcPr>
            <w:tcW w:w="4200" w:type="dxa"/>
            <w:vAlign w:val="bottom"/>
          </w:tcPr>
          <w:p>
            <w:pPr>
              <w:ind w:left="80"/>
              <w:spacing w:after="0"/>
              <w:rPr>
                <w:sz w:val="20"/>
                <w:szCs w:val="20"/>
                <w:color w:val="auto"/>
              </w:rPr>
            </w:pPr>
            <w:r>
              <w:rPr>
                <w:rFonts w:ascii="Arial" w:cs="Arial" w:eastAsia="Arial" w:hAnsi="Arial"/>
                <w:sz w:val="14"/>
                <w:szCs w:val="14"/>
                <w:color w:val="4C4C4C"/>
              </w:rPr>
              <w:t>Eric Steigerwalt</w:t>
            </w:r>
          </w:p>
        </w:tc>
        <w:tc>
          <w:tcPr>
            <w:tcW w:w="1040" w:type="dxa"/>
            <w:vAlign w:val="bottom"/>
          </w:tcPr>
          <w:p>
            <w:pPr>
              <w:jc w:val="center"/>
              <w:spacing w:after="0"/>
              <w:rPr>
                <w:sz w:val="20"/>
                <w:szCs w:val="20"/>
                <w:color w:val="auto"/>
              </w:rPr>
            </w:pPr>
            <w:r>
              <w:rPr>
                <w:rFonts w:ascii="Arial" w:cs="Arial" w:eastAsia="Arial" w:hAnsi="Arial"/>
                <w:sz w:val="14"/>
                <w:szCs w:val="14"/>
                <w:color w:val="4C4C4C"/>
              </w:rPr>
              <w:t>Auxiliary Plan</w:t>
            </w:r>
          </w:p>
        </w:tc>
        <w:tc>
          <w:tcPr>
            <w:tcW w:w="114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4C4C4C"/>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4C4C4C"/>
              </w:rPr>
              <w:t>247,940</w:t>
            </w:r>
          </w:p>
        </w:tc>
        <w:tc>
          <w:tcPr>
            <w:tcW w:w="240" w:type="dxa"/>
            <w:vAlign w:val="bottom"/>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4C4C4C"/>
              </w:rPr>
              <w:t>120,719</w:t>
            </w:r>
          </w:p>
        </w:tc>
        <w:tc>
          <w:tcPr>
            <w:tcW w:w="1180" w:type="dxa"/>
            <w:vAlign w:val="bottom"/>
          </w:tcPr>
          <w:p>
            <w:pPr>
              <w:spacing w:after="0"/>
              <w:rPr>
                <w:sz w:val="21"/>
                <w:szCs w:val="21"/>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4C4C4C"/>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4C4C4C"/>
              </w:rPr>
              <w:t>1,216,918</w:t>
            </w:r>
          </w:p>
        </w:tc>
      </w:tr>
      <w:tr>
        <w:trPr>
          <w:trHeight w:val="53"/>
        </w:trPr>
        <w:tc>
          <w:tcPr>
            <w:tcW w:w="420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2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118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r>
      <w:tr>
        <w:trPr>
          <w:trHeight w:val="282"/>
        </w:trPr>
        <w:tc>
          <w:tcPr>
            <w:tcW w:w="4200" w:type="dxa"/>
            <w:vAlign w:val="bottom"/>
            <w:tcBorders>
              <w:bottom w:val="single" w:sz="8" w:color="E5F6F8"/>
            </w:tcBorders>
            <w:shd w:val="clear" w:color="auto" w:fill="E5F6F8"/>
          </w:tcPr>
          <w:p>
            <w:pPr>
              <w:ind w:left="80"/>
              <w:spacing w:after="0"/>
              <w:rPr>
                <w:sz w:val="20"/>
                <w:szCs w:val="20"/>
                <w:color w:val="auto"/>
              </w:rPr>
            </w:pPr>
            <w:r>
              <w:rPr>
                <w:rFonts w:ascii="Arial" w:cs="Arial" w:eastAsia="Arial" w:hAnsi="Arial"/>
                <w:sz w:val="14"/>
                <w:szCs w:val="14"/>
                <w:color w:val="4C4C4C"/>
              </w:rPr>
              <w:t>Ed Spehar</w:t>
            </w:r>
          </w:p>
        </w:tc>
        <w:tc>
          <w:tcPr>
            <w:tcW w:w="1040" w:type="dxa"/>
            <w:vAlign w:val="bottom"/>
            <w:tcBorders>
              <w:bottom w:val="single" w:sz="8" w:color="E5F6F8"/>
            </w:tcBorders>
            <w:shd w:val="clear" w:color="auto" w:fill="E5F6F8"/>
          </w:tcPr>
          <w:p>
            <w:pPr>
              <w:jc w:val="center"/>
              <w:spacing w:after="0"/>
              <w:rPr>
                <w:sz w:val="20"/>
                <w:szCs w:val="20"/>
                <w:color w:val="auto"/>
              </w:rPr>
            </w:pPr>
            <w:r>
              <w:rPr>
                <w:rFonts w:ascii="Arial" w:cs="Arial" w:eastAsia="Arial" w:hAnsi="Arial"/>
                <w:sz w:val="14"/>
                <w:szCs w:val="14"/>
                <w:color w:val="4C4C4C"/>
              </w:rPr>
              <w:t>Auxiliary Plan</w:t>
            </w:r>
          </w:p>
        </w:tc>
        <w:tc>
          <w:tcPr>
            <w:tcW w:w="1140" w:type="dxa"/>
            <w:vAlign w:val="bottom"/>
            <w:tcBorders>
              <w:bottom w:val="single" w:sz="8" w:color="E5F6F8"/>
            </w:tcBorders>
            <w:shd w:val="clear" w:color="auto" w:fill="E5F6F8"/>
          </w:tcPr>
          <w:p>
            <w:pPr>
              <w:spacing w:after="0"/>
              <w:rPr>
                <w:sz w:val="24"/>
                <w:szCs w:val="24"/>
                <w:color w:val="auto"/>
              </w:rPr>
            </w:pPr>
          </w:p>
        </w:tc>
        <w:tc>
          <w:tcPr>
            <w:tcW w:w="26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rPr>
              <w:t>$</w:t>
            </w:r>
          </w:p>
        </w:tc>
        <w:tc>
          <w:tcPr>
            <w:tcW w:w="980" w:type="dxa"/>
            <w:vAlign w:val="bottom"/>
            <w:tcBorders>
              <w:bottom w:val="single" w:sz="8" w:color="E5F6F8"/>
            </w:tcBorders>
            <w:shd w:val="clear" w:color="auto" w:fill="E5F6F8"/>
          </w:tcPr>
          <w:p>
            <w:pPr>
              <w:jc w:val="right"/>
              <w:ind w:right="68"/>
              <w:spacing w:after="0"/>
              <w:rPr>
                <w:sz w:val="20"/>
                <w:szCs w:val="20"/>
                <w:color w:val="auto"/>
              </w:rPr>
            </w:pPr>
            <w:r>
              <w:rPr>
                <w:rFonts w:ascii="Arial" w:cs="Arial" w:eastAsia="Arial" w:hAnsi="Arial"/>
                <w:sz w:val="14"/>
                <w:szCs w:val="14"/>
                <w:color w:val="4C4C4C"/>
              </w:rPr>
              <w:t>122,690</w:t>
            </w:r>
          </w:p>
        </w:tc>
        <w:tc>
          <w:tcPr>
            <w:tcW w:w="24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E5F6F8"/>
            </w:tcBorders>
            <w:shd w:val="clear" w:color="auto" w:fill="E5F6F8"/>
          </w:tcPr>
          <w:p>
            <w:pPr>
              <w:jc w:val="right"/>
              <w:ind w:right="88"/>
              <w:spacing w:after="0"/>
              <w:rPr>
                <w:sz w:val="20"/>
                <w:szCs w:val="20"/>
                <w:color w:val="auto"/>
              </w:rPr>
            </w:pPr>
            <w:r>
              <w:rPr>
                <w:rFonts w:ascii="Arial" w:cs="Arial" w:eastAsia="Arial" w:hAnsi="Arial"/>
                <w:sz w:val="14"/>
                <w:szCs w:val="14"/>
                <w:color w:val="4C4C4C"/>
              </w:rPr>
              <w:t>6,085</w:t>
            </w:r>
          </w:p>
        </w:tc>
        <w:tc>
          <w:tcPr>
            <w:tcW w:w="1180" w:type="dxa"/>
            <w:vAlign w:val="bottom"/>
            <w:tcBorders>
              <w:bottom w:val="single" w:sz="8" w:color="E5F6F8"/>
            </w:tcBorders>
            <w:shd w:val="clear" w:color="auto" w:fill="E5F6F8"/>
          </w:tcPr>
          <w:p>
            <w:pPr>
              <w:spacing w:after="0"/>
              <w:rPr>
                <w:sz w:val="24"/>
                <w:szCs w:val="24"/>
                <w:color w:val="auto"/>
              </w:rPr>
            </w:pPr>
          </w:p>
        </w:tc>
        <w:tc>
          <w:tcPr>
            <w:tcW w:w="28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rPr>
              <w:t>$</w:t>
            </w:r>
          </w:p>
        </w:tc>
        <w:tc>
          <w:tcPr>
            <w:tcW w:w="880" w:type="dxa"/>
            <w:vAlign w:val="bottom"/>
            <w:tcBorders>
              <w:bottom w:val="single" w:sz="8" w:color="E5F6F8"/>
            </w:tcBorders>
            <w:shd w:val="clear" w:color="auto" w:fill="E5F6F8"/>
          </w:tcPr>
          <w:p>
            <w:pPr>
              <w:jc w:val="right"/>
              <w:ind w:right="128"/>
              <w:spacing w:after="0"/>
              <w:rPr>
                <w:sz w:val="20"/>
                <w:szCs w:val="20"/>
                <w:color w:val="auto"/>
              </w:rPr>
            </w:pPr>
            <w:r>
              <w:rPr>
                <w:rFonts w:ascii="Arial" w:cs="Arial" w:eastAsia="Arial" w:hAnsi="Arial"/>
                <w:sz w:val="14"/>
                <w:szCs w:val="14"/>
                <w:color w:val="4C4C4C"/>
              </w:rPr>
              <w:t>145,942</w:t>
            </w:r>
          </w:p>
        </w:tc>
      </w:tr>
      <w:tr>
        <w:trPr>
          <w:trHeight w:val="225"/>
        </w:trPr>
        <w:tc>
          <w:tcPr>
            <w:tcW w:w="4200" w:type="dxa"/>
            <w:vAlign w:val="bottom"/>
            <w:tcBorders>
              <w:top w:val="single" w:sz="8" w:color="4C4C4C"/>
            </w:tcBorders>
          </w:tcPr>
          <w:p>
            <w:pPr>
              <w:ind w:left="80"/>
              <w:spacing w:after="0"/>
              <w:rPr>
                <w:sz w:val="20"/>
                <w:szCs w:val="20"/>
                <w:color w:val="auto"/>
              </w:rPr>
            </w:pPr>
            <w:r>
              <w:rPr>
                <w:rFonts w:ascii="Arial" w:cs="Arial" w:eastAsia="Arial" w:hAnsi="Arial"/>
                <w:sz w:val="14"/>
                <w:szCs w:val="14"/>
                <w:color w:val="4C4C4C"/>
              </w:rPr>
              <w:t>Christine DeBiase</w:t>
            </w:r>
          </w:p>
        </w:tc>
        <w:tc>
          <w:tcPr>
            <w:tcW w:w="1040" w:type="dxa"/>
            <w:vAlign w:val="bottom"/>
            <w:tcBorders>
              <w:top w:val="single" w:sz="8" w:color="4C4C4C"/>
            </w:tcBorders>
          </w:tcPr>
          <w:p>
            <w:pPr>
              <w:jc w:val="center"/>
              <w:spacing w:after="0"/>
              <w:rPr>
                <w:sz w:val="20"/>
                <w:szCs w:val="20"/>
                <w:color w:val="auto"/>
              </w:rPr>
            </w:pPr>
            <w:r>
              <w:rPr>
                <w:rFonts w:ascii="Arial" w:cs="Arial" w:eastAsia="Arial" w:hAnsi="Arial"/>
                <w:sz w:val="14"/>
                <w:szCs w:val="14"/>
                <w:color w:val="4C4C4C"/>
              </w:rPr>
              <w:t>Auxiliary Plan</w:t>
            </w:r>
          </w:p>
        </w:tc>
        <w:tc>
          <w:tcPr>
            <w:tcW w:w="1140" w:type="dxa"/>
            <w:vAlign w:val="bottom"/>
            <w:tcBorders>
              <w:top w:val="single" w:sz="8" w:color="4C4C4C"/>
            </w:tcBorders>
          </w:tcPr>
          <w:p>
            <w:pPr>
              <w:spacing w:after="0"/>
              <w:rPr>
                <w:sz w:val="19"/>
                <w:szCs w:val="19"/>
                <w:color w:val="auto"/>
              </w:rPr>
            </w:pPr>
          </w:p>
        </w:tc>
        <w:tc>
          <w:tcPr>
            <w:tcW w:w="26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rPr>
              <w:t>$</w:t>
            </w:r>
          </w:p>
        </w:tc>
        <w:tc>
          <w:tcPr>
            <w:tcW w:w="980" w:type="dxa"/>
            <w:vAlign w:val="bottom"/>
            <w:tcBorders>
              <w:top w:val="single" w:sz="8" w:color="4C4C4C"/>
            </w:tcBorders>
          </w:tcPr>
          <w:p>
            <w:pPr>
              <w:jc w:val="right"/>
              <w:ind w:right="68"/>
              <w:spacing w:after="0"/>
              <w:rPr>
                <w:sz w:val="20"/>
                <w:szCs w:val="20"/>
                <w:color w:val="auto"/>
              </w:rPr>
            </w:pPr>
            <w:r>
              <w:rPr>
                <w:rFonts w:ascii="Arial" w:cs="Arial" w:eastAsia="Arial" w:hAnsi="Arial"/>
                <w:sz w:val="14"/>
                <w:szCs w:val="14"/>
                <w:color w:val="4C4C4C"/>
              </w:rPr>
              <w:t>110,314</w:t>
            </w:r>
          </w:p>
        </w:tc>
        <w:tc>
          <w:tcPr>
            <w:tcW w:w="24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top w:val="single" w:sz="8" w:color="4C4C4C"/>
            </w:tcBorders>
          </w:tcPr>
          <w:p>
            <w:pPr>
              <w:jc w:val="right"/>
              <w:ind w:right="88"/>
              <w:spacing w:after="0"/>
              <w:rPr>
                <w:sz w:val="20"/>
                <w:szCs w:val="20"/>
                <w:color w:val="auto"/>
              </w:rPr>
            </w:pPr>
            <w:r>
              <w:rPr>
                <w:rFonts w:ascii="Arial" w:cs="Arial" w:eastAsia="Arial" w:hAnsi="Arial"/>
                <w:sz w:val="14"/>
                <w:szCs w:val="14"/>
                <w:color w:val="4C4C4C"/>
              </w:rPr>
              <w:t>57,703</w:t>
            </w:r>
          </w:p>
        </w:tc>
        <w:tc>
          <w:tcPr>
            <w:tcW w:w="1180" w:type="dxa"/>
            <w:vAlign w:val="bottom"/>
            <w:tcBorders>
              <w:top w:val="single" w:sz="8" w:color="4C4C4C"/>
            </w:tcBorders>
          </w:tcPr>
          <w:p>
            <w:pPr>
              <w:spacing w:after="0"/>
              <w:rPr>
                <w:sz w:val="19"/>
                <w:szCs w:val="19"/>
                <w:color w:val="auto"/>
              </w:rPr>
            </w:pPr>
          </w:p>
        </w:tc>
        <w:tc>
          <w:tcPr>
            <w:tcW w:w="28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rPr>
              <w:t>$</w:t>
            </w:r>
          </w:p>
        </w:tc>
        <w:tc>
          <w:tcPr>
            <w:tcW w:w="880" w:type="dxa"/>
            <w:vAlign w:val="bottom"/>
            <w:tcBorders>
              <w:top w:val="single" w:sz="8" w:color="4C4C4C"/>
            </w:tcBorders>
          </w:tcPr>
          <w:p>
            <w:pPr>
              <w:jc w:val="right"/>
              <w:ind w:right="128"/>
              <w:spacing w:after="0"/>
              <w:rPr>
                <w:sz w:val="20"/>
                <w:szCs w:val="20"/>
                <w:color w:val="auto"/>
              </w:rPr>
            </w:pPr>
            <w:r>
              <w:rPr>
                <w:rFonts w:ascii="Arial" w:cs="Arial" w:eastAsia="Arial" w:hAnsi="Arial"/>
                <w:sz w:val="14"/>
                <w:szCs w:val="14"/>
                <w:color w:val="4C4C4C"/>
              </w:rPr>
              <w:t>497,252</w:t>
            </w:r>
          </w:p>
        </w:tc>
      </w:tr>
      <w:tr>
        <w:trPr>
          <w:trHeight w:val="52"/>
        </w:trPr>
        <w:tc>
          <w:tcPr>
            <w:tcW w:w="420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2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118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r>
      <w:tr>
        <w:trPr>
          <w:trHeight w:val="282"/>
        </w:trPr>
        <w:tc>
          <w:tcPr>
            <w:tcW w:w="4200" w:type="dxa"/>
            <w:vAlign w:val="bottom"/>
            <w:tcBorders>
              <w:bottom w:val="single" w:sz="8" w:color="E5F6F8"/>
            </w:tcBorders>
            <w:shd w:val="clear" w:color="auto" w:fill="E5F6F8"/>
          </w:tcPr>
          <w:p>
            <w:pPr>
              <w:ind w:left="80"/>
              <w:spacing w:after="0"/>
              <w:rPr>
                <w:sz w:val="20"/>
                <w:szCs w:val="20"/>
                <w:color w:val="auto"/>
              </w:rPr>
            </w:pPr>
            <w:r>
              <w:rPr>
                <w:rFonts w:ascii="Arial" w:cs="Arial" w:eastAsia="Arial" w:hAnsi="Arial"/>
                <w:sz w:val="14"/>
                <w:szCs w:val="14"/>
                <w:color w:val="4C4C4C"/>
              </w:rPr>
              <w:t>Conor Murphy</w:t>
            </w:r>
          </w:p>
        </w:tc>
        <w:tc>
          <w:tcPr>
            <w:tcW w:w="1040" w:type="dxa"/>
            <w:vAlign w:val="bottom"/>
            <w:tcBorders>
              <w:bottom w:val="single" w:sz="8" w:color="E5F6F8"/>
            </w:tcBorders>
            <w:shd w:val="clear" w:color="auto" w:fill="E5F6F8"/>
          </w:tcPr>
          <w:p>
            <w:pPr>
              <w:jc w:val="center"/>
              <w:spacing w:after="0"/>
              <w:rPr>
                <w:sz w:val="20"/>
                <w:szCs w:val="20"/>
                <w:color w:val="auto"/>
              </w:rPr>
            </w:pPr>
            <w:r>
              <w:rPr>
                <w:rFonts w:ascii="Arial" w:cs="Arial" w:eastAsia="Arial" w:hAnsi="Arial"/>
                <w:sz w:val="14"/>
                <w:szCs w:val="14"/>
                <w:color w:val="4C4C4C"/>
              </w:rPr>
              <w:t>Auxiliary Plan</w:t>
            </w:r>
          </w:p>
        </w:tc>
        <w:tc>
          <w:tcPr>
            <w:tcW w:w="1140" w:type="dxa"/>
            <w:vAlign w:val="bottom"/>
            <w:tcBorders>
              <w:bottom w:val="single" w:sz="8" w:color="E5F6F8"/>
            </w:tcBorders>
            <w:shd w:val="clear" w:color="auto" w:fill="E5F6F8"/>
          </w:tcPr>
          <w:p>
            <w:pPr>
              <w:spacing w:after="0"/>
              <w:rPr>
                <w:sz w:val="24"/>
                <w:szCs w:val="24"/>
                <w:color w:val="auto"/>
              </w:rPr>
            </w:pPr>
          </w:p>
        </w:tc>
        <w:tc>
          <w:tcPr>
            <w:tcW w:w="26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rPr>
              <w:t>$</w:t>
            </w:r>
          </w:p>
        </w:tc>
        <w:tc>
          <w:tcPr>
            <w:tcW w:w="980" w:type="dxa"/>
            <w:vAlign w:val="bottom"/>
            <w:tcBorders>
              <w:bottom w:val="single" w:sz="8" w:color="E5F6F8"/>
            </w:tcBorders>
            <w:shd w:val="clear" w:color="auto" w:fill="E5F6F8"/>
          </w:tcPr>
          <w:p>
            <w:pPr>
              <w:jc w:val="right"/>
              <w:ind w:right="68"/>
              <w:spacing w:after="0"/>
              <w:rPr>
                <w:sz w:val="20"/>
                <w:szCs w:val="20"/>
                <w:color w:val="auto"/>
              </w:rPr>
            </w:pPr>
            <w:r>
              <w:rPr>
                <w:rFonts w:ascii="Arial" w:cs="Arial" w:eastAsia="Arial" w:hAnsi="Arial"/>
                <w:sz w:val="14"/>
                <w:szCs w:val="14"/>
                <w:color w:val="4C4C4C"/>
              </w:rPr>
              <w:t>115,123</w:t>
            </w:r>
          </w:p>
        </w:tc>
        <w:tc>
          <w:tcPr>
            <w:tcW w:w="24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bottom w:val="single" w:sz="8" w:color="E5F6F8"/>
            </w:tcBorders>
            <w:shd w:val="clear" w:color="auto" w:fill="E5F6F8"/>
          </w:tcPr>
          <w:p>
            <w:pPr>
              <w:jc w:val="right"/>
              <w:ind w:right="88"/>
              <w:spacing w:after="0"/>
              <w:rPr>
                <w:sz w:val="20"/>
                <w:szCs w:val="20"/>
                <w:color w:val="auto"/>
              </w:rPr>
            </w:pPr>
            <w:r>
              <w:rPr>
                <w:rFonts w:ascii="Arial" w:cs="Arial" w:eastAsia="Arial" w:hAnsi="Arial"/>
                <w:sz w:val="14"/>
                <w:szCs w:val="14"/>
                <w:color w:val="4C4C4C"/>
              </w:rPr>
              <w:t>0</w:t>
            </w:r>
          </w:p>
        </w:tc>
        <w:tc>
          <w:tcPr>
            <w:tcW w:w="1180" w:type="dxa"/>
            <w:vAlign w:val="bottom"/>
            <w:tcBorders>
              <w:bottom w:val="single" w:sz="8" w:color="E5F6F8"/>
            </w:tcBorders>
            <w:shd w:val="clear" w:color="auto" w:fill="E5F6F8"/>
          </w:tcPr>
          <w:p>
            <w:pPr>
              <w:spacing w:after="0"/>
              <w:rPr>
                <w:sz w:val="24"/>
                <w:szCs w:val="24"/>
                <w:color w:val="auto"/>
              </w:rPr>
            </w:pPr>
          </w:p>
        </w:tc>
        <w:tc>
          <w:tcPr>
            <w:tcW w:w="280" w:type="dxa"/>
            <w:vAlign w:val="bottom"/>
            <w:tcBorders>
              <w:bottom w:val="single" w:sz="8" w:color="E5F6F8"/>
            </w:tcBorders>
            <w:shd w:val="clear" w:color="auto" w:fill="E5F6F8"/>
          </w:tcPr>
          <w:p>
            <w:pPr>
              <w:ind w:left="160"/>
              <w:spacing w:after="0"/>
              <w:rPr>
                <w:sz w:val="20"/>
                <w:szCs w:val="20"/>
                <w:color w:val="auto"/>
              </w:rPr>
            </w:pPr>
            <w:r>
              <w:rPr>
                <w:rFonts w:ascii="Arial" w:cs="Arial" w:eastAsia="Arial" w:hAnsi="Arial"/>
                <w:sz w:val="14"/>
                <w:szCs w:val="14"/>
                <w:color w:val="4C4C4C"/>
              </w:rPr>
              <w:t>$</w:t>
            </w:r>
          </w:p>
        </w:tc>
        <w:tc>
          <w:tcPr>
            <w:tcW w:w="880" w:type="dxa"/>
            <w:vAlign w:val="bottom"/>
            <w:tcBorders>
              <w:bottom w:val="single" w:sz="8" w:color="E5F6F8"/>
            </w:tcBorders>
            <w:shd w:val="clear" w:color="auto" w:fill="E5F6F8"/>
          </w:tcPr>
          <w:p>
            <w:pPr>
              <w:jc w:val="right"/>
              <w:ind w:right="128"/>
              <w:spacing w:after="0"/>
              <w:rPr>
                <w:sz w:val="20"/>
                <w:szCs w:val="20"/>
                <w:color w:val="auto"/>
              </w:rPr>
            </w:pPr>
            <w:r>
              <w:rPr>
                <w:rFonts w:ascii="Arial" w:cs="Arial" w:eastAsia="Arial" w:hAnsi="Arial"/>
                <w:sz w:val="14"/>
                <w:szCs w:val="14"/>
                <w:color w:val="4C4C4C"/>
              </w:rPr>
              <w:t>340,754</w:t>
            </w:r>
          </w:p>
        </w:tc>
      </w:tr>
      <w:tr>
        <w:trPr>
          <w:trHeight w:val="225"/>
        </w:trPr>
        <w:tc>
          <w:tcPr>
            <w:tcW w:w="4200" w:type="dxa"/>
            <w:vAlign w:val="bottom"/>
            <w:tcBorders>
              <w:top w:val="single" w:sz="8" w:color="4C4C4C"/>
            </w:tcBorders>
          </w:tcPr>
          <w:p>
            <w:pPr>
              <w:ind w:left="80"/>
              <w:spacing w:after="0"/>
              <w:rPr>
                <w:sz w:val="20"/>
                <w:szCs w:val="20"/>
                <w:color w:val="auto"/>
              </w:rPr>
            </w:pPr>
            <w:r>
              <w:rPr>
                <w:rFonts w:ascii="Arial" w:cs="Arial" w:eastAsia="Arial" w:hAnsi="Arial"/>
                <w:sz w:val="14"/>
                <w:szCs w:val="14"/>
                <w:color w:val="4C4C4C"/>
              </w:rPr>
              <w:t>John Rosenthal</w:t>
            </w:r>
          </w:p>
        </w:tc>
        <w:tc>
          <w:tcPr>
            <w:tcW w:w="1040" w:type="dxa"/>
            <w:vAlign w:val="bottom"/>
            <w:tcBorders>
              <w:top w:val="single" w:sz="8" w:color="4C4C4C"/>
            </w:tcBorders>
          </w:tcPr>
          <w:p>
            <w:pPr>
              <w:jc w:val="center"/>
              <w:spacing w:after="0"/>
              <w:rPr>
                <w:sz w:val="20"/>
                <w:szCs w:val="20"/>
                <w:color w:val="auto"/>
              </w:rPr>
            </w:pPr>
            <w:r>
              <w:rPr>
                <w:rFonts w:ascii="Arial" w:cs="Arial" w:eastAsia="Arial" w:hAnsi="Arial"/>
                <w:sz w:val="14"/>
                <w:szCs w:val="14"/>
                <w:color w:val="4C4C4C"/>
              </w:rPr>
              <w:t>Auxiliary Plan</w:t>
            </w:r>
          </w:p>
        </w:tc>
        <w:tc>
          <w:tcPr>
            <w:tcW w:w="1140" w:type="dxa"/>
            <w:vAlign w:val="bottom"/>
            <w:tcBorders>
              <w:top w:val="single" w:sz="8" w:color="4C4C4C"/>
            </w:tcBorders>
          </w:tcPr>
          <w:p>
            <w:pPr>
              <w:spacing w:after="0"/>
              <w:rPr>
                <w:sz w:val="19"/>
                <w:szCs w:val="19"/>
                <w:color w:val="auto"/>
              </w:rPr>
            </w:pPr>
          </w:p>
        </w:tc>
        <w:tc>
          <w:tcPr>
            <w:tcW w:w="26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rPr>
              <w:t>$</w:t>
            </w:r>
          </w:p>
        </w:tc>
        <w:tc>
          <w:tcPr>
            <w:tcW w:w="980" w:type="dxa"/>
            <w:vAlign w:val="bottom"/>
            <w:tcBorders>
              <w:top w:val="single" w:sz="8" w:color="4C4C4C"/>
            </w:tcBorders>
          </w:tcPr>
          <w:p>
            <w:pPr>
              <w:jc w:val="right"/>
              <w:ind w:right="68"/>
              <w:spacing w:after="0"/>
              <w:rPr>
                <w:sz w:val="20"/>
                <w:szCs w:val="20"/>
                <w:color w:val="auto"/>
              </w:rPr>
            </w:pPr>
            <w:r>
              <w:rPr>
                <w:rFonts w:ascii="Arial" w:cs="Arial" w:eastAsia="Arial" w:hAnsi="Arial"/>
                <w:sz w:val="14"/>
                <w:szCs w:val="14"/>
                <w:color w:val="4C4C4C"/>
              </w:rPr>
              <w:t>136,475</w:t>
            </w:r>
          </w:p>
        </w:tc>
        <w:tc>
          <w:tcPr>
            <w:tcW w:w="24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w w:val="76"/>
              </w:rPr>
              <w:t>$</w:t>
            </w:r>
          </w:p>
        </w:tc>
        <w:tc>
          <w:tcPr>
            <w:tcW w:w="820" w:type="dxa"/>
            <w:vAlign w:val="bottom"/>
            <w:tcBorders>
              <w:top w:val="single" w:sz="8" w:color="4C4C4C"/>
            </w:tcBorders>
          </w:tcPr>
          <w:p>
            <w:pPr>
              <w:jc w:val="right"/>
              <w:ind w:right="88"/>
              <w:spacing w:after="0"/>
              <w:rPr>
                <w:sz w:val="20"/>
                <w:szCs w:val="20"/>
                <w:color w:val="auto"/>
              </w:rPr>
            </w:pPr>
            <w:r>
              <w:rPr>
                <w:rFonts w:ascii="Arial" w:cs="Arial" w:eastAsia="Arial" w:hAnsi="Arial"/>
                <w:sz w:val="14"/>
                <w:szCs w:val="14"/>
                <w:color w:val="4C4C4C"/>
              </w:rPr>
              <w:t>61,160</w:t>
            </w:r>
          </w:p>
        </w:tc>
        <w:tc>
          <w:tcPr>
            <w:tcW w:w="1180" w:type="dxa"/>
            <w:vAlign w:val="bottom"/>
            <w:tcBorders>
              <w:top w:val="single" w:sz="8" w:color="4C4C4C"/>
            </w:tcBorders>
          </w:tcPr>
          <w:p>
            <w:pPr>
              <w:spacing w:after="0"/>
              <w:rPr>
                <w:sz w:val="19"/>
                <w:szCs w:val="19"/>
                <w:color w:val="auto"/>
              </w:rPr>
            </w:pPr>
          </w:p>
        </w:tc>
        <w:tc>
          <w:tcPr>
            <w:tcW w:w="280" w:type="dxa"/>
            <w:vAlign w:val="bottom"/>
            <w:tcBorders>
              <w:top w:val="single" w:sz="8" w:color="4C4C4C"/>
            </w:tcBorders>
          </w:tcPr>
          <w:p>
            <w:pPr>
              <w:ind w:left="160"/>
              <w:spacing w:after="0"/>
              <w:rPr>
                <w:sz w:val="20"/>
                <w:szCs w:val="20"/>
                <w:color w:val="auto"/>
              </w:rPr>
            </w:pPr>
            <w:r>
              <w:rPr>
                <w:rFonts w:ascii="Arial" w:cs="Arial" w:eastAsia="Arial" w:hAnsi="Arial"/>
                <w:sz w:val="14"/>
                <w:szCs w:val="14"/>
                <w:color w:val="4C4C4C"/>
              </w:rPr>
              <w:t>$</w:t>
            </w:r>
          </w:p>
        </w:tc>
        <w:tc>
          <w:tcPr>
            <w:tcW w:w="880" w:type="dxa"/>
            <w:vAlign w:val="bottom"/>
            <w:tcBorders>
              <w:top w:val="single" w:sz="8" w:color="4C4C4C"/>
            </w:tcBorders>
          </w:tcPr>
          <w:p>
            <w:pPr>
              <w:jc w:val="right"/>
              <w:ind w:right="128"/>
              <w:spacing w:after="0"/>
              <w:rPr>
                <w:sz w:val="20"/>
                <w:szCs w:val="20"/>
                <w:color w:val="auto"/>
              </w:rPr>
            </w:pPr>
            <w:r>
              <w:rPr>
                <w:rFonts w:ascii="Arial" w:cs="Arial" w:eastAsia="Arial" w:hAnsi="Arial"/>
                <w:sz w:val="14"/>
                <w:szCs w:val="14"/>
                <w:color w:val="4C4C4C"/>
              </w:rPr>
              <w:t>709,861</w:t>
            </w:r>
          </w:p>
        </w:tc>
      </w:tr>
      <w:tr>
        <w:trPr>
          <w:trHeight w:val="53"/>
        </w:trPr>
        <w:tc>
          <w:tcPr>
            <w:tcW w:w="420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26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2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118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880" w:type="dxa"/>
            <w:vAlign w:val="bottom"/>
            <w:tcBorders>
              <w:bottom w:val="single" w:sz="8" w:color="4C4C4C"/>
            </w:tcBorders>
          </w:tcPr>
          <w:p>
            <w:pPr>
              <w:spacing w:after="0"/>
              <w:rPr>
                <w:sz w:val="4"/>
                <w:szCs w:val="4"/>
                <w:color w:val="auto"/>
              </w:rPr>
            </w:pPr>
          </w:p>
        </w:tc>
      </w:tr>
    </w:tbl>
    <w:p>
      <w:pPr>
        <w:spacing w:after="0" w:line="121" w:lineRule="exact"/>
        <w:rPr>
          <w:sz w:val="20"/>
          <w:szCs w:val="20"/>
          <w:color w:val="auto"/>
        </w:rPr>
      </w:pPr>
    </w:p>
    <w:p>
      <w:pPr>
        <w:ind w:left="540" w:right="200" w:hanging="424"/>
        <w:spacing w:after="0" w:line="246" w:lineRule="auto"/>
        <w:tabs>
          <w:tab w:leader="none" w:pos="540" w:val="left"/>
        </w:tabs>
        <w:numPr>
          <w:ilvl w:val="0"/>
          <w:numId w:val="149"/>
        </w:numPr>
        <w:rPr>
          <w:rFonts w:ascii="Arial" w:cs="Arial" w:eastAsia="Arial" w:hAnsi="Arial"/>
          <w:sz w:val="18"/>
          <w:szCs w:val="18"/>
          <w:color w:val="4C4C4C"/>
        </w:rPr>
      </w:pPr>
      <w:r>
        <w:rPr>
          <w:rFonts w:ascii="Arial" w:cs="Arial" w:eastAsia="Arial" w:hAnsi="Arial"/>
          <w:sz w:val="18"/>
          <w:szCs w:val="18"/>
          <w:color w:val="4C4C4C"/>
        </w:rPr>
        <w:t>Amounts in this column are reported as components of employer contributions to the Auxiliary Plan for Fiscal 2020 in the “</w:t>
      </w:r>
      <w:r>
        <w:rPr>
          <w:rFonts w:ascii="Arial" w:cs="Arial" w:eastAsia="Arial" w:hAnsi="Arial"/>
          <w:sz w:val="18"/>
          <w:szCs w:val="18"/>
          <w:color w:val="00ADBB"/>
        </w:rPr>
        <w:t>All Other</w:t>
      </w:r>
      <w:r>
        <w:rPr>
          <w:rFonts w:ascii="Arial" w:cs="Arial" w:eastAsia="Arial" w:hAnsi="Arial"/>
          <w:sz w:val="18"/>
          <w:szCs w:val="18"/>
          <w:color w:val="4C4C4C"/>
        </w:rPr>
        <w:t xml:space="preserve"> </w:t>
      </w:r>
      <w:r>
        <w:rPr>
          <w:rFonts w:ascii="Arial" w:cs="Arial" w:eastAsia="Arial" w:hAnsi="Arial"/>
          <w:sz w:val="18"/>
          <w:szCs w:val="18"/>
          <w:color w:val="00ADBB"/>
        </w:rPr>
        <w:t>Compensation</w:t>
      </w:r>
      <w:r>
        <w:rPr>
          <w:rFonts w:ascii="Arial" w:cs="Arial" w:eastAsia="Arial" w:hAnsi="Arial"/>
          <w:sz w:val="18"/>
          <w:szCs w:val="18"/>
          <w:color w:val="4C4C4C"/>
        </w:rPr>
        <w:t>” column of the</w:t>
      </w:r>
      <w:r>
        <w:rPr>
          <w:rFonts w:ascii="Arial" w:cs="Arial" w:eastAsia="Arial" w:hAnsi="Arial"/>
          <w:sz w:val="18"/>
          <w:szCs w:val="18"/>
          <w:color w:val="00ADBB"/>
        </w:rPr>
        <w:t xml:space="preserve"> Summary Compensation Table </w:t>
      </w:r>
      <w:r>
        <w:rPr>
          <w:rFonts w:ascii="Arial" w:cs="Arial" w:eastAsia="Arial" w:hAnsi="Arial"/>
          <w:sz w:val="18"/>
          <w:szCs w:val="18"/>
          <w:color w:val="4C4C4C"/>
        </w:rPr>
        <w:t>above.</w:t>
      </w:r>
    </w:p>
    <w:p>
      <w:pPr>
        <w:spacing w:after="0" w:line="102" w:lineRule="exact"/>
        <w:rPr>
          <w:rFonts w:ascii="Arial" w:cs="Arial" w:eastAsia="Arial" w:hAnsi="Arial"/>
          <w:sz w:val="18"/>
          <w:szCs w:val="18"/>
          <w:color w:val="4C4C4C"/>
        </w:rPr>
      </w:pPr>
    </w:p>
    <w:p>
      <w:pPr>
        <w:ind w:left="540" w:right="160" w:hanging="424"/>
        <w:spacing w:after="0" w:line="237" w:lineRule="auto"/>
        <w:tabs>
          <w:tab w:leader="none" w:pos="540" w:val="left"/>
        </w:tabs>
        <w:numPr>
          <w:ilvl w:val="0"/>
          <w:numId w:val="149"/>
        </w:numPr>
        <w:rPr>
          <w:rFonts w:ascii="Arial" w:cs="Arial" w:eastAsia="Arial" w:hAnsi="Arial"/>
          <w:sz w:val="18"/>
          <w:szCs w:val="18"/>
          <w:color w:val="4C4C4C"/>
        </w:rPr>
      </w:pPr>
      <w:r>
        <w:rPr>
          <w:rFonts w:ascii="Arial" w:cs="Arial" w:eastAsia="Arial" w:hAnsi="Arial"/>
          <w:sz w:val="18"/>
          <w:szCs w:val="18"/>
          <w:color w:val="4C4C4C"/>
        </w:rPr>
        <w:t>Amounts in this column that were previously reported in the “</w:t>
      </w:r>
      <w:r>
        <w:rPr>
          <w:rFonts w:ascii="Arial" w:cs="Arial" w:eastAsia="Arial" w:hAnsi="Arial"/>
          <w:sz w:val="18"/>
          <w:szCs w:val="18"/>
          <w:color w:val="00ADBB"/>
        </w:rPr>
        <w:t>All Other Compensation</w:t>
      </w:r>
      <w:r>
        <w:rPr>
          <w:rFonts w:ascii="Arial" w:cs="Arial" w:eastAsia="Arial" w:hAnsi="Arial"/>
          <w:sz w:val="18"/>
          <w:szCs w:val="18"/>
          <w:color w:val="4C4C4C"/>
        </w:rPr>
        <w:t>” column of the Summary Compensation Table included in the (a) 2018 Proxy Statement were as follows: Mr. Steigerwalt ($108,632); Ms. DeBiase ($41,146); and Mr. Rosenthal ($66,236); (b) 2019 Proxy Statement were as follows: Mr. Steigerwalt ($271,445); Ms. DeBiase ($112,983); Mr. Murphy ($85,293); and Mr. Rosenthal ($152,756); and (c) 2020 Proxy Statement were as follows: Mr. Steigerwalt ($288,313); Mr. Spehar ($17,167); Ms. DeBiase ($122,247); Mr. Murphy ($128,902); and Mr. Rosenthal ($163,853). Aggregate balances at 2019 Fiscal Year End were as follows: Mr. Steigerwalt ($848,259); Mr. Spehar ($17,167); Ms. DeBiase ($329,235); Mr. Murphy ($225,631); and Mr. Rosenthal ($512,226). Mr. Murphy was not an NEO prior to 2018. Mr. Spehar was not an NEO prior to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Auxiliary Plan</w:t>
      </w:r>
    </w:p>
    <w:p>
      <w:pPr>
        <w:spacing w:after="0" w:line="1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4C4C4C"/>
        </w:rPr>
        <w:t>NEOs and other eligible employees who elected to contribute a portion of their eligible compensation under the tax-qualified Brighthouse Savings Plan in 2020 received a Company matching contribution which is equal to 100% of up to the first 6% of their eligible compensation in that plan in 2020. In addition, a non-discretionary Company contribution equal to 3% of eligible compensation was allocated to eligible employees in that plan in 2020. The Code limits compensation that is eligible for employer contributions under the Brighthouse Savings Plan. In 2020, the Company could not make contributions based on compensation over $285,000.</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71</w:t>
      </w:r>
    </w:p>
    <w:p>
      <w:pPr>
        <w:sectPr>
          <w:pgSz w:w="11900" w:h="16838" w:orient="portrait"/>
          <w:cols w:equalWidth="0" w:num="1">
            <w:col w:w="11140"/>
          </w:cols>
          <w:pgMar w:left="320" w:top="459" w:right="4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Nonqualified Deferred Compensation in 2020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0ADBB"/>
        </w:rPr>
        <w:t>Brighthouse Financial, Inc.</w:t>
      </w:r>
    </w:p>
    <w:p>
      <w:pPr>
        <w:spacing w:after="0" w:line="350" w:lineRule="exact"/>
        <w:rPr>
          <w:sz w:val="20"/>
          <w:szCs w:val="20"/>
          <w:color w:val="auto"/>
        </w:rPr>
      </w:pPr>
    </w:p>
    <w:p>
      <w:pPr>
        <w:sectPr>
          <w:pgSz w:w="11900" w:h="16838" w:orient="portrait"/>
          <w:cols w:equalWidth="0" w:num="2">
            <w:col w:w="8800" w:space="720"/>
            <w:col w:w="1620"/>
          </w:cols>
          <w:pgMar w:left="320" w:top="459" w:right="439" w:bottom="1440" w:gutter="0" w:footer="0" w:header="0"/>
          <w:type w:val="continuous"/>
        </w:sectPr>
      </w:pPr>
    </w:p>
    <w:p>
      <w:pPr>
        <w:spacing w:after="0" w:line="140" w:lineRule="exact"/>
        <w:rPr>
          <w:sz w:val="20"/>
          <w:szCs w:val="20"/>
          <w:color w:val="auto"/>
        </w:rPr>
      </w:pPr>
    </w:p>
    <w:p>
      <w:pPr>
        <w:ind w:left="280" w:right="320"/>
        <w:spacing w:after="0" w:line="237" w:lineRule="auto"/>
        <w:rPr>
          <w:sz w:val="20"/>
          <w:szCs w:val="20"/>
          <w:color w:val="auto"/>
        </w:rPr>
      </w:pPr>
      <w:r>
        <w:rPr>
          <w:rFonts w:ascii="Arial" w:cs="Arial" w:eastAsia="Arial" w:hAnsi="Arial"/>
          <w:sz w:val="18"/>
          <w:szCs w:val="18"/>
          <w:color w:val="4C4C4C"/>
        </w:rPr>
        <w:t>NEOs and other eligible employees who elected to participate in the Brighthouse Savings Plan during 2020 were credited under the Auxiliary Plan with a percentage of their eligible compensation beyond the compensation limit. The Company contribution, including both the matching and non-elective contribution, was determined using the same employee contribution rate and Company contribution rate as applied under the Brighthouse Savings Plan. This Company contribution is credited to an account established for the employee under the nonqualified Auxiliary Plan. Auxiliary Plan balances are paid in a lump sum as soon as administratively practicable after termination of employment.</w:t>
      </w:r>
    </w:p>
    <w:p>
      <w:pPr>
        <w:spacing w:after="0" w:line="75" w:lineRule="exact"/>
        <w:rPr>
          <w:sz w:val="20"/>
          <w:szCs w:val="20"/>
          <w:color w:val="auto"/>
        </w:rPr>
      </w:pPr>
    </w:p>
    <w:p>
      <w:pPr>
        <w:ind w:left="280" w:right="320"/>
        <w:spacing w:after="0" w:line="253" w:lineRule="auto"/>
        <w:rPr>
          <w:sz w:val="20"/>
          <w:szCs w:val="20"/>
          <w:color w:val="auto"/>
        </w:rPr>
      </w:pPr>
      <w:r>
        <w:rPr>
          <w:rFonts w:ascii="Arial" w:cs="Arial" w:eastAsia="Arial" w:hAnsi="Arial"/>
          <w:sz w:val="18"/>
          <w:szCs w:val="18"/>
          <w:color w:val="4C4C4C"/>
        </w:rPr>
        <w:t>Amounts in the Auxiliary Plan are subject to the requirements of Section 409A of the Code (“</w:t>
      </w:r>
      <w:r>
        <w:rPr>
          <w:rFonts w:ascii="Arial" w:cs="Arial" w:eastAsia="Arial" w:hAnsi="Arial"/>
          <w:sz w:val="18"/>
          <w:szCs w:val="18"/>
          <w:b w:val="1"/>
          <w:bCs w:val="1"/>
          <w:color w:val="00ADBB"/>
        </w:rPr>
        <w:t>Section 409A</w:t>
      </w:r>
      <w:r>
        <w:rPr>
          <w:rFonts w:ascii="Arial" w:cs="Arial" w:eastAsia="Arial" w:hAnsi="Arial"/>
          <w:sz w:val="18"/>
          <w:szCs w:val="18"/>
          <w:color w:val="4C4C4C"/>
        </w:rPr>
        <w:t>”). Payments to the top 50 highest paid officers that are due upon separation from service are delayed for six months following their separation, in compliance with Section 409A.</w:t>
      </w:r>
    </w:p>
    <w:p>
      <w:pPr>
        <w:spacing w:after="0" w:line="83" w:lineRule="exact"/>
        <w:rPr>
          <w:sz w:val="20"/>
          <w:szCs w:val="20"/>
          <w:color w:val="auto"/>
        </w:rPr>
      </w:pPr>
    </w:p>
    <w:p>
      <w:pPr>
        <w:ind w:left="280" w:right="260"/>
        <w:spacing w:after="0" w:line="235" w:lineRule="auto"/>
        <w:rPr>
          <w:sz w:val="20"/>
          <w:szCs w:val="20"/>
          <w:color w:val="auto"/>
        </w:rPr>
      </w:pPr>
      <w:r>
        <w:rPr>
          <w:rFonts w:ascii="Arial" w:cs="Arial" w:eastAsia="Arial" w:hAnsi="Arial"/>
          <w:sz w:val="18"/>
          <w:szCs w:val="18"/>
          <w:color w:val="4C4C4C"/>
        </w:rPr>
        <w:t>Employees may choose from a number of simulated investments for their Auxiliary Plan accounts. These simulated investments were similar to the core funds offered under the Brighthouse Savings Plan in 2020. Employees may change the simulated investments for new Company contributions to their Auxiliary Plan accounts at any time. The simulated investment return for each of the alternatives under the Auxiliary Plan for calendar year 2020 is as follows: Schwab Government Money Fund – Investor Shares, 1.90%; Western Asset Core Bond Fund Class Investor Shares, 9.13%; Vanguard Inflation-Protected Securities Fund Admiral Shares, 10.96%; Vanguard Value Index Fund Admiral Shares 2.29%; Vanguard Value Index Fund Institutional Shares, 2.30%; Vanguard 500 Index Fund Admiral Shares, 18.37%; Vanguard Mid-Cap Index Fund Admiral Shares, 18.24%; Vanguard Small Cap Index Fund Admiral Shares, 19.11%; Fidelity Nasdaq Composite Index, 44.58%; Fidelity Overseas Fund, 15.42%; Vanguard Emerging Markets Stock Index Fund Admiral Shares, 15.24%; Cohen &amp; Steers Real Estate Securities Fund, Inc. Class Institutional, -1.75%; American Funds 2010 Target Date Retirement Fund – Class R6, 9.25%; American Funds 2015 Target Date Retirement Fund – Class R6, 9.96%; American Funds 2020 Target Date Retirement Fund – Class R6, 10.99%; American Funds 2025 Target Date Retirement Fund – Class R6, 13.67%; American Funds 2030 Target Date Retirement Fund – Class R6, 15.16%; American Funds 2035 Target Date Retirement Fund – Class R6, 17.55%; American Funds 2040 Target Date Retirement Fund – Class R6, 18.77%; American Funds 2045 Target Date Retirement Fund – Class R6, 19.21%; American Funds 2050 Target Date Retirement Fund – Class R6, 19.42%; American Funds 2055 Target Date Retirement Fund – Class R6, 19.39%; American Funds 2060 Target Date Retirement Fund – Class R6, 19.44%; and American Funds 2065 Target Date Retirement Fund – Class R6, 0.00%.</w:t>
      </w: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72 | 2021 Proxy Statement</w:t>
      </w:r>
    </w:p>
    <w:p>
      <w:pPr>
        <w:sectPr>
          <w:pgSz w:w="11900" w:h="16838" w:orient="portrait"/>
          <w:cols w:equalWidth="0" w:num="1">
            <w:col w:w="11140"/>
          </w:cols>
          <w:pgMar w:left="320" w:top="459" w:right="4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Potential Payments Upon Termination or Change in Control</w:t>
      </w:r>
    </w:p>
    <w:p>
      <w:pPr>
        <w:spacing w:after="0" w:line="200" w:lineRule="exact"/>
        <w:rPr>
          <w:sz w:val="20"/>
          <w:szCs w:val="20"/>
          <w:color w:val="auto"/>
        </w:rPr>
      </w:pPr>
    </w:p>
    <w:p>
      <w:pPr>
        <w:sectPr>
          <w:pgSz w:w="11900" w:h="16838" w:orient="portrait"/>
          <w:cols w:equalWidth="0" w:num="2">
            <w:col w:w="6860" w:space="720"/>
            <w:col w:w="3560"/>
          </w:cols>
          <w:pgMar w:left="320" w:top="459" w:right="439" w:bottom="1440" w:gutter="0" w:footer="0" w:header="0"/>
          <w:type w:val="continuous"/>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Potential Payments Upon Termination or Change in Control</w:t>
      </w:r>
    </w:p>
    <w:p>
      <w:pPr>
        <w:spacing w:after="0" w:line="125" w:lineRule="exact"/>
        <w:rPr>
          <w:sz w:val="20"/>
          <w:szCs w:val="20"/>
          <w:color w:val="auto"/>
        </w:rPr>
      </w:pPr>
    </w:p>
    <w:p>
      <w:pPr>
        <w:ind w:left="120" w:right="540"/>
        <w:spacing w:after="0" w:line="274" w:lineRule="auto"/>
        <w:rPr>
          <w:sz w:val="20"/>
          <w:szCs w:val="20"/>
          <w:color w:val="auto"/>
        </w:rPr>
      </w:pPr>
      <w:r>
        <w:rPr>
          <w:rFonts w:ascii="Arial" w:cs="Arial" w:eastAsia="Arial" w:hAnsi="Arial"/>
          <w:sz w:val="17"/>
          <w:szCs w:val="17"/>
          <w:color w:val="4C4C4C"/>
        </w:rPr>
        <w:t>The following table sets forth, for each NEO, an estimate of potential payments the NEO would have received at, following, or in connection with a termination of employment under the circumstances described below on December 31, 2020 (the “</w:t>
      </w:r>
      <w:r>
        <w:rPr>
          <w:rFonts w:ascii="Arial" w:cs="Arial" w:eastAsia="Arial" w:hAnsi="Arial"/>
          <w:sz w:val="17"/>
          <w:szCs w:val="17"/>
          <w:b w:val="1"/>
          <w:bCs w:val="1"/>
          <w:color w:val="00ADBB"/>
        </w:rPr>
        <w:t>Trigger Date</w:t>
      </w:r>
      <w:r>
        <w:rPr>
          <w:rFonts w:ascii="Arial" w:cs="Arial" w:eastAsia="Arial" w:hAnsi="Arial"/>
          <w:sz w:val="17"/>
          <w:szCs w:val="17"/>
          <w:color w:val="4C4C4C"/>
        </w:rPr>
        <w:t>”).</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2820" w:type="dxa"/>
            <w:vAlign w:val="bottom"/>
            <w:shd w:val="clear" w:color="auto" w:fill="00ADBB"/>
          </w:tcPr>
          <w:p>
            <w:pPr>
              <w:spacing w:after="0"/>
              <w:rPr>
                <w:sz w:val="23"/>
                <w:szCs w:val="23"/>
                <w:color w:val="auto"/>
              </w:rPr>
            </w:pPr>
          </w:p>
        </w:tc>
        <w:tc>
          <w:tcPr>
            <w:tcW w:w="100" w:type="dxa"/>
            <w:vAlign w:val="bottom"/>
            <w:shd w:val="clear" w:color="auto" w:fill="00ADBB"/>
          </w:tcPr>
          <w:p>
            <w:pPr>
              <w:spacing w:after="0"/>
              <w:rPr>
                <w:sz w:val="23"/>
                <w:szCs w:val="23"/>
                <w:color w:val="auto"/>
              </w:rPr>
            </w:pPr>
          </w:p>
        </w:tc>
        <w:tc>
          <w:tcPr>
            <w:tcW w:w="2080" w:type="dxa"/>
            <w:vAlign w:val="bottom"/>
            <w:shd w:val="clear" w:color="auto" w:fill="00ADBB"/>
          </w:tcPr>
          <w:p>
            <w:pPr>
              <w:spacing w:after="0"/>
              <w:rPr>
                <w:sz w:val="23"/>
                <w:szCs w:val="23"/>
                <w:color w:val="auto"/>
              </w:rPr>
            </w:pPr>
          </w:p>
        </w:tc>
        <w:tc>
          <w:tcPr>
            <w:tcW w:w="200" w:type="dxa"/>
            <w:vAlign w:val="bottom"/>
            <w:shd w:val="clear" w:color="auto" w:fill="00ADBB"/>
          </w:tcPr>
          <w:p>
            <w:pPr>
              <w:spacing w:after="0"/>
              <w:rPr>
                <w:sz w:val="23"/>
                <w:szCs w:val="23"/>
                <w:color w:val="auto"/>
              </w:rPr>
            </w:pPr>
          </w:p>
        </w:tc>
        <w:tc>
          <w:tcPr>
            <w:tcW w:w="1000" w:type="dxa"/>
            <w:vAlign w:val="bottom"/>
            <w:shd w:val="clear" w:color="auto" w:fill="00ADBB"/>
          </w:tcPr>
          <w:p>
            <w:pPr>
              <w:spacing w:after="0"/>
              <w:rPr>
                <w:sz w:val="23"/>
                <w:szCs w:val="23"/>
                <w:color w:val="auto"/>
              </w:rPr>
            </w:pPr>
          </w:p>
        </w:tc>
        <w:tc>
          <w:tcPr>
            <w:tcW w:w="220" w:type="dxa"/>
            <w:vAlign w:val="bottom"/>
            <w:shd w:val="clear" w:color="auto" w:fill="00ADBB"/>
          </w:tcPr>
          <w:p>
            <w:pPr>
              <w:spacing w:after="0"/>
              <w:rPr>
                <w:sz w:val="23"/>
                <w:szCs w:val="23"/>
                <w:color w:val="auto"/>
              </w:rPr>
            </w:pPr>
          </w:p>
        </w:tc>
        <w:tc>
          <w:tcPr>
            <w:tcW w:w="920" w:type="dxa"/>
            <w:vAlign w:val="bottom"/>
            <w:shd w:val="clear" w:color="auto" w:fill="00ADBB"/>
          </w:tcPr>
          <w:p>
            <w:pPr>
              <w:spacing w:after="0"/>
              <w:rPr>
                <w:sz w:val="23"/>
                <w:szCs w:val="23"/>
                <w:color w:val="auto"/>
              </w:rPr>
            </w:pPr>
          </w:p>
        </w:tc>
        <w:tc>
          <w:tcPr>
            <w:tcW w:w="1380" w:type="dxa"/>
            <w:vAlign w:val="bottom"/>
            <w:gridSpan w:val="2"/>
            <w:shd w:val="clear" w:color="auto" w:fill="00ADBB"/>
          </w:tcPr>
          <w:p>
            <w:pPr>
              <w:ind w:left="20"/>
              <w:spacing w:after="0"/>
              <w:rPr>
                <w:sz w:val="20"/>
                <w:szCs w:val="20"/>
                <w:color w:val="auto"/>
              </w:rPr>
            </w:pPr>
            <w:r>
              <w:rPr>
                <w:rFonts w:ascii="Arial" w:cs="Arial" w:eastAsia="Arial" w:hAnsi="Arial"/>
                <w:sz w:val="14"/>
                <w:szCs w:val="14"/>
                <w:b w:val="1"/>
                <w:bCs w:val="1"/>
                <w:color w:val="FFFFFF"/>
              </w:rPr>
              <w:t xml:space="preserve">Trigger Events </w:t>
            </w:r>
            <w:r>
              <w:rPr>
                <w:rFonts w:ascii="Arial" w:cs="Arial" w:eastAsia="Arial" w:hAnsi="Arial"/>
                <w:sz w:val="24"/>
                <w:szCs w:val="24"/>
                <w:b w:val="1"/>
                <w:bCs w:val="1"/>
                <w:color w:val="FFFFFF"/>
                <w:vertAlign w:val="superscript"/>
              </w:rPr>
              <w:t>(1)</w:t>
            </w:r>
          </w:p>
        </w:tc>
        <w:tc>
          <w:tcPr>
            <w:tcW w:w="200" w:type="dxa"/>
            <w:vAlign w:val="bottom"/>
            <w:shd w:val="clear" w:color="auto" w:fill="00ADBB"/>
          </w:tcPr>
          <w:p>
            <w:pPr>
              <w:spacing w:after="0"/>
              <w:rPr>
                <w:sz w:val="23"/>
                <w:szCs w:val="23"/>
                <w:color w:val="auto"/>
              </w:rPr>
            </w:pPr>
          </w:p>
        </w:tc>
        <w:tc>
          <w:tcPr>
            <w:tcW w:w="1000" w:type="dxa"/>
            <w:vAlign w:val="bottom"/>
            <w:shd w:val="clear" w:color="auto" w:fill="00ADBB"/>
          </w:tcPr>
          <w:p>
            <w:pPr>
              <w:spacing w:after="0"/>
              <w:rPr>
                <w:sz w:val="23"/>
                <w:szCs w:val="23"/>
                <w:color w:val="auto"/>
              </w:rPr>
            </w:pPr>
          </w:p>
        </w:tc>
        <w:tc>
          <w:tcPr>
            <w:tcW w:w="160" w:type="dxa"/>
            <w:vAlign w:val="bottom"/>
            <w:shd w:val="clear" w:color="auto" w:fill="00ADBB"/>
          </w:tcPr>
          <w:p>
            <w:pPr>
              <w:spacing w:after="0"/>
              <w:rPr>
                <w:sz w:val="23"/>
                <w:szCs w:val="23"/>
                <w:color w:val="auto"/>
              </w:rPr>
            </w:pPr>
          </w:p>
        </w:tc>
        <w:tc>
          <w:tcPr>
            <w:tcW w:w="940" w:type="dxa"/>
            <w:vAlign w:val="bottom"/>
            <w:shd w:val="clear" w:color="auto" w:fill="00ADBB"/>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ADBB"/>
          </w:tcPr>
          <w:p>
            <w:pPr>
              <w:spacing w:after="0"/>
              <w:rPr>
                <w:sz w:val="14"/>
                <w:szCs w:val="14"/>
                <w:color w:val="auto"/>
              </w:rPr>
            </w:pPr>
          </w:p>
        </w:tc>
        <w:tc>
          <w:tcPr>
            <w:tcW w:w="100" w:type="dxa"/>
            <w:vAlign w:val="bottom"/>
            <w:shd w:val="clear" w:color="auto" w:fill="00ADBB"/>
          </w:tcPr>
          <w:p>
            <w:pPr>
              <w:spacing w:after="0"/>
              <w:rPr>
                <w:sz w:val="14"/>
                <w:szCs w:val="14"/>
                <w:color w:val="auto"/>
              </w:rPr>
            </w:pPr>
          </w:p>
        </w:tc>
        <w:tc>
          <w:tcPr>
            <w:tcW w:w="208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920" w:type="dxa"/>
            <w:vAlign w:val="bottom"/>
            <w:shd w:val="clear" w:color="auto" w:fill="00ADBB"/>
          </w:tcPr>
          <w:p>
            <w:pPr>
              <w:spacing w:after="0"/>
              <w:rPr>
                <w:sz w:val="14"/>
                <w:szCs w:val="14"/>
                <w:color w:val="auto"/>
              </w:rPr>
            </w:pPr>
          </w:p>
        </w:tc>
        <w:tc>
          <w:tcPr>
            <w:tcW w:w="34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108"/>
              <w:spacing w:after="0"/>
              <w:rPr>
                <w:sz w:val="20"/>
                <w:szCs w:val="20"/>
                <w:color w:val="auto"/>
              </w:rPr>
            </w:pPr>
            <w:r>
              <w:rPr>
                <w:rFonts w:ascii="Arial" w:cs="Arial" w:eastAsia="Arial" w:hAnsi="Arial"/>
                <w:sz w:val="14"/>
                <w:szCs w:val="14"/>
                <w:b w:val="1"/>
                <w:bCs w:val="1"/>
                <w:color w:val="FFFFFF"/>
              </w:rPr>
              <w:t>Involuntary</w:t>
            </w:r>
          </w:p>
        </w:tc>
        <w:tc>
          <w:tcPr>
            <w:tcW w:w="160" w:type="dxa"/>
            <w:vAlign w:val="bottom"/>
            <w:shd w:val="clear" w:color="auto" w:fill="00ADBB"/>
          </w:tcPr>
          <w:p>
            <w:pPr>
              <w:spacing w:after="0"/>
              <w:rPr>
                <w:sz w:val="14"/>
                <w:szCs w:val="14"/>
                <w:color w:val="auto"/>
              </w:rPr>
            </w:pPr>
          </w:p>
        </w:tc>
        <w:tc>
          <w:tcPr>
            <w:tcW w:w="940" w:type="dxa"/>
            <w:vAlign w:val="bottom"/>
            <w:shd w:val="clear" w:color="auto" w:fill="00A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ADBB"/>
          </w:tcPr>
          <w:p>
            <w:pPr>
              <w:spacing w:after="0"/>
              <w:rPr>
                <w:sz w:val="14"/>
                <w:szCs w:val="14"/>
                <w:color w:val="auto"/>
              </w:rPr>
            </w:pPr>
          </w:p>
        </w:tc>
        <w:tc>
          <w:tcPr>
            <w:tcW w:w="100" w:type="dxa"/>
            <w:vAlign w:val="bottom"/>
            <w:shd w:val="clear" w:color="auto" w:fill="00ADBB"/>
          </w:tcPr>
          <w:p>
            <w:pPr>
              <w:spacing w:after="0"/>
              <w:rPr>
                <w:sz w:val="14"/>
                <w:szCs w:val="14"/>
                <w:color w:val="auto"/>
              </w:rPr>
            </w:pPr>
          </w:p>
        </w:tc>
        <w:tc>
          <w:tcPr>
            <w:tcW w:w="208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920" w:type="dxa"/>
            <w:vAlign w:val="bottom"/>
            <w:shd w:val="clear" w:color="auto" w:fill="00ADBB"/>
          </w:tcPr>
          <w:p>
            <w:pPr>
              <w:spacing w:after="0"/>
              <w:rPr>
                <w:sz w:val="14"/>
                <w:szCs w:val="14"/>
                <w:color w:val="auto"/>
              </w:rPr>
            </w:pPr>
          </w:p>
        </w:tc>
        <w:tc>
          <w:tcPr>
            <w:tcW w:w="34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200" w:type="dxa"/>
            <w:vAlign w:val="bottom"/>
            <w:gridSpan w:val="2"/>
            <w:shd w:val="clear" w:color="auto" w:fill="00ADBB"/>
          </w:tcPr>
          <w:p>
            <w:pPr>
              <w:ind w:left="120"/>
              <w:spacing w:after="0"/>
              <w:rPr>
                <w:sz w:val="20"/>
                <w:szCs w:val="20"/>
                <w:color w:val="auto"/>
              </w:rPr>
            </w:pPr>
            <w:r>
              <w:rPr>
                <w:rFonts w:ascii="Arial" w:cs="Arial" w:eastAsia="Arial" w:hAnsi="Arial"/>
                <w:sz w:val="14"/>
                <w:szCs w:val="14"/>
                <w:b w:val="1"/>
                <w:bCs w:val="1"/>
                <w:color w:val="FFFFFF"/>
              </w:rPr>
              <w:t>Not-For-Cause</w:t>
            </w:r>
          </w:p>
        </w:tc>
        <w:tc>
          <w:tcPr>
            <w:tcW w:w="160" w:type="dxa"/>
            <w:vAlign w:val="bottom"/>
            <w:shd w:val="clear" w:color="auto" w:fill="00ADBB"/>
          </w:tcPr>
          <w:p>
            <w:pPr>
              <w:spacing w:after="0"/>
              <w:rPr>
                <w:sz w:val="14"/>
                <w:szCs w:val="14"/>
                <w:color w:val="auto"/>
              </w:rPr>
            </w:pPr>
          </w:p>
        </w:tc>
        <w:tc>
          <w:tcPr>
            <w:tcW w:w="940" w:type="dxa"/>
            <w:vAlign w:val="bottom"/>
            <w:shd w:val="clear" w:color="auto" w:fill="00A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ADBB"/>
          </w:tcPr>
          <w:p>
            <w:pPr>
              <w:spacing w:after="0"/>
              <w:rPr>
                <w:sz w:val="14"/>
                <w:szCs w:val="14"/>
                <w:color w:val="auto"/>
              </w:rPr>
            </w:pPr>
          </w:p>
        </w:tc>
        <w:tc>
          <w:tcPr>
            <w:tcW w:w="100" w:type="dxa"/>
            <w:vAlign w:val="bottom"/>
            <w:shd w:val="clear" w:color="auto" w:fill="00ADBB"/>
          </w:tcPr>
          <w:p>
            <w:pPr>
              <w:spacing w:after="0"/>
              <w:rPr>
                <w:sz w:val="14"/>
                <w:szCs w:val="14"/>
                <w:color w:val="auto"/>
              </w:rPr>
            </w:pPr>
          </w:p>
        </w:tc>
        <w:tc>
          <w:tcPr>
            <w:tcW w:w="208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920" w:type="dxa"/>
            <w:vAlign w:val="bottom"/>
            <w:shd w:val="clear" w:color="auto" w:fill="00ADBB"/>
          </w:tcPr>
          <w:p>
            <w:pPr>
              <w:spacing w:after="0"/>
              <w:rPr>
                <w:sz w:val="14"/>
                <w:szCs w:val="14"/>
                <w:color w:val="auto"/>
              </w:rPr>
            </w:pPr>
          </w:p>
        </w:tc>
        <w:tc>
          <w:tcPr>
            <w:tcW w:w="34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88"/>
              <w:spacing w:after="0"/>
              <w:rPr>
                <w:sz w:val="20"/>
                <w:szCs w:val="20"/>
                <w:color w:val="auto"/>
              </w:rPr>
            </w:pPr>
            <w:r>
              <w:rPr>
                <w:rFonts w:ascii="Arial" w:cs="Arial" w:eastAsia="Arial" w:hAnsi="Arial"/>
                <w:sz w:val="14"/>
                <w:szCs w:val="14"/>
                <w:b w:val="1"/>
                <w:bCs w:val="1"/>
                <w:color w:val="FFFFFF"/>
              </w:rPr>
              <w:t>or Good</w:t>
            </w:r>
          </w:p>
        </w:tc>
        <w:tc>
          <w:tcPr>
            <w:tcW w:w="160" w:type="dxa"/>
            <w:vAlign w:val="bottom"/>
            <w:shd w:val="clear" w:color="auto" w:fill="00ADBB"/>
          </w:tcPr>
          <w:p>
            <w:pPr>
              <w:spacing w:after="0"/>
              <w:rPr>
                <w:sz w:val="14"/>
                <w:szCs w:val="14"/>
                <w:color w:val="auto"/>
              </w:rPr>
            </w:pPr>
          </w:p>
        </w:tc>
        <w:tc>
          <w:tcPr>
            <w:tcW w:w="940" w:type="dxa"/>
            <w:vAlign w:val="bottom"/>
            <w:shd w:val="clear" w:color="auto" w:fill="00A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ADBB"/>
          </w:tcPr>
          <w:p>
            <w:pPr>
              <w:spacing w:after="0"/>
              <w:rPr>
                <w:sz w:val="14"/>
                <w:szCs w:val="14"/>
                <w:color w:val="auto"/>
              </w:rPr>
            </w:pPr>
          </w:p>
        </w:tc>
        <w:tc>
          <w:tcPr>
            <w:tcW w:w="100" w:type="dxa"/>
            <w:vAlign w:val="bottom"/>
            <w:shd w:val="clear" w:color="auto" w:fill="00ADBB"/>
          </w:tcPr>
          <w:p>
            <w:pPr>
              <w:spacing w:after="0"/>
              <w:rPr>
                <w:sz w:val="14"/>
                <w:szCs w:val="14"/>
                <w:color w:val="auto"/>
              </w:rPr>
            </w:pPr>
          </w:p>
        </w:tc>
        <w:tc>
          <w:tcPr>
            <w:tcW w:w="208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920" w:type="dxa"/>
            <w:vAlign w:val="bottom"/>
            <w:shd w:val="clear" w:color="auto" w:fill="00ADBB"/>
          </w:tcPr>
          <w:p>
            <w:pPr>
              <w:spacing w:after="0"/>
              <w:rPr>
                <w:sz w:val="14"/>
                <w:szCs w:val="14"/>
                <w:color w:val="auto"/>
              </w:rPr>
            </w:pPr>
          </w:p>
        </w:tc>
        <w:tc>
          <w:tcPr>
            <w:tcW w:w="34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88"/>
              <w:spacing w:after="0"/>
              <w:rPr>
                <w:sz w:val="20"/>
                <w:szCs w:val="20"/>
                <w:color w:val="auto"/>
              </w:rPr>
            </w:pPr>
            <w:r>
              <w:rPr>
                <w:rFonts w:ascii="Arial" w:cs="Arial" w:eastAsia="Arial" w:hAnsi="Arial"/>
                <w:sz w:val="14"/>
                <w:szCs w:val="14"/>
                <w:b w:val="1"/>
                <w:bCs w:val="1"/>
                <w:color w:val="FFFFFF"/>
              </w:rPr>
              <w:t>Reason</w:t>
            </w:r>
          </w:p>
        </w:tc>
        <w:tc>
          <w:tcPr>
            <w:tcW w:w="160" w:type="dxa"/>
            <w:vAlign w:val="bottom"/>
            <w:shd w:val="clear" w:color="auto" w:fill="00ADBB"/>
          </w:tcPr>
          <w:p>
            <w:pPr>
              <w:spacing w:after="0"/>
              <w:rPr>
                <w:sz w:val="14"/>
                <w:szCs w:val="14"/>
                <w:color w:val="auto"/>
              </w:rPr>
            </w:pPr>
          </w:p>
        </w:tc>
        <w:tc>
          <w:tcPr>
            <w:tcW w:w="940" w:type="dxa"/>
            <w:vAlign w:val="bottom"/>
            <w:shd w:val="clear" w:color="auto" w:fill="00A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ADBB"/>
          </w:tcPr>
          <w:p>
            <w:pPr>
              <w:spacing w:after="0"/>
              <w:rPr>
                <w:sz w:val="14"/>
                <w:szCs w:val="14"/>
                <w:color w:val="auto"/>
              </w:rPr>
            </w:pPr>
          </w:p>
        </w:tc>
        <w:tc>
          <w:tcPr>
            <w:tcW w:w="100" w:type="dxa"/>
            <w:vAlign w:val="bottom"/>
            <w:shd w:val="clear" w:color="auto" w:fill="00ADBB"/>
          </w:tcPr>
          <w:p>
            <w:pPr>
              <w:spacing w:after="0"/>
              <w:rPr>
                <w:sz w:val="14"/>
                <w:szCs w:val="14"/>
                <w:color w:val="auto"/>
              </w:rPr>
            </w:pPr>
          </w:p>
        </w:tc>
        <w:tc>
          <w:tcPr>
            <w:tcW w:w="2080" w:type="dxa"/>
            <w:vAlign w:val="bottom"/>
            <w:vMerge w:val="restart"/>
            <w:shd w:val="clear" w:color="auto" w:fill="00ADBB"/>
          </w:tcPr>
          <w:p>
            <w:pPr>
              <w:ind w:left="600"/>
              <w:spacing w:after="0"/>
              <w:rPr>
                <w:sz w:val="20"/>
                <w:szCs w:val="20"/>
                <w:color w:val="auto"/>
              </w:rPr>
            </w:pPr>
            <w:r>
              <w:rPr>
                <w:rFonts w:ascii="Arial" w:cs="Arial" w:eastAsia="Arial" w:hAnsi="Arial"/>
                <w:sz w:val="14"/>
                <w:szCs w:val="14"/>
                <w:b w:val="1"/>
                <w:bCs w:val="1"/>
                <w:color w:val="FFFFFF"/>
              </w:rPr>
              <w:t>Benefits and</w:t>
            </w: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920" w:type="dxa"/>
            <w:vAlign w:val="bottom"/>
            <w:shd w:val="clear" w:color="auto" w:fill="00ADBB"/>
          </w:tcPr>
          <w:p>
            <w:pPr>
              <w:jc w:val="right"/>
              <w:ind w:right="68"/>
              <w:spacing w:after="0"/>
              <w:rPr>
                <w:sz w:val="20"/>
                <w:szCs w:val="20"/>
                <w:color w:val="auto"/>
              </w:rPr>
            </w:pPr>
            <w:r>
              <w:rPr>
                <w:rFonts w:ascii="Arial" w:cs="Arial" w:eastAsia="Arial" w:hAnsi="Arial"/>
                <w:sz w:val="14"/>
                <w:szCs w:val="14"/>
                <w:b w:val="1"/>
                <w:bCs w:val="1"/>
                <w:color w:val="FFFFFF"/>
              </w:rPr>
              <w:t>Involuntary</w:t>
            </w:r>
          </w:p>
        </w:tc>
        <w:tc>
          <w:tcPr>
            <w:tcW w:w="340" w:type="dxa"/>
            <w:vAlign w:val="bottom"/>
            <w:shd w:val="clear" w:color="auto" w:fill="00ADBB"/>
          </w:tcPr>
          <w:p>
            <w:pPr>
              <w:spacing w:after="0"/>
              <w:rPr>
                <w:sz w:val="14"/>
                <w:szCs w:val="14"/>
                <w:color w:val="auto"/>
              </w:rPr>
            </w:pPr>
          </w:p>
        </w:tc>
        <w:tc>
          <w:tcPr>
            <w:tcW w:w="1040" w:type="dxa"/>
            <w:vAlign w:val="bottom"/>
            <w:shd w:val="clear" w:color="auto" w:fill="00ADBB"/>
          </w:tcPr>
          <w:p>
            <w:pPr>
              <w:jc w:val="right"/>
              <w:ind w:right="228"/>
              <w:spacing w:after="0"/>
              <w:rPr>
                <w:sz w:val="20"/>
                <w:szCs w:val="20"/>
                <w:color w:val="auto"/>
              </w:rPr>
            </w:pPr>
            <w:r>
              <w:rPr>
                <w:rFonts w:ascii="Arial" w:cs="Arial" w:eastAsia="Arial" w:hAnsi="Arial"/>
                <w:sz w:val="14"/>
                <w:szCs w:val="14"/>
                <w:b w:val="1"/>
                <w:bCs w:val="1"/>
                <w:color w:val="FFFFFF"/>
              </w:rPr>
              <w:t>Change of</w:t>
            </w: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108"/>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shd w:val="clear" w:color="auto" w:fill="00ADBB"/>
          </w:tcPr>
          <w:p>
            <w:pPr>
              <w:spacing w:after="0"/>
              <w:rPr>
                <w:sz w:val="14"/>
                <w:szCs w:val="14"/>
                <w:color w:val="auto"/>
              </w:rPr>
            </w:pPr>
          </w:p>
        </w:tc>
        <w:tc>
          <w:tcPr>
            <w:tcW w:w="940" w:type="dxa"/>
            <w:vAlign w:val="bottom"/>
            <w:shd w:val="clear" w:color="auto" w:fill="00ADB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00ADBB"/>
          </w:tcPr>
          <w:p>
            <w:pPr>
              <w:spacing w:after="0"/>
              <w:rPr>
                <w:sz w:val="12"/>
                <w:szCs w:val="12"/>
                <w:color w:val="auto"/>
              </w:rPr>
            </w:pPr>
          </w:p>
        </w:tc>
        <w:tc>
          <w:tcPr>
            <w:tcW w:w="100" w:type="dxa"/>
            <w:vAlign w:val="bottom"/>
            <w:shd w:val="clear" w:color="auto" w:fill="00ADBB"/>
          </w:tcPr>
          <w:p>
            <w:pPr>
              <w:spacing w:after="0"/>
              <w:rPr>
                <w:sz w:val="12"/>
                <w:szCs w:val="12"/>
                <w:color w:val="auto"/>
              </w:rPr>
            </w:pPr>
          </w:p>
        </w:tc>
        <w:tc>
          <w:tcPr>
            <w:tcW w:w="2080" w:type="dxa"/>
            <w:vAlign w:val="bottom"/>
            <w:vMerge w:val="continue"/>
            <w:shd w:val="clear" w:color="auto" w:fill="00ADBB"/>
          </w:tcPr>
          <w:p>
            <w:pPr>
              <w:spacing w:after="0"/>
              <w:rPr>
                <w:sz w:val="12"/>
                <w:szCs w:val="12"/>
                <w:color w:val="auto"/>
              </w:rPr>
            </w:pPr>
          </w:p>
        </w:tc>
        <w:tc>
          <w:tcPr>
            <w:tcW w:w="200" w:type="dxa"/>
            <w:vAlign w:val="bottom"/>
            <w:shd w:val="clear" w:color="auto" w:fill="00ADBB"/>
          </w:tcPr>
          <w:p>
            <w:pPr>
              <w:spacing w:after="0"/>
              <w:rPr>
                <w:sz w:val="12"/>
                <w:szCs w:val="12"/>
                <w:color w:val="auto"/>
              </w:rPr>
            </w:pPr>
          </w:p>
        </w:tc>
        <w:tc>
          <w:tcPr>
            <w:tcW w:w="1000" w:type="dxa"/>
            <w:vAlign w:val="bottom"/>
            <w:shd w:val="clear" w:color="auto" w:fill="00ADBB"/>
          </w:tcPr>
          <w:p>
            <w:pPr>
              <w:jc w:val="right"/>
              <w:ind w:right="208"/>
              <w:spacing w:after="0" w:line="149" w:lineRule="exact"/>
              <w:rPr>
                <w:sz w:val="20"/>
                <w:szCs w:val="20"/>
                <w:color w:val="auto"/>
              </w:rPr>
            </w:pPr>
            <w:r>
              <w:rPr>
                <w:rFonts w:ascii="Arial" w:cs="Arial" w:eastAsia="Arial" w:hAnsi="Arial"/>
                <w:sz w:val="14"/>
                <w:szCs w:val="14"/>
                <w:b w:val="1"/>
                <w:bCs w:val="1"/>
                <w:color w:val="FFFFFF"/>
              </w:rPr>
              <w:t>Voluntary</w:t>
            </w:r>
          </w:p>
        </w:tc>
        <w:tc>
          <w:tcPr>
            <w:tcW w:w="1140" w:type="dxa"/>
            <w:vAlign w:val="bottom"/>
            <w:gridSpan w:val="2"/>
            <w:shd w:val="clear" w:color="auto" w:fill="00ADBB"/>
          </w:tcPr>
          <w:p>
            <w:pPr>
              <w:ind w:left="120"/>
              <w:spacing w:after="0" w:line="149" w:lineRule="exact"/>
              <w:rPr>
                <w:sz w:val="20"/>
                <w:szCs w:val="20"/>
                <w:color w:val="auto"/>
              </w:rPr>
            </w:pPr>
            <w:r>
              <w:rPr>
                <w:rFonts w:ascii="Arial" w:cs="Arial" w:eastAsia="Arial" w:hAnsi="Arial"/>
                <w:sz w:val="14"/>
                <w:szCs w:val="14"/>
                <w:b w:val="1"/>
                <w:bCs w:val="1"/>
                <w:color w:val="FFFFFF"/>
              </w:rPr>
              <w:t>Not-For-Cause</w:t>
            </w:r>
          </w:p>
        </w:tc>
        <w:tc>
          <w:tcPr>
            <w:tcW w:w="1380" w:type="dxa"/>
            <w:vAlign w:val="bottom"/>
            <w:gridSpan w:val="2"/>
            <w:shd w:val="clear" w:color="auto" w:fill="00ADBB"/>
          </w:tcPr>
          <w:p>
            <w:pPr>
              <w:ind w:left="200"/>
              <w:spacing w:after="0" w:line="149" w:lineRule="exact"/>
              <w:rPr>
                <w:sz w:val="20"/>
                <w:szCs w:val="20"/>
                <w:color w:val="auto"/>
              </w:rPr>
            </w:pPr>
            <w:r>
              <w:rPr>
                <w:rFonts w:ascii="Arial" w:cs="Arial" w:eastAsia="Arial" w:hAnsi="Arial"/>
                <w:sz w:val="14"/>
                <w:szCs w:val="14"/>
                <w:b w:val="1"/>
                <w:bCs w:val="1"/>
                <w:color w:val="FFFFFF"/>
              </w:rPr>
              <w:t>Control with no</w:t>
            </w:r>
          </w:p>
        </w:tc>
        <w:tc>
          <w:tcPr>
            <w:tcW w:w="1200" w:type="dxa"/>
            <w:vAlign w:val="bottom"/>
            <w:gridSpan w:val="2"/>
            <w:shd w:val="clear" w:color="auto" w:fill="00ADBB"/>
          </w:tcPr>
          <w:p>
            <w:pPr>
              <w:jc w:val="center"/>
              <w:spacing w:after="0" w:line="149" w:lineRule="exact"/>
              <w:rPr>
                <w:sz w:val="20"/>
                <w:szCs w:val="20"/>
                <w:color w:val="auto"/>
              </w:rPr>
            </w:pPr>
            <w:r>
              <w:rPr>
                <w:rFonts w:ascii="Arial" w:cs="Arial" w:eastAsia="Arial" w:hAnsi="Arial"/>
                <w:sz w:val="14"/>
                <w:szCs w:val="14"/>
                <w:b w:val="1"/>
                <w:bCs w:val="1"/>
                <w:color w:val="FFFFFF"/>
              </w:rPr>
              <w:t>After Change</w:t>
            </w:r>
          </w:p>
        </w:tc>
        <w:tc>
          <w:tcPr>
            <w:tcW w:w="160" w:type="dxa"/>
            <w:vAlign w:val="bottom"/>
            <w:shd w:val="clear" w:color="auto" w:fill="00ADBB"/>
          </w:tcPr>
          <w:p>
            <w:pPr>
              <w:spacing w:after="0"/>
              <w:rPr>
                <w:sz w:val="12"/>
                <w:szCs w:val="12"/>
                <w:color w:val="auto"/>
              </w:rPr>
            </w:pPr>
          </w:p>
        </w:tc>
        <w:tc>
          <w:tcPr>
            <w:tcW w:w="940" w:type="dxa"/>
            <w:vAlign w:val="bottom"/>
            <w:shd w:val="clear" w:color="auto" w:fill="00ADBB"/>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820" w:type="dxa"/>
            <w:vAlign w:val="bottom"/>
            <w:shd w:val="clear" w:color="auto" w:fill="00ADBB"/>
          </w:tcPr>
          <w:p>
            <w:pPr>
              <w:ind w:left="14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00ADBB"/>
          </w:tcPr>
          <w:p>
            <w:pPr>
              <w:spacing w:after="0"/>
              <w:rPr>
                <w:sz w:val="22"/>
                <w:szCs w:val="22"/>
                <w:color w:val="auto"/>
              </w:rPr>
            </w:pPr>
          </w:p>
        </w:tc>
        <w:tc>
          <w:tcPr>
            <w:tcW w:w="2080" w:type="dxa"/>
            <w:vAlign w:val="bottom"/>
            <w:shd w:val="clear" w:color="auto" w:fill="00ADBB"/>
          </w:tcPr>
          <w:p>
            <w:pPr>
              <w:ind w:left="700"/>
              <w:spacing w:after="0"/>
              <w:rPr>
                <w:sz w:val="20"/>
                <w:szCs w:val="20"/>
                <w:color w:val="auto"/>
              </w:rPr>
            </w:pPr>
            <w:r>
              <w:rPr>
                <w:rFonts w:ascii="Arial" w:cs="Arial" w:eastAsia="Arial" w:hAnsi="Arial"/>
                <w:sz w:val="14"/>
                <w:szCs w:val="14"/>
                <w:b w:val="1"/>
                <w:bCs w:val="1"/>
                <w:color w:val="FFFFFF"/>
              </w:rPr>
              <w:t>Payments</w:t>
            </w:r>
          </w:p>
        </w:tc>
        <w:tc>
          <w:tcPr>
            <w:tcW w:w="1200" w:type="dxa"/>
            <w:vAlign w:val="bottom"/>
            <w:gridSpan w:val="2"/>
            <w:shd w:val="clear" w:color="auto" w:fill="00ADBB"/>
          </w:tcPr>
          <w:p>
            <w:pPr>
              <w:ind w:left="100"/>
              <w:spacing w:after="0" w:line="256" w:lineRule="exact"/>
              <w:rPr>
                <w:sz w:val="20"/>
                <w:szCs w:val="20"/>
                <w:color w:val="auto"/>
              </w:rPr>
            </w:pPr>
            <w:r>
              <w:rPr>
                <w:rFonts w:ascii="Arial" w:cs="Arial" w:eastAsia="Arial" w:hAnsi="Arial"/>
                <w:sz w:val="14"/>
                <w:szCs w:val="14"/>
                <w:b w:val="1"/>
                <w:bCs w:val="1"/>
                <w:color w:val="FFFFFF"/>
              </w:rPr>
              <w:t xml:space="preserve">Termination </w:t>
            </w:r>
            <w:r>
              <w:rPr>
                <w:rFonts w:ascii="Arial" w:cs="Arial" w:eastAsia="Arial" w:hAnsi="Arial"/>
                <w:sz w:val="24"/>
                <w:szCs w:val="24"/>
                <w:b w:val="1"/>
                <w:bCs w:val="1"/>
                <w:color w:val="FFFFFF"/>
                <w:vertAlign w:val="superscript"/>
              </w:rPr>
              <w:t>(2)</w:t>
            </w:r>
          </w:p>
        </w:tc>
        <w:tc>
          <w:tcPr>
            <w:tcW w:w="1140" w:type="dxa"/>
            <w:vAlign w:val="bottom"/>
            <w:gridSpan w:val="2"/>
            <w:shd w:val="clear" w:color="auto" w:fill="00ADBB"/>
          </w:tcPr>
          <w:p>
            <w:pPr>
              <w:ind w:left="120"/>
              <w:spacing w:after="0" w:line="256" w:lineRule="exact"/>
              <w:rPr>
                <w:sz w:val="20"/>
                <w:szCs w:val="20"/>
                <w:color w:val="auto"/>
              </w:rPr>
            </w:pPr>
            <w:r>
              <w:rPr>
                <w:rFonts w:ascii="Arial" w:cs="Arial" w:eastAsia="Arial" w:hAnsi="Arial"/>
                <w:sz w:val="14"/>
                <w:szCs w:val="14"/>
                <w:b w:val="1"/>
                <w:bCs w:val="1"/>
                <w:color w:val="FFFFFF"/>
                <w:w w:val="96"/>
              </w:rPr>
              <w:t xml:space="preserve">Termination </w:t>
            </w:r>
            <w:r>
              <w:rPr>
                <w:rFonts w:ascii="Arial" w:cs="Arial" w:eastAsia="Arial" w:hAnsi="Arial"/>
                <w:sz w:val="24"/>
                <w:szCs w:val="24"/>
                <w:b w:val="1"/>
                <w:bCs w:val="1"/>
                <w:color w:val="FFFFFF"/>
                <w:w w:val="96"/>
                <w:vertAlign w:val="superscript"/>
              </w:rPr>
              <w:t>(3)</w:t>
            </w:r>
          </w:p>
        </w:tc>
        <w:tc>
          <w:tcPr>
            <w:tcW w:w="1380" w:type="dxa"/>
            <w:vAlign w:val="bottom"/>
            <w:gridSpan w:val="2"/>
            <w:shd w:val="clear" w:color="auto" w:fill="00ADBB"/>
          </w:tcPr>
          <w:p>
            <w:pPr>
              <w:ind w:left="240"/>
              <w:spacing w:after="0" w:line="256" w:lineRule="exact"/>
              <w:rPr>
                <w:sz w:val="20"/>
                <w:szCs w:val="20"/>
                <w:color w:val="auto"/>
              </w:rPr>
            </w:pPr>
            <w:r>
              <w:rPr>
                <w:rFonts w:ascii="Arial" w:cs="Arial" w:eastAsia="Arial" w:hAnsi="Arial"/>
                <w:sz w:val="14"/>
                <w:szCs w:val="14"/>
                <w:b w:val="1"/>
                <w:bCs w:val="1"/>
                <w:color w:val="FFFFFF"/>
              </w:rPr>
              <w:t xml:space="preserve">Termination </w:t>
            </w:r>
            <w:r>
              <w:rPr>
                <w:rFonts w:ascii="Arial" w:cs="Arial" w:eastAsia="Arial" w:hAnsi="Arial"/>
                <w:sz w:val="24"/>
                <w:szCs w:val="24"/>
                <w:b w:val="1"/>
                <w:bCs w:val="1"/>
                <w:color w:val="FFFFFF"/>
                <w:vertAlign w:val="superscript"/>
              </w:rPr>
              <w:t>(4)</w:t>
            </w:r>
          </w:p>
        </w:tc>
        <w:tc>
          <w:tcPr>
            <w:tcW w:w="1200" w:type="dxa"/>
            <w:vAlign w:val="bottom"/>
            <w:gridSpan w:val="2"/>
            <w:shd w:val="clear" w:color="auto" w:fill="00ADBB"/>
          </w:tcPr>
          <w:p>
            <w:pPr>
              <w:jc w:val="center"/>
              <w:spacing w:after="0" w:line="256" w:lineRule="exact"/>
              <w:rPr>
                <w:sz w:val="20"/>
                <w:szCs w:val="20"/>
                <w:color w:val="auto"/>
              </w:rPr>
            </w:pPr>
            <w:r>
              <w:rPr>
                <w:rFonts w:ascii="Arial" w:cs="Arial" w:eastAsia="Arial" w:hAnsi="Arial"/>
                <w:sz w:val="14"/>
                <w:szCs w:val="14"/>
                <w:b w:val="1"/>
                <w:bCs w:val="1"/>
                <w:color w:val="FFFFFF"/>
                <w:w w:val="95"/>
              </w:rPr>
              <w:t xml:space="preserve">in Control </w:t>
            </w:r>
            <w:r>
              <w:rPr>
                <w:rFonts w:ascii="Arial" w:cs="Arial" w:eastAsia="Arial" w:hAnsi="Arial"/>
                <w:sz w:val="24"/>
                <w:szCs w:val="24"/>
                <w:b w:val="1"/>
                <w:bCs w:val="1"/>
                <w:color w:val="FFFFFF"/>
                <w:w w:val="95"/>
                <w:vertAlign w:val="superscript"/>
              </w:rPr>
              <w:t>(5)</w:t>
            </w:r>
          </w:p>
        </w:tc>
        <w:tc>
          <w:tcPr>
            <w:tcW w:w="160" w:type="dxa"/>
            <w:vAlign w:val="bottom"/>
            <w:shd w:val="clear" w:color="auto" w:fill="00ADBB"/>
          </w:tcPr>
          <w:p>
            <w:pPr>
              <w:spacing w:after="0"/>
              <w:rPr>
                <w:sz w:val="22"/>
                <w:szCs w:val="22"/>
                <w:color w:val="auto"/>
              </w:rPr>
            </w:pPr>
          </w:p>
        </w:tc>
        <w:tc>
          <w:tcPr>
            <w:tcW w:w="940" w:type="dxa"/>
            <w:vAlign w:val="bottom"/>
            <w:shd w:val="clear" w:color="auto" w:fill="00ADBB"/>
          </w:tcPr>
          <w:p>
            <w:pPr>
              <w:jc w:val="right"/>
              <w:ind w:right="248"/>
              <w:spacing w:after="0" w:line="256" w:lineRule="exact"/>
              <w:rPr>
                <w:sz w:val="20"/>
                <w:szCs w:val="20"/>
                <w:color w:val="auto"/>
              </w:rPr>
            </w:pPr>
            <w:r>
              <w:rPr>
                <w:rFonts w:ascii="Arial" w:cs="Arial" w:eastAsia="Arial" w:hAnsi="Arial"/>
                <w:sz w:val="14"/>
                <w:szCs w:val="14"/>
                <w:b w:val="1"/>
                <w:bCs w:val="1"/>
                <w:color w:val="FFFFFF"/>
                <w:w w:val="96"/>
              </w:rPr>
              <w:t xml:space="preserve">Death </w:t>
            </w:r>
            <w:r>
              <w:rPr>
                <w:rFonts w:ascii="Arial" w:cs="Arial" w:eastAsia="Arial" w:hAnsi="Arial"/>
                <w:sz w:val="24"/>
                <w:szCs w:val="24"/>
                <w:b w:val="1"/>
                <w:bCs w:val="1"/>
                <w:color w:val="FFFFFF"/>
                <w:w w:val="96"/>
                <w:vertAlign w:val="superscript"/>
              </w:rPr>
              <w:t>(6)</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2180" w:type="dxa"/>
            <w:vAlign w:val="bottom"/>
            <w:tcBorders>
              <w:bottom w:val="single" w:sz="8" w:color="4C4C4C"/>
            </w:tcBorders>
            <w:gridSpan w:val="2"/>
          </w:tcPr>
          <w:p>
            <w:pPr>
              <w:ind w:left="100"/>
              <w:spacing w:after="0"/>
              <w:rPr>
                <w:sz w:val="20"/>
                <w:szCs w:val="20"/>
                <w:color w:val="auto"/>
              </w:rPr>
            </w:pPr>
            <w:r>
              <w:rPr>
                <w:rFonts w:ascii="Arial" w:cs="Arial" w:eastAsia="Arial" w:hAnsi="Arial"/>
                <w:sz w:val="14"/>
                <w:szCs w:val="14"/>
                <w:color w:val="4C4C4C"/>
              </w:rPr>
              <w:t>Base Salary</w:t>
            </w:r>
          </w:p>
        </w:tc>
        <w:tc>
          <w:tcPr>
            <w:tcW w:w="20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c>
          <w:tcPr>
            <w:tcW w:w="22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925,000</w:t>
            </w:r>
          </w:p>
        </w:tc>
        <w:tc>
          <w:tcPr>
            <w:tcW w:w="340" w:type="dxa"/>
            <w:vAlign w:val="bottom"/>
            <w:tcBorders>
              <w:bottom w:val="single" w:sz="8" w:color="4C4C4C"/>
            </w:tcBorders>
          </w:tcPr>
          <w:p>
            <w:pPr>
              <w:spacing w:after="0"/>
              <w:rPr>
                <w:sz w:val="19"/>
                <w:szCs w:val="19"/>
                <w:color w:val="auto"/>
              </w:rPr>
            </w:pPr>
          </w:p>
        </w:tc>
        <w:tc>
          <w:tcPr>
            <w:tcW w:w="1040" w:type="dxa"/>
            <w:vAlign w:val="bottom"/>
            <w:tcBorders>
              <w:bottom w:val="single" w:sz="8" w:color="4C4C4C"/>
            </w:tcBorders>
          </w:tcPr>
          <w:p>
            <w:pPr>
              <w:spacing w:after="0"/>
              <w:rPr>
                <w:sz w:val="19"/>
                <w:szCs w:val="19"/>
                <w:color w:val="auto"/>
              </w:rPr>
            </w:pPr>
          </w:p>
        </w:tc>
        <w:tc>
          <w:tcPr>
            <w:tcW w:w="20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rPr>
                <w:sz w:val="20"/>
                <w:szCs w:val="20"/>
                <w:color w:val="auto"/>
              </w:rPr>
            </w:pPr>
            <w:r>
              <w:rPr>
                <w:rFonts w:ascii="Arial" w:cs="Arial" w:eastAsia="Arial" w:hAnsi="Arial"/>
                <w:sz w:val="14"/>
                <w:szCs w:val="14"/>
                <w:color w:val="4C4C4C"/>
              </w:rPr>
              <w:t>1,850,000</w:t>
            </w:r>
          </w:p>
        </w:tc>
        <w:tc>
          <w:tcPr>
            <w:tcW w:w="160" w:type="dxa"/>
            <w:vAlign w:val="bottom"/>
            <w:tcBorders>
              <w:bottom w:val="single" w:sz="8" w:color="4C4C4C"/>
            </w:tcBorders>
          </w:tcPr>
          <w:p>
            <w:pPr>
              <w:spacing w:after="0"/>
              <w:rPr>
                <w:sz w:val="19"/>
                <w:szCs w:val="19"/>
                <w:color w:val="auto"/>
              </w:rPr>
            </w:pPr>
          </w:p>
        </w:tc>
        <w:tc>
          <w:tcPr>
            <w:tcW w:w="940" w:type="dxa"/>
            <w:vAlign w:val="bottom"/>
            <w:tcBorders>
              <w:bottom w:val="single" w:sz="8" w:color="4C4C4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5" w:lineRule="exact"/>
              <w:rPr>
                <w:sz w:val="20"/>
                <w:szCs w:val="20"/>
                <w:color w:val="auto"/>
              </w:rPr>
            </w:pPr>
            <w:r>
              <w:rPr>
                <w:rFonts w:ascii="Arial" w:cs="Arial" w:eastAsia="Arial" w:hAnsi="Arial"/>
                <w:sz w:val="14"/>
                <w:szCs w:val="14"/>
                <w:color w:val="4C4C4C"/>
              </w:rPr>
              <w:t>Annual STI</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3,700,000</w:t>
            </w: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5,550,000</w:t>
            </w:r>
          </w:p>
        </w:tc>
        <w:tc>
          <w:tcPr>
            <w:tcW w:w="160" w:type="dxa"/>
            <w:vAlign w:val="bottom"/>
            <w:tcBorders>
              <w:bottom w:val="single" w:sz="8" w:color="4C4C4C"/>
            </w:tcBorders>
          </w:tcPr>
          <w:p>
            <w:pPr>
              <w:spacing w:after="0"/>
              <w:rPr>
                <w:sz w:val="13"/>
                <w:szCs w:val="13"/>
                <w:color w:val="auto"/>
              </w:rPr>
            </w:pPr>
          </w:p>
        </w:tc>
        <w:tc>
          <w:tcPr>
            <w:tcW w:w="94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RSUs </w:t>
            </w:r>
            <w:r>
              <w:rPr>
                <w:rFonts w:ascii="Arial" w:cs="Arial" w:eastAsia="Arial" w:hAnsi="Arial"/>
                <w:sz w:val="18"/>
                <w:szCs w:val="18"/>
                <w:color w:val="4C4C4C"/>
                <w:vertAlign w:val="superscript"/>
              </w:rPr>
              <w:t>(7)</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2,660,747</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2,660,747</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2,660,747</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2,660,747</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2,660,747</w:t>
            </w:r>
          </w:p>
        </w:tc>
        <w:tc>
          <w:tcPr>
            <w:tcW w:w="0" w:type="dxa"/>
            <w:vAlign w:val="bottom"/>
          </w:tcPr>
          <w:p>
            <w:pPr>
              <w:spacing w:after="0"/>
              <w:rPr>
                <w:sz w:val="1"/>
                <w:szCs w:val="1"/>
                <w:color w:val="auto"/>
              </w:rPr>
            </w:pPr>
          </w:p>
        </w:tc>
      </w:tr>
      <w:tr>
        <w:trPr>
          <w:trHeight w:val="156"/>
        </w:trPr>
        <w:tc>
          <w:tcPr>
            <w:tcW w:w="2820" w:type="dxa"/>
            <w:vAlign w:val="bottom"/>
          </w:tcPr>
          <w:p>
            <w:pPr>
              <w:ind w:left="100"/>
              <w:spacing w:after="0" w:line="155" w:lineRule="exact"/>
              <w:rPr>
                <w:sz w:val="20"/>
                <w:szCs w:val="20"/>
                <w:color w:val="auto"/>
              </w:rPr>
            </w:pPr>
            <w:r>
              <w:rPr>
                <w:rFonts w:ascii="Arial" w:cs="Arial" w:eastAsia="Arial" w:hAnsi="Arial"/>
                <w:sz w:val="14"/>
                <w:szCs w:val="14"/>
                <w:color w:val="4C4C4C"/>
              </w:rPr>
              <w:t>Eric Steigerwalt</w:t>
            </w: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PSUs </w:t>
            </w:r>
            <w:r>
              <w:rPr>
                <w:rFonts w:ascii="Arial" w:cs="Arial" w:eastAsia="Arial" w:hAnsi="Arial"/>
                <w:sz w:val="18"/>
                <w:szCs w:val="18"/>
                <w:color w:val="4C4C4C"/>
                <w:vertAlign w:val="superscript"/>
              </w:rPr>
              <w:t>(8)</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7,409,833</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7,409,833</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7,409,833</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7,409,833</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7,409,833</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Stock Options </w:t>
            </w:r>
            <w:r>
              <w:rPr>
                <w:rFonts w:ascii="Arial" w:cs="Arial" w:eastAsia="Arial" w:hAnsi="Arial"/>
                <w:sz w:val="18"/>
                <w:szCs w:val="18"/>
                <w:color w:val="4C4C4C"/>
                <w:vertAlign w:val="superscript"/>
              </w:rPr>
              <w:t>(9)</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spacing w:after="0"/>
              <w:rPr>
                <w:sz w:val="13"/>
                <w:szCs w:val="13"/>
                <w:color w:val="auto"/>
              </w:rPr>
            </w:pPr>
          </w:p>
        </w:tc>
        <w:tc>
          <w:tcPr>
            <w:tcW w:w="920" w:type="dxa"/>
            <w:vAlign w:val="bottom"/>
            <w:tcBorders>
              <w:bottom w:val="single" w:sz="8" w:color="4C4C4C"/>
            </w:tcBorders>
          </w:tcPr>
          <w:p>
            <w:pPr>
              <w:spacing w:after="0"/>
              <w:rPr>
                <w:sz w:val="13"/>
                <w:szCs w:val="13"/>
                <w:color w:val="auto"/>
              </w:rPr>
            </w:pP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160" w:type="dxa"/>
            <w:vAlign w:val="bottom"/>
            <w:tcBorders>
              <w:bottom w:val="single" w:sz="8" w:color="4C4C4C"/>
            </w:tcBorders>
          </w:tcPr>
          <w:p>
            <w:pPr>
              <w:spacing w:after="0"/>
              <w:rPr>
                <w:sz w:val="13"/>
                <w:szCs w:val="13"/>
                <w:color w:val="auto"/>
              </w:rPr>
            </w:pPr>
          </w:p>
        </w:tc>
        <w:tc>
          <w:tcPr>
            <w:tcW w:w="94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Miscellaneous Payments </w:t>
            </w:r>
            <w:r>
              <w:rPr>
                <w:rFonts w:ascii="Arial" w:cs="Arial" w:eastAsia="Arial" w:hAnsi="Arial"/>
                <w:sz w:val="18"/>
                <w:szCs w:val="18"/>
                <w:color w:val="4C4C4C"/>
                <w:vertAlign w:val="superscript"/>
              </w:rPr>
              <w:t>(10)</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31,997</w:t>
            </w: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59,035</w:t>
            </w:r>
          </w:p>
        </w:tc>
        <w:tc>
          <w:tcPr>
            <w:tcW w:w="160" w:type="dxa"/>
            <w:vAlign w:val="bottom"/>
            <w:tcBorders>
              <w:bottom w:val="single" w:sz="8" w:color="4C4C4C"/>
            </w:tcBorders>
          </w:tcPr>
          <w:p>
            <w:pPr>
              <w:spacing w:after="0"/>
              <w:rPr>
                <w:sz w:val="13"/>
                <w:szCs w:val="13"/>
                <w:color w:val="auto"/>
              </w:rPr>
            </w:pPr>
          </w:p>
        </w:tc>
        <w:tc>
          <w:tcPr>
            <w:tcW w:w="94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4C4C4C"/>
            </w:tcBorders>
          </w:tcPr>
          <w:p>
            <w:pPr>
              <w:spacing w:after="0"/>
              <w:rPr>
                <w:sz w:val="13"/>
                <w:szCs w:val="13"/>
                <w:color w:val="auto"/>
              </w:rPr>
            </w:pPr>
          </w:p>
        </w:tc>
        <w:tc>
          <w:tcPr>
            <w:tcW w:w="2180" w:type="dxa"/>
            <w:vAlign w:val="bottom"/>
            <w:tcBorders>
              <w:bottom w:val="single" w:sz="8" w:color="4C4C4C"/>
            </w:tcBorders>
            <w:gridSpan w:val="2"/>
          </w:tcPr>
          <w:p>
            <w:pPr>
              <w:ind w:left="100"/>
              <w:spacing w:after="0" w:line="155" w:lineRule="exact"/>
              <w:rPr>
                <w:sz w:val="20"/>
                <w:szCs w:val="20"/>
                <w:color w:val="auto"/>
              </w:rPr>
            </w:pPr>
            <w:r>
              <w:rPr>
                <w:rFonts w:ascii="Arial" w:cs="Arial" w:eastAsia="Arial" w:hAnsi="Arial"/>
                <w:sz w:val="14"/>
                <w:szCs w:val="14"/>
                <w:color w:val="4C4C4C"/>
              </w:rPr>
              <w:t>Total</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10,070,580</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14,727,577</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10,070,580</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17,529,615</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w w:val="99"/>
              </w:rPr>
              <w:t>10,070,580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E5F6F8"/>
            </w:tcBorders>
            <w:shd w:val="clear" w:color="auto" w:fill="E5F6F8"/>
          </w:tcPr>
          <w:p>
            <w:pPr>
              <w:spacing w:after="0"/>
              <w:rPr>
                <w:sz w:val="18"/>
                <w:szCs w:val="18"/>
                <w:color w:val="auto"/>
              </w:rPr>
            </w:pPr>
          </w:p>
        </w:tc>
        <w:tc>
          <w:tcPr>
            <w:tcW w:w="100" w:type="dxa"/>
            <w:vAlign w:val="bottom"/>
            <w:tcBorders>
              <w:bottom w:val="single" w:sz="8" w:color="4C4C4C"/>
            </w:tcBorders>
            <w:shd w:val="clear" w:color="auto" w:fill="E5F6F8"/>
          </w:tcPr>
          <w:p>
            <w:pPr>
              <w:spacing w:after="0"/>
              <w:rPr>
                <w:sz w:val="18"/>
                <w:szCs w:val="18"/>
                <w:color w:val="auto"/>
              </w:rPr>
            </w:pPr>
          </w:p>
        </w:tc>
        <w:tc>
          <w:tcPr>
            <w:tcW w:w="2080" w:type="dxa"/>
            <w:vAlign w:val="bottom"/>
            <w:tcBorders>
              <w:bottom w:val="single" w:sz="8" w:color="4C4C4C"/>
            </w:tcBorders>
            <w:shd w:val="clear" w:color="auto" w:fill="E5F6F8"/>
          </w:tcPr>
          <w:p>
            <w:pPr>
              <w:spacing w:after="0"/>
              <w:rPr>
                <w:sz w:val="20"/>
                <w:szCs w:val="20"/>
                <w:color w:val="auto"/>
              </w:rPr>
            </w:pPr>
            <w:r>
              <w:rPr>
                <w:rFonts w:ascii="Arial" w:cs="Arial" w:eastAsia="Arial" w:hAnsi="Arial"/>
                <w:sz w:val="14"/>
                <w:szCs w:val="14"/>
                <w:color w:val="4C4C4C"/>
              </w:rPr>
              <w:t>Base Salary</w:t>
            </w:r>
          </w:p>
        </w:tc>
        <w:tc>
          <w:tcPr>
            <w:tcW w:w="200" w:type="dxa"/>
            <w:vAlign w:val="bottom"/>
            <w:tcBorders>
              <w:bottom w:val="single" w:sz="8" w:color="4C4C4C"/>
            </w:tcBorders>
            <w:shd w:val="clear" w:color="auto" w:fill="E5F6F8"/>
          </w:tcPr>
          <w:p>
            <w:pPr>
              <w:spacing w:after="0"/>
              <w:rPr>
                <w:sz w:val="18"/>
                <w:szCs w:val="18"/>
                <w:color w:val="auto"/>
              </w:rPr>
            </w:pPr>
          </w:p>
        </w:tc>
        <w:tc>
          <w:tcPr>
            <w:tcW w:w="1000" w:type="dxa"/>
            <w:vAlign w:val="bottom"/>
            <w:tcBorders>
              <w:bottom w:val="single" w:sz="8" w:color="4C4C4C"/>
            </w:tcBorders>
            <w:shd w:val="clear" w:color="auto" w:fill="E5F6F8"/>
          </w:tcPr>
          <w:p>
            <w:pPr>
              <w:spacing w:after="0"/>
              <w:rPr>
                <w:sz w:val="18"/>
                <w:szCs w:val="18"/>
                <w:color w:val="auto"/>
              </w:rPr>
            </w:pPr>
          </w:p>
        </w:tc>
        <w:tc>
          <w:tcPr>
            <w:tcW w:w="220" w:type="dxa"/>
            <w:vAlign w:val="bottom"/>
            <w:tcBorders>
              <w:bottom w:val="single" w:sz="8" w:color="4C4C4C"/>
            </w:tcBorders>
            <w:shd w:val="clear" w:color="auto" w:fill="E5F6F8"/>
          </w:tcPr>
          <w:p>
            <w:pPr>
              <w:ind w:left="120"/>
              <w:spacing w:after="0"/>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rPr>
                <w:sz w:val="20"/>
                <w:szCs w:val="20"/>
                <w:color w:val="auto"/>
              </w:rPr>
            </w:pPr>
            <w:r>
              <w:rPr>
                <w:rFonts w:ascii="Arial" w:cs="Arial" w:eastAsia="Arial" w:hAnsi="Arial"/>
                <w:sz w:val="14"/>
                <w:szCs w:val="14"/>
                <w:color w:val="4C4C4C"/>
              </w:rPr>
              <w:t>600,000</w:t>
            </w:r>
          </w:p>
        </w:tc>
        <w:tc>
          <w:tcPr>
            <w:tcW w:w="340" w:type="dxa"/>
            <w:vAlign w:val="bottom"/>
            <w:tcBorders>
              <w:bottom w:val="single" w:sz="8" w:color="4C4C4C"/>
            </w:tcBorders>
            <w:shd w:val="clear" w:color="auto" w:fill="E5F6F8"/>
          </w:tcPr>
          <w:p>
            <w:pPr>
              <w:spacing w:after="0"/>
              <w:rPr>
                <w:sz w:val="18"/>
                <w:szCs w:val="18"/>
                <w:color w:val="auto"/>
              </w:rPr>
            </w:pPr>
          </w:p>
        </w:tc>
        <w:tc>
          <w:tcPr>
            <w:tcW w:w="1040" w:type="dxa"/>
            <w:vAlign w:val="bottom"/>
            <w:tcBorders>
              <w:bottom w:val="single" w:sz="8" w:color="4C4C4C"/>
            </w:tcBorders>
            <w:shd w:val="clear" w:color="auto" w:fill="E5F6F8"/>
          </w:tcPr>
          <w:p>
            <w:pPr>
              <w:spacing w:after="0"/>
              <w:rPr>
                <w:sz w:val="18"/>
                <w:szCs w:val="18"/>
                <w:color w:val="auto"/>
              </w:rPr>
            </w:pPr>
          </w:p>
        </w:tc>
        <w:tc>
          <w:tcPr>
            <w:tcW w:w="20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rPr>
                <w:sz w:val="20"/>
                <w:szCs w:val="20"/>
                <w:color w:val="auto"/>
              </w:rPr>
            </w:pPr>
            <w:r>
              <w:rPr>
                <w:rFonts w:ascii="Arial" w:cs="Arial" w:eastAsia="Arial" w:hAnsi="Arial"/>
                <w:sz w:val="14"/>
                <w:szCs w:val="14"/>
                <w:color w:val="4C4C4C"/>
              </w:rPr>
              <w:t>1,200,000</w:t>
            </w:r>
          </w:p>
        </w:tc>
        <w:tc>
          <w:tcPr>
            <w:tcW w:w="160" w:type="dxa"/>
            <w:vAlign w:val="bottom"/>
            <w:tcBorders>
              <w:bottom w:val="single" w:sz="8" w:color="4C4C4C"/>
            </w:tcBorders>
            <w:shd w:val="clear" w:color="auto" w:fill="E5F6F8"/>
          </w:tcPr>
          <w:p>
            <w:pPr>
              <w:spacing w:after="0"/>
              <w:rPr>
                <w:sz w:val="18"/>
                <w:szCs w:val="18"/>
                <w:color w:val="auto"/>
              </w:rPr>
            </w:pPr>
          </w:p>
        </w:tc>
        <w:tc>
          <w:tcPr>
            <w:tcW w:w="940" w:type="dxa"/>
            <w:vAlign w:val="bottom"/>
            <w:tcBorders>
              <w:bottom w:val="single" w:sz="8" w:color="4C4C4C"/>
            </w:tcBorders>
            <w:shd w:val="clear" w:color="auto" w:fill="E5F6F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5" w:lineRule="exact"/>
              <w:rPr>
                <w:sz w:val="20"/>
                <w:szCs w:val="20"/>
                <w:color w:val="auto"/>
              </w:rPr>
            </w:pPr>
            <w:r>
              <w:rPr>
                <w:rFonts w:ascii="Arial" w:cs="Arial" w:eastAsia="Arial" w:hAnsi="Arial"/>
                <w:sz w:val="14"/>
                <w:szCs w:val="14"/>
                <w:color w:val="4C4C4C"/>
              </w:rPr>
              <w:t>Annual STI</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1,680,000</w:t>
            </w:r>
          </w:p>
        </w:tc>
        <w:tc>
          <w:tcPr>
            <w:tcW w:w="340" w:type="dxa"/>
            <w:vAlign w:val="bottom"/>
            <w:tcBorders>
              <w:bottom w:val="single" w:sz="8" w:color="4C4C4C"/>
            </w:tcBorders>
            <w:shd w:val="clear" w:color="auto" w:fill="E5F6F8"/>
          </w:tcPr>
          <w:p>
            <w:pPr>
              <w:spacing w:after="0"/>
              <w:rPr>
                <w:sz w:val="13"/>
                <w:szCs w:val="13"/>
                <w:color w:val="auto"/>
              </w:rPr>
            </w:pPr>
          </w:p>
        </w:tc>
        <w:tc>
          <w:tcPr>
            <w:tcW w:w="1040" w:type="dxa"/>
            <w:vAlign w:val="bottom"/>
            <w:tcBorders>
              <w:bottom w:val="single" w:sz="8" w:color="4C4C4C"/>
            </w:tcBorders>
            <w:shd w:val="clear" w:color="auto" w:fill="E5F6F8"/>
          </w:tcPr>
          <w:p>
            <w:pPr>
              <w:spacing w:after="0"/>
              <w:rPr>
                <w:sz w:val="13"/>
                <w:szCs w:val="13"/>
                <w:color w:val="auto"/>
              </w:rPr>
            </w:pP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2,520,000</w:t>
            </w:r>
          </w:p>
        </w:tc>
        <w:tc>
          <w:tcPr>
            <w:tcW w:w="160" w:type="dxa"/>
            <w:vAlign w:val="bottom"/>
            <w:tcBorders>
              <w:bottom w:val="single" w:sz="8" w:color="4C4C4C"/>
            </w:tcBorders>
            <w:shd w:val="clear" w:color="auto" w:fill="E5F6F8"/>
          </w:tcPr>
          <w:p>
            <w:pPr>
              <w:spacing w:after="0"/>
              <w:rPr>
                <w:sz w:val="13"/>
                <w:szCs w:val="13"/>
                <w:color w:val="auto"/>
              </w:rPr>
            </w:pPr>
          </w:p>
        </w:tc>
        <w:tc>
          <w:tcPr>
            <w:tcW w:w="940" w:type="dxa"/>
            <w:vAlign w:val="bottom"/>
            <w:tcBorders>
              <w:bottom w:val="single" w:sz="8" w:color="4C4C4C"/>
            </w:tcBorders>
            <w:shd w:val="clear" w:color="auto" w:fill="E5F6F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vMerge w:val="restart"/>
            <w:shd w:val="clear" w:color="auto" w:fill="E5F6F8"/>
          </w:tcPr>
          <w:p>
            <w:pPr>
              <w:ind w:left="100"/>
              <w:spacing w:after="0"/>
              <w:rPr>
                <w:sz w:val="20"/>
                <w:szCs w:val="20"/>
                <w:color w:val="auto"/>
              </w:rPr>
            </w:pPr>
            <w:r>
              <w:rPr>
                <w:rFonts w:ascii="Arial" w:cs="Arial" w:eastAsia="Arial" w:hAnsi="Arial"/>
                <w:sz w:val="14"/>
                <w:szCs w:val="14"/>
                <w:color w:val="4C4C4C"/>
              </w:rPr>
              <w:t>Ed Spehar</w:t>
            </w: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RSUs </w:t>
            </w:r>
            <w:r>
              <w:rPr>
                <w:rFonts w:ascii="Arial" w:cs="Arial" w:eastAsia="Arial" w:hAnsi="Arial"/>
                <w:sz w:val="18"/>
                <w:szCs w:val="18"/>
                <w:color w:val="4C4C4C"/>
                <w:vertAlign w:val="superscript"/>
              </w:rPr>
              <w:t>(7)</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770,259</w:t>
            </w:r>
          </w:p>
        </w:tc>
        <w:tc>
          <w:tcPr>
            <w:tcW w:w="340" w:type="dxa"/>
            <w:vAlign w:val="bottom"/>
            <w:tcBorders>
              <w:bottom w:val="single" w:sz="8" w:color="4C4C4C"/>
            </w:tcBorders>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770,259</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770,259</w:t>
            </w:r>
          </w:p>
        </w:tc>
        <w:tc>
          <w:tcPr>
            <w:tcW w:w="16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770,259</w:t>
            </w:r>
          </w:p>
        </w:tc>
        <w:tc>
          <w:tcPr>
            <w:tcW w:w="0" w:type="dxa"/>
            <w:vAlign w:val="bottom"/>
          </w:tcPr>
          <w:p>
            <w:pPr>
              <w:spacing w:after="0"/>
              <w:rPr>
                <w:sz w:val="1"/>
                <w:szCs w:val="1"/>
                <w:color w:val="auto"/>
              </w:rPr>
            </w:pPr>
          </w:p>
        </w:tc>
      </w:tr>
      <w:tr>
        <w:trPr>
          <w:trHeight w:val="76"/>
        </w:trPr>
        <w:tc>
          <w:tcPr>
            <w:tcW w:w="2820" w:type="dxa"/>
            <w:vAlign w:val="bottom"/>
            <w:vMerge w:val="continue"/>
            <w:shd w:val="clear" w:color="auto" w:fill="E5F6F8"/>
          </w:tcPr>
          <w:p>
            <w:pPr>
              <w:spacing w:after="0"/>
              <w:rPr>
                <w:sz w:val="6"/>
                <w:szCs w:val="6"/>
                <w:color w:val="auto"/>
              </w:rPr>
            </w:pPr>
          </w:p>
        </w:tc>
        <w:tc>
          <w:tcPr>
            <w:tcW w:w="100" w:type="dxa"/>
            <w:vAlign w:val="bottom"/>
            <w:shd w:val="clear" w:color="auto" w:fill="E5F6F8"/>
          </w:tcPr>
          <w:p>
            <w:pPr>
              <w:spacing w:after="0"/>
              <w:rPr>
                <w:sz w:val="6"/>
                <w:szCs w:val="6"/>
                <w:color w:val="auto"/>
              </w:rPr>
            </w:pPr>
          </w:p>
        </w:tc>
        <w:tc>
          <w:tcPr>
            <w:tcW w:w="2080" w:type="dxa"/>
            <w:vAlign w:val="bottom"/>
            <w:vMerge w:val="restart"/>
            <w:shd w:val="clear" w:color="auto" w:fill="E5F6F8"/>
          </w:tcPr>
          <w:p>
            <w:pPr>
              <w:spacing w:after="0" w:line="156" w:lineRule="exact"/>
              <w:rPr>
                <w:sz w:val="20"/>
                <w:szCs w:val="20"/>
                <w:color w:val="auto"/>
              </w:rPr>
            </w:pPr>
            <w:r>
              <w:rPr>
                <w:rFonts w:ascii="Arial" w:cs="Arial" w:eastAsia="Arial" w:hAnsi="Arial"/>
                <w:sz w:val="11"/>
                <w:szCs w:val="11"/>
                <w:color w:val="4C4C4C"/>
              </w:rPr>
              <w:t xml:space="preserve">PSUs </w:t>
            </w:r>
            <w:r>
              <w:rPr>
                <w:rFonts w:ascii="Arial" w:cs="Arial" w:eastAsia="Arial" w:hAnsi="Arial"/>
                <w:sz w:val="18"/>
                <w:szCs w:val="18"/>
                <w:color w:val="4C4C4C"/>
                <w:vertAlign w:val="superscript"/>
              </w:rPr>
              <w:t>(8)</w:t>
            </w:r>
          </w:p>
        </w:tc>
        <w:tc>
          <w:tcPr>
            <w:tcW w:w="200" w:type="dxa"/>
            <w:vAlign w:val="bottom"/>
            <w:shd w:val="clear" w:color="auto" w:fill="E5F6F8"/>
          </w:tcPr>
          <w:p>
            <w:pPr>
              <w:spacing w:after="0"/>
              <w:rPr>
                <w:sz w:val="6"/>
                <w:szCs w:val="6"/>
                <w:color w:val="auto"/>
              </w:rPr>
            </w:pPr>
          </w:p>
        </w:tc>
        <w:tc>
          <w:tcPr>
            <w:tcW w:w="1000" w:type="dxa"/>
            <w:vAlign w:val="bottom"/>
            <w:shd w:val="clear" w:color="auto" w:fill="E5F6F8"/>
          </w:tcPr>
          <w:p>
            <w:pPr>
              <w:spacing w:after="0"/>
              <w:rPr>
                <w:sz w:val="6"/>
                <w:szCs w:val="6"/>
                <w:color w:val="auto"/>
              </w:rPr>
            </w:pPr>
          </w:p>
        </w:tc>
        <w:tc>
          <w:tcPr>
            <w:tcW w:w="220" w:type="dxa"/>
            <w:vAlign w:val="bottom"/>
            <w:vMerge w:val="restart"/>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vMerge w:val="restart"/>
            <w:shd w:val="clear" w:color="auto" w:fill="E5F6F8"/>
          </w:tcPr>
          <w:p>
            <w:pPr>
              <w:jc w:val="right"/>
              <w:spacing w:after="0" w:line="155" w:lineRule="exact"/>
              <w:rPr>
                <w:sz w:val="20"/>
                <w:szCs w:val="20"/>
                <w:color w:val="auto"/>
              </w:rPr>
            </w:pPr>
            <w:r>
              <w:rPr>
                <w:rFonts w:ascii="Arial" w:cs="Arial" w:eastAsia="Arial" w:hAnsi="Arial"/>
                <w:sz w:val="14"/>
                <w:szCs w:val="14"/>
                <w:color w:val="4C4C4C"/>
              </w:rPr>
              <w:t>636,499</w:t>
            </w:r>
          </w:p>
        </w:tc>
        <w:tc>
          <w:tcPr>
            <w:tcW w:w="340" w:type="dxa"/>
            <w:vAlign w:val="bottom"/>
            <w:vMerge w:val="restart"/>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vMerge w:val="restart"/>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636,499</w:t>
            </w:r>
          </w:p>
        </w:tc>
        <w:tc>
          <w:tcPr>
            <w:tcW w:w="200" w:type="dxa"/>
            <w:vAlign w:val="bottom"/>
            <w:vMerge w:val="restart"/>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vMerge w:val="restart"/>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636,499</w:t>
            </w:r>
          </w:p>
        </w:tc>
        <w:tc>
          <w:tcPr>
            <w:tcW w:w="160" w:type="dxa"/>
            <w:vAlign w:val="bottom"/>
            <w:vMerge w:val="restart"/>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vMerge w:val="restart"/>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636,499</w:t>
            </w:r>
          </w:p>
        </w:tc>
        <w:tc>
          <w:tcPr>
            <w:tcW w:w="0" w:type="dxa"/>
            <w:vAlign w:val="bottom"/>
          </w:tcPr>
          <w:p>
            <w:pPr>
              <w:spacing w:after="0"/>
              <w:rPr>
                <w:sz w:val="1"/>
                <w:szCs w:val="1"/>
                <w:color w:val="auto"/>
              </w:rPr>
            </w:pPr>
          </w:p>
        </w:tc>
      </w:tr>
      <w:tr>
        <w:trPr>
          <w:trHeight w:val="80"/>
        </w:trPr>
        <w:tc>
          <w:tcPr>
            <w:tcW w:w="2820" w:type="dxa"/>
            <w:vAlign w:val="bottom"/>
            <w:tcBorders>
              <w:bottom w:val="single" w:sz="8" w:color="E5F6F8"/>
            </w:tcBorders>
            <w:shd w:val="clear" w:color="auto" w:fill="E5F6F8"/>
          </w:tcPr>
          <w:p>
            <w:pPr>
              <w:spacing w:after="0"/>
              <w:rPr>
                <w:sz w:val="6"/>
                <w:szCs w:val="6"/>
                <w:color w:val="auto"/>
              </w:rPr>
            </w:pPr>
          </w:p>
        </w:tc>
        <w:tc>
          <w:tcPr>
            <w:tcW w:w="100" w:type="dxa"/>
            <w:vAlign w:val="bottom"/>
            <w:tcBorders>
              <w:bottom w:val="single" w:sz="8" w:color="4C4C4C"/>
            </w:tcBorders>
            <w:shd w:val="clear" w:color="auto" w:fill="E5F6F8"/>
          </w:tcPr>
          <w:p>
            <w:pPr>
              <w:spacing w:after="0"/>
              <w:rPr>
                <w:sz w:val="6"/>
                <w:szCs w:val="6"/>
                <w:color w:val="auto"/>
              </w:rPr>
            </w:pPr>
          </w:p>
        </w:tc>
        <w:tc>
          <w:tcPr>
            <w:tcW w:w="2080" w:type="dxa"/>
            <w:vAlign w:val="bottom"/>
            <w:tcBorders>
              <w:bottom w:val="single" w:sz="8" w:color="4C4C4C"/>
            </w:tcBorders>
            <w:vMerge w:val="continue"/>
            <w:shd w:val="clear" w:color="auto" w:fill="E5F6F8"/>
          </w:tcPr>
          <w:p>
            <w:pPr>
              <w:spacing w:after="0"/>
              <w:rPr>
                <w:sz w:val="6"/>
                <w:szCs w:val="6"/>
                <w:color w:val="auto"/>
              </w:rPr>
            </w:pPr>
          </w:p>
        </w:tc>
        <w:tc>
          <w:tcPr>
            <w:tcW w:w="200" w:type="dxa"/>
            <w:vAlign w:val="bottom"/>
            <w:tcBorders>
              <w:bottom w:val="single" w:sz="8" w:color="4C4C4C"/>
            </w:tcBorders>
            <w:shd w:val="clear" w:color="auto" w:fill="E5F6F8"/>
          </w:tcPr>
          <w:p>
            <w:pPr>
              <w:spacing w:after="0"/>
              <w:rPr>
                <w:sz w:val="6"/>
                <w:szCs w:val="6"/>
                <w:color w:val="auto"/>
              </w:rPr>
            </w:pPr>
          </w:p>
        </w:tc>
        <w:tc>
          <w:tcPr>
            <w:tcW w:w="1000" w:type="dxa"/>
            <w:vAlign w:val="bottom"/>
            <w:tcBorders>
              <w:bottom w:val="single" w:sz="8" w:color="4C4C4C"/>
            </w:tcBorders>
            <w:shd w:val="clear" w:color="auto" w:fill="E5F6F8"/>
          </w:tcPr>
          <w:p>
            <w:pPr>
              <w:spacing w:after="0"/>
              <w:rPr>
                <w:sz w:val="6"/>
                <w:szCs w:val="6"/>
                <w:color w:val="auto"/>
              </w:rPr>
            </w:pPr>
          </w:p>
        </w:tc>
        <w:tc>
          <w:tcPr>
            <w:tcW w:w="220" w:type="dxa"/>
            <w:vAlign w:val="bottom"/>
            <w:tcBorders>
              <w:bottom w:val="single" w:sz="8" w:color="4C4C4C"/>
            </w:tcBorders>
            <w:vMerge w:val="continue"/>
            <w:shd w:val="clear" w:color="auto" w:fill="E5F6F8"/>
          </w:tcPr>
          <w:p>
            <w:pPr>
              <w:spacing w:after="0"/>
              <w:rPr>
                <w:sz w:val="6"/>
                <w:szCs w:val="6"/>
                <w:color w:val="auto"/>
              </w:rPr>
            </w:pPr>
          </w:p>
        </w:tc>
        <w:tc>
          <w:tcPr>
            <w:tcW w:w="920" w:type="dxa"/>
            <w:vAlign w:val="bottom"/>
            <w:tcBorders>
              <w:bottom w:val="single" w:sz="8" w:color="4C4C4C"/>
            </w:tcBorders>
            <w:vMerge w:val="continue"/>
            <w:shd w:val="clear" w:color="auto" w:fill="E5F6F8"/>
          </w:tcPr>
          <w:p>
            <w:pPr>
              <w:spacing w:after="0"/>
              <w:rPr>
                <w:sz w:val="6"/>
                <w:szCs w:val="6"/>
                <w:color w:val="auto"/>
              </w:rPr>
            </w:pPr>
          </w:p>
        </w:tc>
        <w:tc>
          <w:tcPr>
            <w:tcW w:w="340" w:type="dxa"/>
            <w:vAlign w:val="bottom"/>
            <w:tcBorders>
              <w:bottom w:val="single" w:sz="8" w:color="4C4C4C"/>
            </w:tcBorders>
            <w:vMerge w:val="continue"/>
            <w:shd w:val="clear" w:color="auto" w:fill="E5F6F8"/>
          </w:tcPr>
          <w:p>
            <w:pPr>
              <w:spacing w:after="0"/>
              <w:rPr>
                <w:sz w:val="6"/>
                <w:szCs w:val="6"/>
                <w:color w:val="auto"/>
              </w:rPr>
            </w:pPr>
          </w:p>
        </w:tc>
        <w:tc>
          <w:tcPr>
            <w:tcW w:w="1040" w:type="dxa"/>
            <w:vAlign w:val="bottom"/>
            <w:tcBorders>
              <w:bottom w:val="single" w:sz="8" w:color="4C4C4C"/>
            </w:tcBorders>
            <w:vMerge w:val="continue"/>
            <w:shd w:val="clear" w:color="auto" w:fill="E5F6F8"/>
          </w:tcPr>
          <w:p>
            <w:pPr>
              <w:spacing w:after="0"/>
              <w:rPr>
                <w:sz w:val="6"/>
                <w:szCs w:val="6"/>
                <w:color w:val="auto"/>
              </w:rPr>
            </w:pPr>
          </w:p>
        </w:tc>
        <w:tc>
          <w:tcPr>
            <w:tcW w:w="200" w:type="dxa"/>
            <w:vAlign w:val="bottom"/>
            <w:tcBorders>
              <w:bottom w:val="single" w:sz="8" w:color="4C4C4C"/>
            </w:tcBorders>
            <w:vMerge w:val="continue"/>
            <w:shd w:val="clear" w:color="auto" w:fill="E5F6F8"/>
          </w:tcPr>
          <w:p>
            <w:pPr>
              <w:spacing w:after="0"/>
              <w:rPr>
                <w:sz w:val="6"/>
                <w:szCs w:val="6"/>
                <w:color w:val="auto"/>
              </w:rPr>
            </w:pPr>
          </w:p>
        </w:tc>
        <w:tc>
          <w:tcPr>
            <w:tcW w:w="1000" w:type="dxa"/>
            <w:vAlign w:val="bottom"/>
            <w:tcBorders>
              <w:bottom w:val="single" w:sz="8" w:color="4C4C4C"/>
            </w:tcBorders>
            <w:vMerge w:val="continue"/>
            <w:shd w:val="clear" w:color="auto" w:fill="E5F6F8"/>
          </w:tcPr>
          <w:p>
            <w:pPr>
              <w:spacing w:after="0"/>
              <w:rPr>
                <w:sz w:val="6"/>
                <w:szCs w:val="6"/>
                <w:color w:val="auto"/>
              </w:rPr>
            </w:pPr>
          </w:p>
        </w:tc>
        <w:tc>
          <w:tcPr>
            <w:tcW w:w="160" w:type="dxa"/>
            <w:vAlign w:val="bottom"/>
            <w:tcBorders>
              <w:bottom w:val="single" w:sz="8" w:color="4C4C4C"/>
            </w:tcBorders>
            <w:vMerge w:val="continue"/>
            <w:shd w:val="clear" w:color="auto" w:fill="E5F6F8"/>
          </w:tcPr>
          <w:p>
            <w:pPr>
              <w:spacing w:after="0"/>
              <w:rPr>
                <w:sz w:val="6"/>
                <w:szCs w:val="6"/>
                <w:color w:val="auto"/>
              </w:rPr>
            </w:pPr>
          </w:p>
        </w:tc>
        <w:tc>
          <w:tcPr>
            <w:tcW w:w="940" w:type="dxa"/>
            <w:vAlign w:val="bottom"/>
            <w:tcBorders>
              <w:bottom w:val="single" w:sz="8" w:color="4C4C4C"/>
            </w:tcBorders>
            <w:vMerge w:val="continue"/>
            <w:shd w:val="clear" w:color="auto" w:fill="E5F6F8"/>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Miscellaneous Payments </w:t>
            </w:r>
            <w:r>
              <w:rPr>
                <w:rFonts w:ascii="Arial" w:cs="Arial" w:eastAsia="Arial" w:hAnsi="Arial"/>
                <w:sz w:val="18"/>
                <w:szCs w:val="18"/>
                <w:color w:val="4C4C4C"/>
                <w:vertAlign w:val="superscript"/>
              </w:rPr>
              <w:t>(10)</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31,997</w:t>
            </w:r>
          </w:p>
        </w:tc>
        <w:tc>
          <w:tcPr>
            <w:tcW w:w="340" w:type="dxa"/>
            <w:vAlign w:val="bottom"/>
            <w:tcBorders>
              <w:bottom w:val="single" w:sz="8" w:color="4C4C4C"/>
            </w:tcBorders>
            <w:shd w:val="clear" w:color="auto" w:fill="E5F6F8"/>
          </w:tcPr>
          <w:p>
            <w:pPr>
              <w:spacing w:after="0"/>
              <w:rPr>
                <w:sz w:val="13"/>
                <w:szCs w:val="13"/>
                <w:color w:val="auto"/>
              </w:rPr>
            </w:pPr>
          </w:p>
        </w:tc>
        <w:tc>
          <w:tcPr>
            <w:tcW w:w="1040" w:type="dxa"/>
            <w:vAlign w:val="bottom"/>
            <w:tcBorders>
              <w:bottom w:val="single" w:sz="8" w:color="4C4C4C"/>
            </w:tcBorders>
            <w:shd w:val="clear" w:color="auto" w:fill="E5F6F8"/>
          </w:tcPr>
          <w:p>
            <w:pPr>
              <w:spacing w:after="0"/>
              <w:rPr>
                <w:sz w:val="13"/>
                <w:szCs w:val="13"/>
                <w:color w:val="auto"/>
              </w:rPr>
            </w:pP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59,035</w:t>
            </w:r>
          </w:p>
        </w:tc>
        <w:tc>
          <w:tcPr>
            <w:tcW w:w="160" w:type="dxa"/>
            <w:vAlign w:val="bottom"/>
            <w:tcBorders>
              <w:bottom w:val="single" w:sz="8" w:color="4C4C4C"/>
            </w:tcBorders>
            <w:shd w:val="clear" w:color="auto" w:fill="E5F6F8"/>
          </w:tcPr>
          <w:p>
            <w:pPr>
              <w:spacing w:after="0"/>
              <w:rPr>
                <w:sz w:val="13"/>
                <w:szCs w:val="13"/>
                <w:color w:val="auto"/>
              </w:rPr>
            </w:pPr>
          </w:p>
        </w:tc>
        <w:tc>
          <w:tcPr>
            <w:tcW w:w="940" w:type="dxa"/>
            <w:vAlign w:val="bottom"/>
            <w:tcBorders>
              <w:bottom w:val="single" w:sz="8" w:color="4C4C4C"/>
            </w:tcBorders>
            <w:shd w:val="clear" w:color="auto" w:fill="E5F6F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4C4C4C"/>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5" w:lineRule="exact"/>
              <w:rPr>
                <w:sz w:val="20"/>
                <w:szCs w:val="20"/>
                <w:color w:val="auto"/>
              </w:rPr>
            </w:pPr>
            <w:r>
              <w:rPr>
                <w:rFonts w:ascii="Arial" w:cs="Arial" w:eastAsia="Arial" w:hAnsi="Arial"/>
                <w:sz w:val="14"/>
                <w:szCs w:val="14"/>
                <w:color w:val="4C4C4C"/>
              </w:rPr>
              <w:t>Total</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28"/>
              <w:spacing w:after="0" w:line="155" w:lineRule="exact"/>
              <w:rPr>
                <w:sz w:val="20"/>
                <w:szCs w:val="20"/>
                <w:color w:val="auto"/>
              </w:rPr>
            </w:pPr>
            <w:r>
              <w:rPr>
                <w:rFonts w:ascii="Arial" w:cs="Arial" w:eastAsia="Arial" w:hAnsi="Arial"/>
                <w:sz w:val="14"/>
                <w:szCs w:val="14"/>
                <w:color w:val="4C4C4C"/>
              </w:rPr>
              <w:t>0</w:t>
            </w: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3,718,755</w:t>
            </w:r>
          </w:p>
        </w:tc>
        <w:tc>
          <w:tcPr>
            <w:tcW w:w="340" w:type="dxa"/>
            <w:vAlign w:val="bottom"/>
            <w:tcBorders>
              <w:bottom w:val="single" w:sz="8" w:color="4C4C4C"/>
            </w:tcBorders>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1,406,758</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5,185,793</w:t>
            </w:r>
          </w:p>
        </w:tc>
        <w:tc>
          <w:tcPr>
            <w:tcW w:w="16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1,406,758</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180" w:type="dxa"/>
            <w:vAlign w:val="bottom"/>
            <w:tcBorders>
              <w:bottom w:val="single" w:sz="8" w:color="4C4C4C"/>
            </w:tcBorders>
            <w:gridSpan w:val="2"/>
          </w:tcPr>
          <w:p>
            <w:pPr>
              <w:ind w:left="100"/>
              <w:spacing w:after="0"/>
              <w:rPr>
                <w:sz w:val="20"/>
                <w:szCs w:val="20"/>
                <w:color w:val="auto"/>
              </w:rPr>
            </w:pPr>
            <w:r>
              <w:rPr>
                <w:rFonts w:ascii="Arial" w:cs="Arial" w:eastAsia="Arial" w:hAnsi="Arial"/>
                <w:sz w:val="14"/>
                <w:szCs w:val="14"/>
                <w:color w:val="4C4C4C"/>
              </w:rPr>
              <w:t>Base Salary</w:t>
            </w:r>
          </w:p>
        </w:tc>
        <w:tc>
          <w:tcPr>
            <w:tcW w:w="200" w:type="dxa"/>
            <w:vAlign w:val="bottom"/>
            <w:tcBorders>
              <w:bottom w:val="single" w:sz="8" w:color="4C4C4C"/>
            </w:tcBorders>
          </w:tcPr>
          <w:p>
            <w:pPr>
              <w:spacing w:after="0"/>
              <w:rPr>
                <w:sz w:val="18"/>
                <w:szCs w:val="18"/>
                <w:color w:val="auto"/>
              </w:rPr>
            </w:pPr>
          </w:p>
        </w:tc>
        <w:tc>
          <w:tcPr>
            <w:tcW w:w="1000" w:type="dxa"/>
            <w:vAlign w:val="bottom"/>
            <w:tcBorders>
              <w:bottom w:val="single" w:sz="8" w:color="4C4C4C"/>
            </w:tcBorders>
          </w:tcPr>
          <w:p>
            <w:pPr>
              <w:spacing w:after="0"/>
              <w:rPr>
                <w:sz w:val="18"/>
                <w:szCs w:val="18"/>
                <w:color w:val="auto"/>
              </w:rPr>
            </w:pPr>
          </w:p>
        </w:tc>
        <w:tc>
          <w:tcPr>
            <w:tcW w:w="220" w:type="dxa"/>
            <w:vAlign w:val="bottom"/>
            <w:tcBorders>
              <w:bottom w:val="single" w:sz="8" w:color="4C4C4C"/>
            </w:tcBorders>
          </w:tcPr>
          <w:p>
            <w:pPr>
              <w:ind w:left="120"/>
              <w:spacing w:after="0"/>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600,000</w:t>
            </w:r>
          </w:p>
        </w:tc>
        <w:tc>
          <w:tcPr>
            <w:tcW w:w="340" w:type="dxa"/>
            <w:vAlign w:val="bottom"/>
            <w:tcBorders>
              <w:bottom w:val="single" w:sz="8" w:color="4C4C4C"/>
            </w:tcBorders>
          </w:tcPr>
          <w:p>
            <w:pPr>
              <w:spacing w:after="0"/>
              <w:rPr>
                <w:sz w:val="18"/>
                <w:szCs w:val="18"/>
                <w:color w:val="auto"/>
              </w:rPr>
            </w:pPr>
          </w:p>
        </w:tc>
        <w:tc>
          <w:tcPr>
            <w:tcW w:w="1040" w:type="dxa"/>
            <w:vAlign w:val="bottom"/>
            <w:tcBorders>
              <w:bottom w:val="single" w:sz="8" w:color="4C4C4C"/>
            </w:tcBorders>
          </w:tcPr>
          <w:p>
            <w:pPr>
              <w:spacing w:after="0"/>
              <w:rPr>
                <w:sz w:val="18"/>
                <w:szCs w:val="18"/>
                <w:color w:val="auto"/>
              </w:rPr>
            </w:pPr>
          </w:p>
        </w:tc>
        <w:tc>
          <w:tcPr>
            <w:tcW w:w="20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rPr>
                <w:sz w:val="20"/>
                <w:szCs w:val="20"/>
                <w:color w:val="auto"/>
              </w:rPr>
            </w:pPr>
            <w:r>
              <w:rPr>
                <w:rFonts w:ascii="Arial" w:cs="Arial" w:eastAsia="Arial" w:hAnsi="Arial"/>
                <w:sz w:val="14"/>
                <w:szCs w:val="14"/>
                <w:color w:val="4C4C4C"/>
              </w:rPr>
              <w:t>1,200,000</w:t>
            </w:r>
          </w:p>
        </w:tc>
        <w:tc>
          <w:tcPr>
            <w:tcW w:w="160" w:type="dxa"/>
            <w:vAlign w:val="bottom"/>
            <w:tcBorders>
              <w:bottom w:val="single" w:sz="8" w:color="4C4C4C"/>
            </w:tcBorders>
          </w:tcPr>
          <w:p>
            <w:pPr>
              <w:spacing w:after="0"/>
              <w:rPr>
                <w:sz w:val="18"/>
                <w:szCs w:val="18"/>
                <w:color w:val="auto"/>
              </w:rPr>
            </w:pPr>
          </w:p>
        </w:tc>
        <w:tc>
          <w:tcPr>
            <w:tcW w:w="940" w:type="dxa"/>
            <w:vAlign w:val="bottom"/>
            <w:tcBorders>
              <w:bottom w:val="single" w:sz="8" w:color="4C4C4C"/>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5" w:lineRule="exact"/>
              <w:rPr>
                <w:sz w:val="20"/>
                <w:szCs w:val="20"/>
                <w:color w:val="auto"/>
              </w:rPr>
            </w:pPr>
            <w:r>
              <w:rPr>
                <w:rFonts w:ascii="Arial" w:cs="Arial" w:eastAsia="Arial" w:hAnsi="Arial"/>
                <w:sz w:val="14"/>
                <w:szCs w:val="14"/>
                <w:color w:val="4C4C4C"/>
              </w:rPr>
              <w:t>Annual STI</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1,680,000</w:t>
            </w: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2,520,000</w:t>
            </w:r>
          </w:p>
        </w:tc>
        <w:tc>
          <w:tcPr>
            <w:tcW w:w="160" w:type="dxa"/>
            <w:vAlign w:val="bottom"/>
            <w:tcBorders>
              <w:bottom w:val="single" w:sz="8" w:color="4C4C4C"/>
            </w:tcBorders>
          </w:tcPr>
          <w:p>
            <w:pPr>
              <w:spacing w:after="0"/>
              <w:rPr>
                <w:sz w:val="13"/>
                <w:szCs w:val="13"/>
                <w:color w:val="auto"/>
              </w:rPr>
            </w:pPr>
          </w:p>
        </w:tc>
        <w:tc>
          <w:tcPr>
            <w:tcW w:w="94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RSUs </w:t>
            </w:r>
            <w:r>
              <w:rPr>
                <w:rFonts w:ascii="Arial" w:cs="Arial" w:eastAsia="Arial" w:hAnsi="Arial"/>
                <w:sz w:val="18"/>
                <w:szCs w:val="18"/>
                <w:color w:val="4C4C4C"/>
                <w:vertAlign w:val="superscript"/>
              </w:rPr>
              <w:t>(7)</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760,157</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760,157</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760,157</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760,157</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760,157</w:t>
            </w:r>
          </w:p>
        </w:tc>
        <w:tc>
          <w:tcPr>
            <w:tcW w:w="0" w:type="dxa"/>
            <w:vAlign w:val="bottom"/>
          </w:tcPr>
          <w:p>
            <w:pPr>
              <w:spacing w:after="0"/>
              <w:rPr>
                <w:sz w:val="1"/>
                <w:szCs w:val="1"/>
                <w:color w:val="auto"/>
              </w:rPr>
            </w:pPr>
          </w:p>
        </w:tc>
      </w:tr>
      <w:tr>
        <w:trPr>
          <w:trHeight w:val="155"/>
        </w:trPr>
        <w:tc>
          <w:tcPr>
            <w:tcW w:w="2820" w:type="dxa"/>
            <w:vAlign w:val="bottom"/>
            <w:vMerge w:val="restart"/>
          </w:tcPr>
          <w:p>
            <w:pPr>
              <w:ind w:left="100"/>
              <w:spacing w:after="0"/>
              <w:rPr>
                <w:sz w:val="20"/>
                <w:szCs w:val="20"/>
                <w:color w:val="auto"/>
              </w:rPr>
            </w:pPr>
            <w:r>
              <w:rPr>
                <w:rFonts w:ascii="Arial" w:cs="Arial" w:eastAsia="Arial" w:hAnsi="Arial"/>
                <w:sz w:val="14"/>
                <w:szCs w:val="14"/>
                <w:color w:val="4C4C4C"/>
              </w:rPr>
              <w:t>Christine DeBiase</w:t>
            </w: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PSUs </w:t>
            </w:r>
            <w:r>
              <w:rPr>
                <w:rFonts w:ascii="Arial" w:cs="Arial" w:eastAsia="Arial" w:hAnsi="Arial"/>
                <w:sz w:val="18"/>
                <w:szCs w:val="18"/>
                <w:color w:val="4C4C4C"/>
                <w:vertAlign w:val="superscript"/>
              </w:rPr>
              <w:t>(8)</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1,449,016</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1,449,016</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1,449,016</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1,449,016</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1,449,016</w:t>
            </w:r>
          </w:p>
        </w:tc>
        <w:tc>
          <w:tcPr>
            <w:tcW w:w="0" w:type="dxa"/>
            <w:vAlign w:val="bottom"/>
          </w:tcPr>
          <w:p>
            <w:pPr>
              <w:spacing w:after="0"/>
              <w:rPr>
                <w:sz w:val="1"/>
                <w:szCs w:val="1"/>
                <w:color w:val="auto"/>
              </w:rPr>
            </w:pPr>
          </w:p>
        </w:tc>
      </w:tr>
      <w:tr>
        <w:trPr>
          <w:trHeight w:val="76"/>
        </w:trPr>
        <w:tc>
          <w:tcPr>
            <w:tcW w:w="2820" w:type="dxa"/>
            <w:vAlign w:val="bottom"/>
            <w:vMerge w:val="continue"/>
          </w:tcPr>
          <w:p>
            <w:pPr>
              <w:spacing w:after="0"/>
              <w:rPr>
                <w:sz w:val="6"/>
                <w:szCs w:val="6"/>
                <w:color w:val="auto"/>
              </w:rPr>
            </w:pPr>
          </w:p>
        </w:tc>
        <w:tc>
          <w:tcPr>
            <w:tcW w:w="2180" w:type="dxa"/>
            <w:vAlign w:val="bottom"/>
            <w:gridSpan w:val="2"/>
            <w:vMerge w:val="restart"/>
          </w:tcPr>
          <w:p>
            <w:pPr>
              <w:ind w:left="100"/>
              <w:spacing w:after="0" w:line="156" w:lineRule="exact"/>
              <w:rPr>
                <w:sz w:val="20"/>
                <w:szCs w:val="20"/>
                <w:color w:val="auto"/>
              </w:rPr>
            </w:pPr>
            <w:r>
              <w:rPr>
                <w:rFonts w:ascii="Arial" w:cs="Arial" w:eastAsia="Arial" w:hAnsi="Arial"/>
                <w:sz w:val="11"/>
                <w:szCs w:val="11"/>
                <w:color w:val="4C4C4C"/>
              </w:rPr>
              <w:t xml:space="preserve">Stock Options </w:t>
            </w:r>
            <w:r>
              <w:rPr>
                <w:rFonts w:ascii="Arial" w:cs="Arial" w:eastAsia="Arial" w:hAnsi="Arial"/>
                <w:sz w:val="18"/>
                <w:szCs w:val="18"/>
                <w:color w:val="4C4C4C"/>
                <w:vertAlign w:val="superscript"/>
              </w:rPr>
              <w:t>(9)</w:t>
            </w: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20" w:type="dxa"/>
            <w:vAlign w:val="bottom"/>
          </w:tcPr>
          <w:p>
            <w:pPr>
              <w:spacing w:after="0"/>
              <w:rPr>
                <w:sz w:val="6"/>
                <w:szCs w:val="6"/>
                <w:color w:val="auto"/>
              </w:rPr>
            </w:pPr>
          </w:p>
        </w:tc>
        <w:tc>
          <w:tcPr>
            <w:tcW w:w="2180" w:type="dxa"/>
            <w:vAlign w:val="bottom"/>
            <w:tcBorders>
              <w:bottom w:val="single" w:sz="8" w:color="4C4C4C"/>
            </w:tcBorders>
            <w:gridSpan w:val="2"/>
            <w:vMerge w:val="continue"/>
          </w:tcPr>
          <w:p>
            <w:pPr>
              <w:spacing w:after="0"/>
              <w:rPr>
                <w:sz w:val="6"/>
                <w:szCs w:val="6"/>
                <w:color w:val="auto"/>
              </w:rPr>
            </w:pPr>
          </w:p>
        </w:tc>
        <w:tc>
          <w:tcPr>
            <w:tcW w:w="200" w:type="dxa"/>
            <w:vAlign w:val="bottom"/>
            <w:tcBorders>
              <w:bottom w:val="single" w:sz="8" w:color="4C4C4C"/>
            </w:tcBorders>
          </w:tcPr>
          <w:p>
            <w:pPr>
              <w:spacing w:after="0"/>
              <w:rPr>
                <w:sz w:val="6"/>
                <w:szCs w:val="6"/>
                <w:color w:val="auto"/>
              </w:rPr>
            </w:pPr>
          </w:p>
        </w:tc>
        <w:tc>
          <w:tcPr>
            <w:tcW w:w="1000" w:type="dxa"/>
            <w:vAlign w:val="bottom"/>
            <w:tcBorders>
              <w:bottom w:val="single" w:sz="8" w:color="4C4C4C"/>
            </w:tcBorders>
          </w:tcPr>
          <w:p>
            <w:pPr>
              <w:spacing w:after="0"/>
              <w:rPr>
                <w:sz w:val="6"/>
                <w:szCs w:val="6"/>
                <w:color w:val="auto"/>
              </w:rPr>
            </w:pPr>
          </w:p>
        </w:tc>
        <w:tc>
          <w:tcPr>
            <w:tcW w:w="220" w:type="dxa"/>
            <w:vAlign w:val="bottom"/>
            <w:tcBorders>
              <w:bottom w:val="single" w:sz="8" w:color="4C4C4C"/>
            </w:tcBorders>
          </w:tcPr>
          <w:p>
            <w:pPr>
              <w:spacing w:after="0"/>
              <w:rPr>
                <w:sz w:val="6"/>
                <w:szCs w:val="6"/>
                <w:color w:val="auto"/>
              </w:rPr>
            </w:pPr>
          </w:p>
        </w:tc>
        <w:tc>
          <w:tcPr>
            <w:tcW w:w="920" w:type="dxa"/>
            <w:vAlign w:val="bottom"/>
            <w:tcBorders>
              <w:bottom w:val="single" w:sz="8" w:color="4C4C4C"/>
            </w:tcBorders>
          </w:tcPr>
          <w:p>
            <w:pPr>
              <w:spacing w:after="0"/>
              <w:rPr>
                <w:sz w:val="6"/>
                <w:szCs w:val="6"/>
                <w:color w:val="auto"/>
              </w:rPr>
            </w:pPr>
          </w:p>
        </w:tc>
        <w:tc>
          <w:tcPr>
            <w:tcW w:w="340" w:type="dxa"/>
            <w:vAlign w:val="bottom"/>
            <w:tcBorders>
              <w:bottom w:val="single" w:sz="8" w:color="4C4C4C"/>
            </w:tcBorders>
          </w:tcPr>
          <w:p>
            <w:pPr>
              <w:spacing w:after="0"/>
              <w:rPr>
                <w:sz w:val="6"/>
                <w:szCs w:val="6"/>
                <w:color w:val="auto"/>
              </w:rPr>
            </w:pPr>
          </w:p>
        </w:tc>
        <w:tc>
          <w:tcPr>
            <w:tcW w:w="1040" w:type="dxa"/>
            <w:vAlign w:val="bottom"/>
            <w:tcBorders>
              <w:bottom w:val="single" w:sz="8" w:color="4C4C4C"/>
            </w:tcBorders>
          </w:tcPr>
          <w:p>
            <w:pPr>
              <w:spacing w:after="0"/>
              <w:rPr>
                <w:sz w:val="6"/>
                <w:szCs w:val="6"/>
                <w:color w:val="auto"/>
              </w:rPr>
            </w:pPr>
          </w:p>
        </w:tc>
        <w:tc>
          <w:tcPr>
            <w:tcW w:w="200" w:type="dxa"/>
            <w:vAlign w:val="bottom"/>
            <w:tcBorders>
              <w:bottom w:val="single" w:sz="8" w:color="4C4C4C"/>
            </w:tcBorders>
          </w:tcPr>
          <w:p>
            <w:pPr>
              <w:spacing w:after="0"/>
              <w:rPr>
                <w:sz w:val="6"/>
                <w:szCs w:val="6"/>
                <w:color w:val="auto"/>
              </w:rPr>
            </w:pPr>
          </w:p>
        </w:tc>
        <w:tc>
          <w:tcPr>
            <w:tcW w:w="1000" w:type="dxa"/>
            <w:vAlign w:val="bottom"/>
            <w:tcBorders>
              <w:bottom w:val="single" w:sz="8" w:color="4C4C4C"/>
            </w:tcBorders>
          </w:tcPr>
          <w:p>
            <w:pPr>
              <w:spacing w:after="0"/>
              <w:rPr>
                <w:sz w:val="6"/>
                <w:szCs w:val="6"/>
                <w:color w:val="auto"/>
              </w:rPr>
            </w:pPr>
          </w:p>
        </w:tc>
        <w:tc>
          <w:tcPr>
            <w:tcW w:w="160" w:type="dxa"/>
            <w:vAlign w:val="bottom"/>
            <w:tcBorders>
              <w:bottom w:val="single" w:sz="8" w:color="4C4C4C"/>
            </w:tcBorders>
          </w:tcPr>
          <w:p>
            <w:pPr>
              <w:spacing w:after="0"/>
              <w:rPr>
                <w:sz w:val="6"/>
                <w:szCs w:val="6"/>
                <w:color w:val="auto"/>
              </w:rPr>
            </w:pPr>
          </w:p>
        </w:tc>
        <w:tc>
          <w:tcPr>
            <w:tcW w:w="940" w:type="dxa"/>
            <w:vAlign w:val="bottom"/>
            <w:tcBorders>
              <w:bottom w:val="single" w:sz="8" w:color="4C4C4C"/>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Limited Death Benefit </w:t>
            </w:r>
            <w:r>
              <w:rPr>
                <w:rFonts w:ascii="Arial" w:cs="Arial" w:eastAsia="Arial" w:hAnsi="Arial"/>
                <w:sz w:val="18"/>
                <w:szCs w:val="18"/>
                <w:color w:val="4C4C4C"/>
                <w:vertAlign w:val="superscript"/>
              </w:rPr>
              <w:t>(11)</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spacing w:after="0"/>
              <w:rPr>
                <w:sz w:val="13"/>
                <w:szCs w:val="13"/>
                <w:color w:val="auto"/>
              </w:rPr>
            </w:pPr>
          </w:p>
        </w:tc>
        <w:tc>
          <w:tcPr>
            <w:tcW w:w="920" w:type="dxa"/>
            <w:vAlign w:val="bottom"/>
            <w:tcBorders>
              <w:bottom w:val="single" w:sz="8" w:color="4C4C4C"/>
            </w:tcBorders>
          </w:tcPr>
          <w:p>
            <w:pPr>
              <w:spacing w:after="0"/>
              <w:rPr>
                <w:sz w:val="13"/>
                <w:szCs w:val="13"/>
                <w:color w:val="auto"/>
              </w:rPr>
            </w:pP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1,233,991</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2180" w:type="dxa"/>
            <w:vAlign w:val="bottom"/>
            <w:tcBorders>
              <w:bottom w:val="single" w:sz="8" w:color="4C4C4C"/>
            </w:tcBorders>
            <w:gridSpan w:val="2"/>
          </w:tcPr>
          <w:p>
            <w:pPr>
              <w:ind w:left="100"/>
              <w:spacing w:after="0" w:line="156" w:lineRule="exact"/>
              <w:rPr>
                <w:sz w:val="20"/>
                <w:szCs w:val="20"/>
                <w:color w:val="auto"/>
              </w:rPr>
            </w:pPr>
            <w:r>
              <w:rPr>
                <w:rFonts w:ascii="Arial" w:cs="Arial" w:eastAsia="Arial" w:hAnsi="Arial"/>
                <w:sz w:val="11"/>
                <w:szCs w:val="11"/>
                <w:color w:val="4C4C4C"/>
              </w:rPr>
              <w:t xml:space="preserve">Miscellaneous Payments </w:t>
            </w:r>
            <w:r>
              <w:rPr>
                <w:rFonts w:ascii="Arial" w:cs="Arial" w:eastAsia="Arial" w:hAnsi="Arial"/>
                <w:sz w:val="18"/>
                <w:szCs w:val="18"/>
                <w:color w:val="4C4C4C"/>
                <w:vertAlign w:val="superscript"/>
              </w:rPr>
              <w:t>(10)</w:t>
            </w: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31,997</w:t>
            </w:r>
          </w:p>
        </w:tc>
        <w:tc>
          <w:tcPr>
            <w:tcW w:w="34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59,035</w:t>
            </w:r>
          </w:p>
        </w:tc>
        <w:tc>
          <w:tcPr>
            <w:tcW w:w="160" w:type="dxa"/>
            <w:vAlign w:val="bottom"/>
            <w:tcBorders>
              <w:bottom w:val="single" w:sz="8" w:color="4C4C4C"/>
            </w:tcBorders>
          </w:tcPr>
          <w:p>
            <w:pPr>
              <w:spacing w:after="0"/>
              <w:rPr>
                <w:sz w:val="13"/>
                <w:szCs w:val="13"/>
                <w:color w:val="auto"/>
              </w:rPr>
            </w:pPr>
          </w:p>
        </w:tc>
        <w:tc>
          <w:tcPr>
            <w:tcW w:w="94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4C4C4C"/>
            </w:tcBorders>
          </w:tcPr>
          <w:p>
            <w:pPr>
              <w:spacing w:after="0"/>
              <w:rPr>
                <w:sz w:val="13"/>
                <w:szCs w:val="13"/>
                <w:color w:val="auto"/>
              </w:rPr>
            </w:pPr>
          </w:p>
        </w:tc>
        <w:tc>
          <w:tcPr>
            <w:tcW w:w="2180" w:type="dxa"/>
            <w:vAlign w:val="bottom"/>
            <w:tcBorders>
              <w:bottom w:val="single" w:sz="8" w:color="4C4C4C"/>
            </w:tcBorders>
            <w:gridSpan w:val="2"/>
          </w:tcPr>
          <w:p>
            <w:pPr>
              <w:ind w:left="100"/>
              <w:spacing w:after="0" w:line="155" w:lineRule="exact"/>
              <w:rPr>
                <w:sz w:val="20"/>
                <w:szCs w:val="20"/>
                <w:color w:val="auto"/>
              </w:rPr>
            </w:pPr>
            <w:r>
              <w:rPr>
                <w:rFonts w:ascii="Arial" w:cs="Arial" w:eastAsia="Arial" w:hAnsi="Arial"/>
                <w:sz w:val="14"/>
                <w:szCs w:val="14"/>
                <w:color w:val="4C4C4C"/>
              </w:rPr>
              <w:t>Total</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2,209,173</w:t>
            </w:r>
          </w:p>
        </w:tc>
        <w:tc>
          <w:tcPr>
            <w:tcW w:w="220" w:type="dxa"/>
            <w:vAlign w:val="bottom"/>
            <w:tcBorders>
              <w:bottom w:val="single" w:sz="8" w:color="4C4C4C"/>
            </w:tcBorders>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4,521,170</w:t>
            </w:r>
          </w:p>
        </w:tc>
        <w:tc>
          <w:tcPr>
            <w:tcW w:w="340" w:type="dxa"/>
            <w:vAlign w:val="bottom"/>
            <w:tcBorders>
              <w:bottom w:val="single" w:sz="8" w:color="4C4C4C"/>
            </w:tcBorders>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48"/>
              <w:spacing w:after="0" w:line="155" w:lineRule="exact"/>
              <w:rPr>
                <w:sz w:val="20"/>
                <w:szCs w:val="20"/>
                <w:color w:val="auto"/>
              </w:rPr>
            </w:pPr>
            <w:r>
              <w:rPr>
                <w:rFonts w:ascii="Arial" w:cs="Arial" w:eastAsia="Arial" w:hAnsi="Arial"/>
                <w:sz w:val="14"/>
                <w:szCs w:val="14"/>
                <w:color w:val="4C4C4C"/>
              </w:rPr>
              <w:t>2,209,173</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8"/>
              <w:spacing w:after="0" w:line="155" w:lineRule="exact"/>
              <w:rPr>
                <w:sz w:val="20"/>
                <w:szCs w:val="20"/>
                <w:color w:val="auto"/>
              </w:rPr>
            </w:pPr>
            <w:r>
              <w:rPr>
                <w:rFonts w:ascii="Arial" w:cs="Arial" w:eastAsia="Arial" w:hAnsi="Arial"/>
                <w:sz w:val="14"/>
                <w:szCs w:val="14"/>
                <w:color w:val="4C4C4C"/>
              </w:rPr>
              <w:t>5,988,208</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tcPr>
          <w:p>
            <w:pPr>
              <w:jc w:val="right"/>
              <w:ind w:right="148"/>
              <w:spacing w:after="0" w:line="155" w:lineRule="exact"/>
              <w:rPr>
                <w:sz w:val="20"/>
                <w:szCs w:val="20"/>
                <w:color w:val="auto"/>
              </w:rPr>
            </w:pPr>
            <w:r>
              <w:rPr>
                <w:rFonts w:ascii="Arial" w:cs="Arial" w:eastAsia="Arial" w:hAnsi="Arial"/>
                <w:sz w:val="14"/>
                <w:szCs w:val="14"/>
                <w:color w:val="4C4C4C"/>
              </w:rPr>
              <w:t>3,443,164</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E5F6F8"/>
            </w:tcBorders>
            <w:shd w:val="clear" w:color="auto" w:fill="E5F6F8"/>
          </w:tcPr>
          <w:p>
            <w:pPr>
              <w:spacing w:after="0"/>
              <w:rPr>
                <w:sz w:val="18"/>
                <w:szCs w:val="18"/>
                <w:color w:val="auto"/>
              </w:rPr>
            </w:pPr>
          </w:p>
        </w:tc>
        <w:tc>
          <w:tcPr>
            <w:tcW w:w="100" w:type="dxa"/>
            <w:vAlign w:val="bottom"/>
            <w:tcBorders>
              <w:bottom w:val="single" w:sz="8" w:color="4C4C4C"/>
            </w:tcBorders>
            <w:shd w:val="clear" w:color="auto" w:fill="E5F6F8"/>
          </w:tcPr>
          <w:p>
            <w:pPr>
              <w:spacing w:after="0"/>
              <w:rPr>
                <w:sz w:val="18"/>
                <w:szCs w:val="18"/>
                <w:color w:val="auto"/>
              </w:rPr>
            </w:pPr>
          </w:p>
        </w:tc>
        <w:tc>
          <w:tcPr>
            <w:tcW w:w="2080" w:type="dxa"/>
            <w:vAlign w:val="bottom"/>
            <w:tcBorders>
              <w:bottom w:val="single" w:sz="8" w:color="4C4C4C"/>
            </w:tcBorders>
            <w:shd w:val="clear" w:color="auto" w:fill="E5F6F8"/>
          </w:tcPr>
          <w:p>
            <w:pPr>
              <w:spacing w:after="0"/>
              <w:rPr>
                <w:sz w:val="20"/>
                <w:szCs w:val="20"/>
                <w:color w:val="auto"/>
              </w:rPr>
            </w:pPr>
            <w:r>
              <w:rPr>
                <w:rFonts w:ascii="Arial" w:cs="Arial" w:eastAsia="Arial" w:hAnsi="Arial"/>
                <w:sz w:val="14"/>
                <w:szCs w:val="14"/>
                <w:color w:val="4C4C4C"/>
              </w:rPr>
              <w:t>Base Salary</w:t>
            </w:r>
          </w:p>
        </w:tc>
        <w:tc>
          <w:tcPr>
            <w:tcW w:w="200" w:type="dxa"/>
            <w:vAlign w:val="bottom"/>
            <w:tcBorders>
              <w:bottom w:val="single" w:sz="8" w:color="4C4C4C"/>
            </w:tcBorders>
            <w:shd w:val="clear" w:color="auto" w:fill="E5F6F8"/>
          </w:tcPr>
          <w:p>
            <w:pPr>
              <w:spacing w:after="0"/>
              <w:rPr>
                <w:sz w:val="18"/>
                <w:szCs w:val="18"/>
                <w:color w:val="auto"/>
              </w:rPr>
            </w:pPr>
          </w:p>
        </w:tc>
        <w:tc>
          <w:tcPr>
            <w:tcW w:w="1000" w:type="dxa"/>
            <w:vAlign w:val="bottom"/>
            <w:tcBorders>
              <w:bottom w:val="single" w:sz="8" w:color="4C4C4C"/>
            </w:tcBorders>
            <w:shd w:val="clear" w:color="auto" w:fill="E5F6F8"/>
          </w:tcPr>
          <w:p>
            <w:pPr>
              <w:spacing w:after="0"/>
              <w:rPr>
                <w:sz w:val="18"/>
                <w:szCs w:val="18"/>
                <w:color w:val="auto"/>
              </w:rPr>
            </w:pPr>
          </w:p>
        </w:tc>
        <w:tc>
          <w:tcPr>
            <w:tcW w:w="220" w:type="dxa"/>
            <w:vAlign w:val="bottom"/>
            <w:tcBorders>
              <w:bottom w:val="single" w:sz="8" w:color="4C4C4C"/>
            </w:tcBorders>
            <w:shd w:val="clear" w:color="auto" w:fill="E5F6F8"/>
          </w:tcPr>
          <w:p>
            <w:pPr>
              <w:ind w:left="120"/>
              <w:spacing w:after="0"/>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rPr>
                <w:sz w:val="20"/>
                <w:szCs w:val="20"/>
                <w:color w:val="auto"/>
              </w:rPr>
            </w:pPr>
            <w:r>
              <w:rPr>
                <w:rFonts w:ascii="Arial" w:cs="Arial" w:eastAsia="Arial" w:hAnsi="Arial"/>
                <w:sz w:val="14"/>
                <w:szCs w:val="14"/>
                <w:color w:val="4C4C4C"/>
              </w:rPr>
              <w:t>600,000</w:t>
            </w:r>
          </w:p>
        </w:tc>
        <w:tc>
          <w:tcPr>
            <w:tcW w:w="340" w:type="dxa"/>
            <w:vAlign w:val="bottom"/>
            <w:tcBorders>
              <w:bottom w:val="single" w:sz="8" w:color="4C4C4C"/>
            </w:tcBorders>
            <w:shd w:val="clear" w:color="auto" w:fill="E5F6F8"/>
          </w:tcPr>
          <w:p>
            <w:pPr>
              <w:spacing w:after="0"/>
              <w:rPr>
                <w:sz w:val="18"/>
                <w:szCs w:val="18"/>
                <w:color w:val="auto"/>
              </w:rPr>
            </w:pPr>
          </w:p>
        </w:tc>
        <w:tc>
          <w:tcPr>
            <w:tcW w:w="1040" w:type="dxa"/>
            <w:vAlign w:val="bottom"/>
            <w:tcBorders>
              <w:bottom w:val="single" w:sz="8" w:color="4C4C4C"/>
            </w:tcBorders>
            <w:shd w:val="clear" w:color="auto" w:fill="E5F6F8"/>
          </w:tcPr>
          <w:p>
            <w:pPr>
              <w:spacing w:after="0"/>
              <w:rPr>
                <w:sz w:val="18"/>
                <w:szCs w:val="18"/>
                <w:color w:val="auto"/>
              </w:rPr>
            </w:pPr>
          </w:p>
        </w:tc>
        <w:tc>
          <w:tcPr>
            <w:tcW w:w="20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rPr>
                <w:sz w:val="20"/>
                <w:szCs w:val="20"/>
                <w:color w:val="auto"/>
              </w:rPr>
            </w:pPr>
            <w:r>
              <w:rPr>
                <w:rFonts w:ascii="Arial" w:cs="Arial" w:eastAsia="Arial" w:hAnsi="Arial"/>
                <w:sz w:val="14"/>
                <w:szCs w:val="14"/>
                <w:color w:val="4C4C4C"/>
              </w:rPr>
              <w:t>1,200,000</w:t>
            </w:r>
          </w:p>
        </w:tc>
        <w:tc>
          <w:tcPr>
            <w:tcW w:w="160" w:type="dxa"/>
            <w:vAlign w:val="bottom"/>
            <w:tcBorders>
              <w:bottom w:val="single" w:sz="8" w:color="4C4C4C"/>
            </w:tcBorders>
            <w:shd w:val="clear" w:color="auto" w:fill="E5F6F8"/>
          </w:tcPr>
          <w:p>
            <w:pPr>
              <w:spacing w:after="0"/>
              <w:rPr>
                <w:sz w:val="18"/>
                <w:szCs w:val="18"/>
                <w:color w:val="auto"/>
              </w:rPr>
            </w:pPr>
          </w:p>
        </w:tc>
        <w:tc>
          <w:tcPr>
            <w:tcW w:w="940" w:type="dxa"/>
            <w:vAlign w:val="bottom"/>
            <w:tcBorders>
              <w:bottom w:val="single" w:sz="8" w:color="4C4C4C"/>
            </w:tcBorders>
            <w:shd w:val="clear" w:color="auto" w:fill="E5F6F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5" w:lineRule="exact"/>
              <w:rPr>
                <w:sz w:val="20"/>
                <w:szCs w:val="20"/>
                <w:color w:val="auto"/>
              </w:rPr>
            </w:pPr>
            <w:r>
              <w:rPr>
                <w:rFonts w:ascii="Arial" w:cs="Arial" w:eastAsia="Arial" w:hAnsi="Arial"/>
                <w:sz w:val="14"/>
                <w:szCs w:val="14"/>
                <w:color w:val="4C4C4C"/>
              </w:rPr>
              <w:t>Annual STI</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1,740,000</w:t>
            </w:r>
          </w:p>
        </w:tc>
        <w:tc>
          <w:tcPr>
            <w:tcW w:w="340" w:type="dxa"/>
            <w:vAlign w:val="bottom"/>
            <w:tcBorders>
              <w:bottom w:val="single" w:sz="8" w:color="4C4C4C"/>
            </w:tcBorders>
            <w:shd w:val="clear" w:color="auto" w:fill="E5F6F8"/>
          </w:tcPr>
          <w:p>
            <w:pPr>
              <w:spacing w:after="0"/>
              <w:rPr>
                <w:sz w:val="13"/>
                <w:szCs w:val="13"/>
                <w:color w:val="auto"/>
              </w:rPr>
            </w:pPr>
          </w:p>
        </w:tc>
        <w:tc>
          <w:tcPr>
            <w:tcW w:w="1040" w:type="dxa"/>
            <w:vAlign w:val="bottom"/>
            <w:tcBorders>
              <w:bottom w:val="single" w:sz="8" w:color="4C4C4C"/>
            </w:tcBorders>
            <w:shd w:val="clear" w:color="auto" w:fill="E5F6F8"/>
          </w:tcPr>
          <w:p>
            <w:pPr>
              <w:spacing w:after="0"/>
              <w:rPr>
                <w:sz w:val="13"/>
                <w:szCs w:val="13"/>
                <w:color w:val="auto"/>
              </w:rPr>
            </w:pP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2,610,000</w:t>
            </w:r>
          </w:p>
        </w:tc>
        <w:tc>
          <w:tcPr>
            <w:tcW w:w="160" w:type="dxa"/>
            <w:vAlign w:val="bottom"/>
            <w:tcBorders>
              <w:bottom w:val="single" w:sz="8" w:color="4C4C4C"/>
            </w:tcBorders>
            <w:shd w:val="clear" w:color="auto" w:fill="E5F6F8"/>
          </w:tcPr>
          <w:p>
            <w:pPr>
              <w:spacing w:after="0"/>
              <w:rPr>
                <w:sz w:val="13"/>
                <w:szCs w:val="13"/>
                <w:color w:val="auto"/>
              </w:rPr>
            </w:pPr>
          </w:p>
        </w:tc>
        <w:tc>
          <w:tcPr>
            <w:tcW w:w="940" w:type="dxa"/>
            <w:vAlign w:val="bottom"/>
            <w:tcBorders>
              <w:bottom w:val="single" w:sz="8" w:color="4C4C4C"/>
            </w:tcBorders>
            <w:shd w:val="clear" w:color="auto" w:fill="E5F6F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RSUs </w:t>
            </w:r>
            <w:r>
              <w:rPr>
                <w:rFonts w:ascii="Arial" w:cs="Arial" w:eastAsia="Arial" w:hAnsi="Arial"/>
                <w:sz w:val="18"/>
                <w:szCs w:val="18"/>
                <w:color w:val="4C4C4C"/>
                <w:vertAlign w:val="superscript"/>
              </w:rPr>
              <w:t>(7)</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791,551</w:t>
            </w:r>
          </w:p>
        </w:tc>
        <w:tc>
          <w:tcPr>
            <w:tcW w:w="340" w:type="dxa"/>
            <w:vAlign w:val="bottom"/>
            <w:tcBorders>
              <w:bottom w:val="single" w:sz="8" w:color="4C4C4C"/>
            </w:tcBorders>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801,255</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801,255</w:t>
            </w:r>
          </w:p>
        </w:tc>
        <w:tc>
          <w:tcPr>
            <w:tcW w:w="16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801,255</w:t>
            </w: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Conor Murphy</w:t>
            </w: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PSUs </w:t>
            </w:r>
            <w:r>
              <w:rPr>
                <w:rFonts w:ascii="Arial" w:cs="Arial" w:eastAsia="Arial" w:hAnsi="Arial"/>
                <w:sz w:val="18"/>
                <w:szCs w:val="18"/>
                <w:color w:val="4C4C4C"/>
                <w:vertAlign w:val="superscript"/>
              </w:rPr>
              <w:t>(8)</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1,491,200</w:t>
            </w:r>
          </w:p>
        </w:tc>
        <w:tc>
          <w:tcPr>
            <w:tcW w:w="340" w:type="dxa"/>
            <w:vAlign w:val="bottom"/>
            <w:tcBorders>
              <w:bottom w:val="single" w:sz="8" w:color="4C4C4C"/>
            </w:tcBorders>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1,500,905</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1,500,905</w:t>
            </w:r>
          </w:p>
        </w:tc>
        <w:tc>
          <w:tcPr>
            <w:tcW w:w="16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1,500,905</w:t>
            </w: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Stock Options </w:t>
            </w:r>
            <w:r>
              <w:rPr>
                <w:rFonts w:ascii="Arial" w:cs="Arial" w:eastAsia="Arial" w:hAnsi="Arial"/>
                <w:sz w:val="18"/>
                <w:szCs w:val="18"/>
                <w:color w:val="4C4C4C"/>
                <w:vertAlign w:val="superscript"/>
              </w:rPr>
              <w:t>(9)</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spacing w:after="0"/>
              <w:rPr>
                <w:sz w:val="13"/>
                <w:szCs w:val="13"/>
                <w:color w:val="auto"/>
              </w:rPr>
            </w:pPr>
          </w:p>
        </w:tc>
        <w:tc>
          <w:tcPr>
            <w:tcW w:w="920" w:type="dxa"/>
            <w:vAlign w:val="bottom"/>
            <w:tcBorders>
              <w:bottom w:val="single" w:sz="8" w:color="4C4C4C"/>
            </w:tcBorders>
            <w:shd w:val="clear" w:color="auto" w:fill="E5F6F8"/>
          </w:tcPr>
          <w:p>
            <w:pPr>
              <w:spacing w:after="0"/>
              <w:rPr>
                <w:sz w:val="13"/>
                <w:szCs w:val="13"/>
                <w:color w:val="auto"/>
              </w:rPr>
            </w:pPr>
          </w:p>
        </w:tc>
        <w:tc>
          <w:tcPr>
            <w:tcW w:w="340" w:type="dxa"/>
            <w:vAlign w:val="bottom"/>
            <w:tcBorders>
              <w:bottom w:val="single" w:sz="8" w:color="4C4C4C"/>
            </w:tcBorders>
            <w:shd w:val="clear" w:color="auto" w:fill="E5F6F8"/>
          </w:tcPr>
          <w:p>
            <w:pPr>
              <w:spacing w:after="0"/>
              <w:rPr>
                <w:sz w:val="13"/>
                <w:szCs w:val="13"/>
                <w:color w:val="auto"/>
              </w:rPr>
            </w:pPr>
          </w:p>
        </w:tc>
        <w:tc>
          <w:tcPr>
            <w:tcW w:w="1040" w:type="dxa"/>
            <w:vAlign w:val="bottom"/>
            <w:tcBorders>
              <w:bottom w:val="single" w:sz="8" w:color="4C4C4C"/>
            </w:tcBorders>
            <w:shd w:val="clear" w:color="auto" w:fill="E5F6F8"/>
          </w:tcPr>
          <w:p>
            <w:pPr>
              <w:spacing w:after="0"/>
              <w:rPr>
                <w:sz w:val="13"/>
                <w:szCs w:val="13"/>
                <w:color w:val="auto"/>
              </w:rPr>
            </w:pP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160" w:type="dxa"/>
            <w:vAlign w:val="bottom"/>
            <w:tcBorders>
              <w:bottom w:val="single" w:sz="8" w:color="4C4C4C"/>
            </w:tcBorders>
            <w:shd w:val="clear" w:color="auto" w:fill="E5F6F8"/>
          </w:tcPr>
          <w:p>
            <w:pPr>
              <w:spacing w:after="0"/>
              <w:rPr>
                <w:sz w:val="13"/>
                <w:szCs w:val="13"/>
                <w:color w:val="auto"/>
              </w:rPr>
            </w:pPr>
          </w:p>
        </w:tc>
        <w:tc>
          <w:tcPr>
            <w:tcW w:w="940" w:type="dxa"/>
            <w:vAlign w:val="bottom"/>
            <w:tcBorders>
              <w:bottom w:val="single" w:sz="8" w:color="4C4C4C"/>
            </w:tcBorders>
            <w:shd w:val="clear" w:color="auto" w:fill="E5F6F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E5F6F8"/>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6" w:lineRule="exact"/>
              <w:rPr>
                <w:sz w:val="20"/>
                <w:szCs w:val="20"/>
                <w:color w:val="auto"/>
              </w:rPr>
            </w:pPr>
            <w:r>
              <w:rPr>
                <w:rFonts w:ascii="Arial" w:cs="Arial" w:eastAsia="Arial" w:hAnsi="Arial"/>
                <w:sz w:val="11"/>
                <w:szCs w:val="11"/>
                <w:color w:val="4C4C4C"/>
              </w:rPr>
              <w:t xml:space="preserve">Miscellaneous Payments </w:t>
            </w:r>
            <w:r>
              <w:rPr>
                <w:rFonts w:ascii="Arial" w:cs="Arial" w:eastAsia="Arial" w:hAnsi="Arial"/>
                <w:sz w:val="18"/>
                <w:szCs w:val="18"/>
                <w:color w:val="4C4C4C"/>
                <w:vertAlign w:val="superscript"/>
              </w:rPr>
              <w:t>(10)</w:t>
            </w:r>
          </w:p>
        </w:tc>
        <w:tc>
          <w:tcPr>
            <w:tcW w:w="200" w:type="dxa"/>
            <w:vAlign w:val="bottom"/>
            <w:tcBorders>
              <w:bottom w:val="single" w:sz="8" w:color="4C4C4C"/>
            </w:tcBorders>
            <w:shd w:val="clear" w:color="auto" w:fill="E5F6F8"/>
          </w:tcPr>
          <w:p>
            <w:pPr>
              <w:spacing w:after="0"/>
              <w:rPr>
                <w:sz w:val="13"/>
                <w:szCs w:val="13"/>
                <w:color w:val="auto"/>
              </w:rPr>
            </w:pPr>
          </w:p>
        </w:tc>
        <w:tc>
          <w:tcPr>
            <w:tcW w:w="1000" w:type="dxa"/>
            <w:vAlign w:val="bottom"/>
            <w:tcBorders>
              <w:bottom w:val="single" w:sz="8" w:color="4C4C4C"/>
            </w:tcBorders>
            <w:shd w:val="clear" w:color="auto" w:fill="E5F6F8"/>
          </w:tcPr>
          <w:p>
            <w:pPr>
              <w:spacing w:after="0"/>
              <w:rPr>
                <w:sz w:val="13"/>
                <w:szCs w:val="13"/>
                <w:color w:val="auto"/>
              </w:rPr>
            </w:pP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31,997</w:t>
            </w:r>
          </w:p>
        </w:tc>
        <w:tc>
          <w:tcPr>
            <w:tcW w:w="340" w:type="dxa"/>
            <w:vAlign w:val="bottom"/>
            <w:tcBorders>
              <w:bottom w:val="single" w:sz="8" w:color="4C4C4C"/>
            </w:tcBorders>
            <w:shd w:val="clear" w:color="auto" w:fill="E5F6F8"/>
          </w:tcPr>
          <w:p>
            <w:pPr>
              <w:spacing w:after="0"/>
              <w:rPr>
                <w:sz w:val="13"/>
                <w:szCs w:val="13"/>
                <w:color w:val="auto"/>
              </w:rPr>
            </w:pPr>
          </w:p>
        </w:tc>
        <w:tc>
          <w:tcPr>
            <w:tcW w:w="1040" w:type="dxa"/>
            <w:vAlign w:val="bottom"/>
            <w:tcBorders>
              <w:bottom w:val="single" w:sz="8" w:color="4C4C4C"/>
            </w:tcBorders>
            <w:shd w:val="clear" w:color="auto" w:fill="E5F6F8"/>
          </w:tcPr>
          <w:p>
            <w:pPr>
              <w:spacing w:after="0"/>
              <w:rPr>
                <w:sz w:val="13"/>
                <w:szCs w:val="13"/>
                <w:color w:val="auto"/>
              </w:rPr>
            </w:pP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59,035</w:t>
            </w:r>
          </w:p>
        </w:tc>
        <w:tc>
          <w:tcPr>
            <w:tcW w:w="160" w:type="dxa"/>
            <w:vAlign w:val="bottom"/>
            <w:tcBorders>
              <w:bottom w:val="single" w:sz="8" w:color="4C4C4C"/>
            </w:tcBorders>
            <w:shd w:val="clear" w:color="auto" w:fill="E5F6F8"/>
          </w:tcPr>
          <w:p>
            <w:pPr>
              <w:spacing w:after="0"/>
              <w:rPr>
                <w:sz w:val="13"/>
                <w:szCs w:val="13"/>
                <w:color w:val="auto"/>
              </w:rPr>
            </w:pPr>
          </w:p>
        </w:tc>
        <w:tc>
          <w:tcPr>
            <w:tcW w:w="940" w:type="dxa"/>
            <w:vAlign w:val="bottom"/>
            <w:tcBorders>
              <w:bottom w:val="single" w:sz="8" w:color="4C4C4C"/>
            </w:tcBorders>
            <w:shd w:val="clear" w:color="auto" w:fill="E5F6F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4C4C4C"/>
            </w:tcBorders>
            <w:shd w:val="clear" w:color="auto" w:fill="E5F6F8"/>
          </w:tcPr>
          <w:p>
            <w:pPr>
              <w:spacing w:after="0"/>
              <w:rPr>
                <w:sz w:val="13"/>
                <w:szCs w:val="13"/>
                <w:color w:val="auto"/>
              </w:rPr>
            </w:pPr>
          </w:p>
        </w:tc>
        <w:tc>
          <w:tcPr>
            <w:tcW w:w="100" w:type="dxa"/>
            <w:vAlign w:val="bottom"/>
            <w:tcBorders>
              <w:bottom w:val="single" w:sz="8" w:color="4C4C4C"/>
            </w:tcBorders>
            <w:shd w:val="clear" w:color="auto" w:fill="E5F6F8"/>
          </w:tcPr>
          <w:p>
            <w:pPr>
              <w:spacing w:after="0"/>
              <w:rPr>
                <w:sz w:val="13"/>
                <w:szCs w:val="13"/>
                <w:color w:val="auto"/>
              </w:rPr>
            </w:pPr>
          </w:p>
        </w:tc>
        <w:tc>
          <w:tcPr>
            <w:tcW w:w="2080" w:type="dxa"/>
            <w:vAlign w:val="bottom"/>
            <w:tcBorders>
              <w:bottom w:val="single" w:sz="8" w:color="4C4C4C"/>
            </w:tcBorders>
            <w:shd w:val="clear" w:color="auto" w:fill="E5F6F8"/>
          </w:tcPr>
          <w:p>
            <w:pPr>
              <w:spacing w:after="0" w:line="155" w:lineRule="exact"/>
              <w:rPr>
                <w:sz w:val="20"/>
                <w:szCs w:val="20"/>
                <w:color w:val="auto"/>
              </w:rPr>
            </w:pPr>
            <w:r>
              <w:rPr>
                <w:rFonts w:ascii="Arial" w:cs="Arial" w:eastAsia="Arial" w:hAnsi="Arial"/>
                <w:sz w:val="14"/>
                <w:szCs w:val="14"/>
                <w:color w:val="4C4C4C"/>
              </w:rPr>
              <w:t>Total</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28"/>
              <w:spacing w:after="0" w:line="155" w:lineRule="exact"/>
              <w:rPr>
                <w:sz w:val="20"/>
                <w:szCs w:val="20"/>
                <w:color w:val="auto"/>
              </w:rPr>
            </w:pPr>
            <w:r>
              <w:rPr>
                <w:rFonts w:ascii="Arial" w:cs="Arial" w:eastAsia="Arial" w:hAnsi="Arial"/>
                <w:sz w:val="14"/>
                <w:szCs w:val="14"/>
                <w:color w:val="4C4C4C"/>
              </w:rPr>
              <w:t>0</w:t>
            </w:r>
          </w:p>
        </w:tc>
        <w:tc>
          <w:tcPr>
            <w:tcW w:w="220" w:type="dxa"/>
            <w:vAlign w:val="bottom"/>
            <w:tcBorders>
              <w:bottom w:val="single" w:sz="8" w:color="4C4C4C"/>
            </w:tcBorders>
            <w:shd w:val="clear" w:color="auto" w:fill="E5F6F8"/>
          </w:tcPr>
          <w:p>
            <w:pPr>
              <w:ind w:left="120"/>
              <w:spacing w:after="0" w:line="155" w:lineRule="exact"/>
              <w:rPr>
                <w:sz w:val="20"/>
                <w:szCs w:val="20"/>
                <w:color w:val="auto"/>
              </w:rPr>
            </w:pPr>
            <w:r>
              <w:rPr>
                <w:rFonts w:ascii="Arial" w:cs="Arial" w:eastAsia="Arial" w:hAnsi="Arial"/>
                <w:sz w:val="14"/>
                <w:szCs w:val="14"/>
                <w:color w:val="4C4C4C"/>
              </w:rPr>
              <w:t>$</w:t>
            </w:r>
          </w:p>
        </w:tc>
        <w:tc>
          <w:tcPr>
            <w:tcW w:w="92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4,654,748</w:t>
            </w:r>
          </w:p>
        </w:tc>
        <w:tc>
          <w:tcPr>
            <w:tcW w:w="340" w:type="dxa"/>
            <w:vAlign w:val="bottom"/>
            <w:tcBorders>
              <w:bottom w:val="single" w:sz="8" w:color="4C4C4C"/>
            </w:tcBorders>
            <w:shd w:val="clear" w:color="auto" w:fill="E5F6F8"/>
          </w:tcPr>
          <w:p>
            <w:pPr>
              <w:ind w:left="2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shd w:val="clear" w:color="auto" w:fill="E5F6F8"/>
          </w:tcPr>
          <w:p>
            <w:pPr>
              <w:jc w:val="right"/>
              <w:ind w:right="48"/>
              <w:spacing w:after="0" w:line="155" w:lineRule="exact"/>
              <w:rPr>
                <w:sz w:val="20"/>
                <w:szCs w:val="20"/>
                <w:color w:val="auto"/>
              </w:rPr>
            </w:pPr>
            <w:r>
              <w:rPr>
                <w:rFonts w:ascii="Arial" w:cs="Arial" w:eastAsia="Arial" w:hAnsi="Arial"/>
                <w:sz w:val="14"/>
                <w:szCs w:val="14"/>
                <w:color w:val="4C4C4C"/>
              </w:rPr>
              <w:t>2,302,160</w:t>
            </w:r>
          </w:p>
        </w:tc>
        <w:tc>
          <w:tcPr>
            <w:tcW w:w="200" w:type="dxa"/>
            <w:vAlign w:val="bottom"/>
            <w:tcBorders>
              <w:bottom w:val="single" w:sz="8" w:color="4C4C4C"/>
            </w:tcBorders>
            <w:shd w:val="clear" w:color="auto" w:fill="E5F6F8"/>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shd w:val="clear" w:color="auto" w:fill="E5F6F8"/>
          </w:tcPr>
          <w:p>
            <w:pPr>
              <w:jc w:val="right"/>
              <w:ind w:right="8"/>
              <w:spacing w:after="0" w:line="155" w:lineRule="exact"/>
              <w:rPr>
                <w:sz w:val="20"/>
                <w:szCs w:val="20"/>
                <w:color w:val="auto"/>
              </w:rPr>
            </w:pPr>
            <w:r>
              <w:rPr>
                <w:rFonts w:ascii="Arial" w:cs="Arial" w:eastAsia="Arial" w:hAnsi="Arial"/>
                <w:sz w:val="14"/>
                <w:szCs w:val="14"/>
                <w:color w:val="4C4C4C"/>
              </w:rPr>
              <w:t>6,171,195</w:t>
            </w:r>
          </w:p>
        </w:tc>
        <w:tc>
          <w:tcPr>
            <w:tcW w:w="160" w:type="dxa"/>
            <w:vAlign w:val="bottom"/>
            <w:tcBorders>
              <w:bottom w:val="single" w:sz="8" w:color="4C4C4C"/>
            </w:tcBorders>
            <w:shd w:val="clear" w:color="auto" w:fill="E5F6F8"/>
          </w:tcPr>
          <w:p>
            <w:pPr>
              <w:jc w:val="right"/>
              <w:spacing w:after="0" w:line="155" w:lineRule="exact"/>
              <w:rPr>
                <w:sz w:val="20"/>
                <w:szCs w:val="20"/>
                <w:color w:val="auto"/>
              </w:rPr>
            </w:pPr>
            <w:r>
              <w:rPr>
                <w:rFonts w:ascii="Arial" w:cs="Arial" w:eastAsia="Arial" w:hAnsi="Arial"/>
                <w:sz w:val="14"/>
                <w:szCs w:val="14"/>
                <w:color w:val="4C4C4C"/>
              </w:rPr>
              <w:t>$</w:t>
            </w:r>
          </w:p>
        </w:tc>
        <w:tc>
          <w:tcPr>
            <w:tcW w:w="940" w:type="dxa"/>
            <w:vAlign w:val="bottom"/>
            <w:tcBorders>
              <w:bottom w:val="single" w:sz="8" w:color="4C4C4C"/>
            </w:tcBorders>
            <w:shd w:val="clear" w:color="auto" w:fill="E5F6F8"/>
          </w:tcPr>
          <w:p>
            <w:pPr>
              <w:jc w:val="right"/>
              <w:ind w:right="148"/>
              <w:spacing w:after="0" w:line="155" w:lineRule="exact"/>
              <w:rPr>
                <w:sz w:val="20"/>
                <w:szCs w:val="20"/>
                <w:color w:val="auto"/>
              </w:rPr>
            </w:pPr>
            <w:r>
              <w:rPr>
                <w:rFonts w:ascii="Arial" w:cs="Arial" w:eastAsia="Arial" w:hAnsi="Arial"/>
                <w:sz w:val="14"/>
                <w:szCs w:val="14"/>
                <w:color w:val="4C4C4C"/>
              </w:rPr>
              <w:t>2,302,160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-4182745</wp:posOffset>
            </wp:positionV>
            <wp:extent cx="3823335" cy="916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23335" cy="91694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-4182745</wp:posOffset>
            </wp:positionV>
            <wp:extent cx="8890" cy="916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916940"/>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73</w:t>
      </w:r>
    </w:p>
    <w:p>
      <w:pPr>
        <w:sectPr>
          <w:pgSz w:w="11900" w:h="16838" w:orient="portrait"/>
          <w:cols w:equalWidth="0" w:num="1">
            <w:col w:w="11140"/>
          </w:cols>
          <w:pgMar w:left="32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60" w:type="dxa"/>
            <w:vAlign w:val="bottom"/>
            <w:gridSpan w:val="2"/>
          </w:tcPr>
          <w:p>
            <w:pPr>
              <w:spacing w:after="0"/>
              <w:rPr>
                <w:sz w:val="20"/>
                <w:szCs w:val="20"/>
                <w:color w:val="auto"/>
              </w:rPr>
            </w:pPr>
            <w:r>
              <w:rPr>
                <w:rFonts w:ascii="Arial" w:cs="Arial" w:eastAsia="Arial" w:hAnsi="Arial"/>
                <w:sz w:val="13"/>
                <w:szCs w:val="13"/>
                <w:b w:val="1"/>
                <w:bCs w:val="1"/>
                <w:color w:val="00ADBB"/>
              </w:rPr>
              <w:t>Compensation Tables</w:t>
            </w: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ind w:left="560"/>
              <w:spacing w:after="0"/>
              <w:rPr>
                <w:sz w:val="20"/>
                <w:szCs w:val="20"/>
                <w:color w:val="auto"/>
              </w:rPr>
            </w:pPr>
            <w:r>
              <w:rPr>
                <w:rFonts w:ascii="Arial" w:cs="Arial" w:eastAsia="Arial" w:hAnsi="Arial"/>
                <w:sz w:val="13"/>
                <w:szCs w:val="13"/>
                <w:b w:val="1"/>
                <w:bCs w:val="1"/>
                <w:color w:val="00ADBB"/>
                <w:w w:val="96"/>
              </w:rPr>
              <w:t>Brighthouse Financial, Inc.</w:t>
            </w:r>
          </w:p>
        </w:tc>
        <w:tc>
          <w:tcPr>
            <w:tcW w:w="0" w:type="dxa"/>
            <w:vAlign w:val="bottom"/>
          </w:tcPr>
          <w:p>
            <w:pPr>
              <w:spacing w:after="0"/>
              <w:rPr>
                <w:sz w:val="1"/>
                <w:szCs w:val="1"/>
                <w:color w:val="auto"/>
              </w:rPr>
            </w:pPr>
          </w:p>
        </w:tc>
      </w:tr>
      <w:tr>
        <w:trPr>
          <w:trHeight w:val="168"/>
        </w:trPr>
        <w:tc>
          <w:tcPr>
            <w:tcW w:w="5000" w:type="dxa"/>
            <w:vAlign w:val="bottom"/>
            <w:gridSpan w:val="3"/>
          </w:tcPr>
          <w:p>
            <w:pPr>
              <w:spacing w:after="0"/>
              <w:rPr>
                <w:sz w:val="20"/>
                <w:szCs w:val="20"/>
                <w:color w:val="auto"/>
              </w:rPr>
            </w:pPr>
            <w:r>
              <w:rPr>
                <w:rFonts w:ascii="Arial" w:cs="Arial" w:eastAsia="Arial" w:hAnsi="Arial"/>
                <w:sz w:val="13"/>
                <w:szCs w:val="13"/>
                <w:b w:val="1"/>
                <w:bCs w:val="1"/>
                <w:color w:val="00ADBB"/>
              </w:rPr>
              <w:t>Potential Payments Upon Termination or Change in Control</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800" w:type="dxa"/>
            <w:vAlign w:val="bottom"/>
            <w:shd w:val="clear" w:color="auto" w:fill="00ADBB"/>
          </w:tcPr>
          <w:p>
            <w:pPr>
              <w:spacing w:after="0"/>
              <w:rPr>
                <w:sz w:val="19"/>
                <w:szCs w:val="19"/>
                <w:color w:val="auto"/>
              </w:rPr>
            </w:pPr>
          </w:p>
        </w:tc>
        <w:tc>
          <w:tcPr>
            <w:tcW w:w="2040" w:type="dxa"/>
            <w:vAlign w:val="bottom"/>
            <w:shd w:val="clear" w:color="auto" w:fill="00ADBB"/>
          </w:tcPr>
          <w:p>
            <w:pPr>
              <w:spacing w:after="0"/>
              <w:rPr>
                <w:sz w:val="19"/>
                <w:szCs w:val="19"/>
                <w:color w:val="auto"/>
              </w:rPr>
            </w:pPr>
          </w:p>
        </w:tc>
        <w:tc>
          <w:tcPr>
            <w:tcW w:w="240" w:type="dxa"/>
            <w:vAlign w:val="bottom"/>
            <w:shd w:val="clear" w:color="auto" w:fill="00ADBB"/>
          </w:tcPr>
          <w:p>
            <w:pPr>
              <w:spacing w:after="0"/>
              <w:rPr>
                <w:sz w:val="19"/>
                <w:szCs w:val="19"/>
                <w:color w:val="auto"/>
              </w:rPr>
            </w:pPr>
          </w:p>
        </w:tc>
        <w:tc>
          <w:tcPr>
            <w:tcW w:w="960" w:type="dxa"/>
            <w:vAlign w:val="bottom"/>
            <w:shd w:val="clear" w:color="auto" w:fill="00ADBB"/>
          </w:tcPr>
          <w:p>
            <w:pPr>
              <w:spacing w:after="0"/>
              <w:rPr>
                <w:sz w:val="19"/>
                <w:szCs w:val="19"/>
                <w:color w:val="auto"/>
              </w:rPr>
            </w:pPr>
          </w:p>
        </w:tc>
        <w:tc>
          <w:tcPr>
            <w:tcW w:w="200" w:type="dxa"/>
            <w:vAlign w:val="bottom"/>
            <w:shd w:val="clear" w:color="auto" w:fill="00ADBB"/>
          </w:tcPr>
          <w:p>
            <w:pPr>
              <w:spacing w:after="0"/>
              <w:rPr>
                <w:sz w:val="19"/>
                <w:szCs w:val="19"/>
                <w:color w:val="auto"/>
              </w:rPr>
            </w:pPr>
          </w:p>
        </w:tc>
        <w:tc>
          <w:tcPr>
            <w:tcW w:w="2260" w:type="dxa"/>
            <w:vAlign w:val="bottom"/>
            <w:gridSpan w:val="3"/>
            <w:shd w:val="clear" w:color="auto" w:fill="00ADBB"/>
          </w:tcPr>
          <w:p>
            <w:pPr>
              <w:jc w:val="right"/>
              <w:ind w:right="128"/>
              <w:spacing w:after="0" w:line="229" w:lineRule="exact"/>
              <w:rPr>
                <w:sz w:val="20"/>
                <w:szCs w:val="20"/>
                <w:color w:val="auto"/>
              </w:rPr>
            </w:pPr>
            <w:r>
              <w:rPr>
                <w:rFonts w:ascii="Arial" w:cs="Arial" w:eastAsia="Arial" w:hAnsi="Arial"/>
                <w:sz w:val="14"/>
                <w:szCs w:val="14"/>
                <w:b w:val="1"/>
                <w:bCs w:val="1"/>
                <w:color w:val="FFFFFF"/>
              </w:rPr>
              <w:t xml:space="preserve">Trigger Events </w:t>
            </w:r>
            <w:r>
              <w:rPr>
                <w:rFonts w:ascii="Arial" w:cs="Arial" w:eastAsia="Arial" w:hAnsi="Arial"/>
                <w:sz w:val="24"/>
                <w:szCs w:val="24"/>
                <w:b w:val="1"/>
                <w:bCs w:val="1"/>
                <w:color w:val="FFFFFF"/>
                <w:vertAlign w:val="superscript"/>
              </w:rPr>
              <w:t>(1)</w:t>
            </w:r>
          </w:p>
        </w:tc>
        <w:tc>
          <w:tcPr>
            <w:tcW w:w="180" w:type="dxa"/>
            <w:vAlign w:val="bottom"/>
            <w:shd w:val="clear" w:color="auto" w:fill="00ADBB"/>
          </w:tcPr>
          <w:p>
            <w:pPr>
              <w:spacing w:after="0"/>
              <w:rPr>
                <w:sz w:val="19"/>
                <w:szCs w:val="19"/>
                <w:color w:val="auto"/>
              </w:rPr>
            </w:pPr>
          </w:p>
        </w:tc>
        <w:tc>
          <w:tcPr>
            <w:tcW w:w="1000" w:type="dxa"/>
            <w:vAlign w:val="bottom"/>
            <w:shd w:val="clear" w:color="auto" w:fill="00ADBB"/>
          </w:tcPr>
          <w:p>
            <w:pPr>
              <w:spacing w:after="0"/>
              <w:rPr>
                <w:sz w:val="19"/>
                <w:szCs w:val="19"/>
                <w:color w:val="auto"/>
              </w:rPr>
            </w:pPr>
          </w:p>
        </w:tc>
        <w:tc>
          <w:tcPr>
            <w:tcW w:w="160" w:type="dxa"/>
            <w:vAlign w:val="bottom"/>
            <w:shd w:val="clear" w:color="auto" w:fill="00ADBB"/>
          </w:tcPr>
          <w:p>
            <w:pPr>
              <w:spacing w:after="0"/>
              <w:rPr>
                <w:sz w:val="19"/>
                <w:szCs w:val="19"/>
                <w:color w:val="auto"/>
              </w:rPr>
            </w:pPr>
          </w:p>
        </w:tc>
        <w:tc>
          <w:tcPr>
            <w:tcW w:w="840" w:type="dxa"/>
            <w:vAlign w:val="bottom"/>
            <w:shd w:val="clear" w:color="auto" w:fill="00ADBB"/>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0" w:type="dxa"/>
            <w:vAlign w:val="bottom"/>
            <w:shd w:val="clear" w:color="auto" w:fill="00ADBB"/>
          </w:tcPr>
          <w:p>
            <w:pPr>
              <w:spacing w:after="0"/>
              <w:rPr>
                <w:sz w:val="14"/>
                <w:szCs w:val="14"/>
                <w:color w:val="auto"/>
              </w:rPr>
            </w:pPr>
          </w:p>
        </w:tc>
        <w:tc>
          <w:tcPr>
            <w:tcW w:w="2040" w:type="dxa"/>
            <w:vAlign w:val="bottom"/>
            <w:shd w:val="clear" w:color="auto" w:fill="00ADBB"/>
          </w:tcPr>
          <w:p>
            <w:pPr>
              <w:spacing w:after="0"/>
              <w:rPr>
                <w:sz w:val="14"/>
                <w:szCs w:val="14"/>
                <w:color w:val="auto"/>
              </w:rPr>
            </w:pPr>
          </w:p>
        </w:tc>
        <w:tc>
          <w:tcPr>
            <w:tcW w:w="240" w:type="dxa"/>
            <w:vAlign w:val="bottom"/>
            <w:shd w:val="clear" w:color="auto" w:fill="00ADBB"/>
          </w:tcPr>
          <w:p>
            <w:pPr>
              <w:spacing w:after="0"/>
              <w:rPr>
                <w:sz w:val="14"/>
                <w:szCs w:val="14"/>
                <w:color w:val="auto"/>
              </w:rPr>
            </w:pPr>
          </w:p>
        </w:tc>
        <w:tc>
          <w:tcPr>
            <w:tcW w:w="96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8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109"/>
              <w:spacing w:after="0"/>
              <w:rPr>
                <w:sz w:val="20"/>
                <w:szCs w:val="20"/>
                <w:color w:val="auto"/>
              </w:rPr>
            </w:pPr>
            <w:r>
              <w:rPr>
                <w:rFonts w:ascii="Arial" w:cs="Arial" w:eastAsia="Arial" w:hAnsi="Arial"/>
                <w:sz w:val="14"/>
                <w:szCs w:val="14"/>
                <w:b w:val="1"/>
                <w:bCs w:val="1"/>
                <w:color w:val="FFFFFF"/>
              </w:rPr>
              <w:t>Involuntary</w:t>
            </w:r>
          </w:p>
        </w:tc>
        <w:tc>
          <w:tcPr>
            <w:tcW w:w="160" w:type="dxa"/>
            <w:vAlign w:val="bottom"/>
            <w:shd w:val="clear" w:color="auto" w:fill="00ADBB"/>
          </w:tcPr>
          <w:p>
            <w:pPr>
              <w:spacing w:after="0"/>
              <w:rPr>
                <w:sz w:val="14"/>
                <w:szCs w:val="14"/>
                <w:color w:val="auto"/>
              </w:rPr>
            </w:pPr>
          </w:p>
        </w:tc>
        <w:tc>
          <w:tcPr>
            <w:tcW w:w="840" w:type="dxa"/>
            <w:vAlign w:val="bottom"/>
            <w:shd w:val="clear" w:color="auto" w:fill="00ADBB"/>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0" w:type="dxa"/>
            <w:vAlign w:val="bottom"/>
            <w:shd w:val="clear" w:color="auto" w:fill="00ADBB"/>
          </w:tcPr>
          <w:p>
            <w:pPr>
              <w:spacing w:after="0"/>
              <w:rPr>
                <w:sz w:val="14"/>
                <w:szCs w:val="14"/>
                <w:color w:val="auto"/>
              </w:rPr>
            </w:pPr>
          </w:p>
        </w:tc>
        <w:tc>
          <w:tcPr>
            <w:tcW w:w="2040" w:type="dxa"/>
            <w:vAlign w:val="bottom"/>
            <w:shd w:val="clear" w:color="auto" w:fill="00ADBB"/>
          </w:tcPr>
          <w:p>
            <w:pPr>
              <w:spacing w:after="0"/>
              <w:rPr>
                <w:sz w:val="14"/>
                <w:szCs w:val="14"/>
                <w:color w:val="auto"/>
              </w:rPr>
            </w:pPr>
          </w:p>
        </w:tc>
        <w:tc>
          <w:tcPr>
            <w:tcW w:w="240" w:type="dxa"/>
            <w:vAlign w:val="bottom"/>
            <w:shd w:val="clear" w:color="auto" w:fill="00ADBB"/>
          </w:tcPr>
          <w:p>
            <w:pPr>
              <w:spacing w:after="0"/>
              <w:rPr>
                <w:sz w:val="14"/>
                <w:szCs w:val="14"/>
                <w:color w:val="auto"/>
              </w:rPr>
            </w:pPr>
          </w:p>
        </w:tc>
        <w:tc>
          <w:tcPr>
            <w:tcW w:w="96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180" w:type="dxa"/>
            <w:vAlign w:val="bottom"/>
            <w:gridSpan w:val="2"/>
            <w:shd w:val="clear" w:color="auto" w:fill="00ADBB"/>
          </w:tcPr>
          <w:p>
            <w:pPr>
              <w:ind w:left="100"/>
              <w:spacing w:after="0"/>
              <w:rPr>
                <w:sz w:val="20"/>
                <w:szCs w:val="20"/>
                <w:color w:val="auto"/>
              </w:rPr>
            </w:pPr>
            <w:r>
              <w:rPr>
                <w:rFonts w:ascii="Arial" w:cs="Arial" w:eastAsia="Arial" w:hAnsi="Arial"/>
                <w:sz w:val="14"/>
                <w:szCs w:val="14"/>
                <w:b w:val="1"/>
                <w:bCs w:val="1"/>
                <w:color w:val="FFFFFF"/>
              </w:rPr>
              <w:t>Not-For-Cause</w:t>
            </w:r>
          </w:p>
        </w:tc>
        <w:tc>
          <w:tcPr>
            <w:tcW w:w="160" w:type="dxa"/>
            <w:vAlign w:val="bottom"/>
            <w:shd w:val="clear" w:color="auto" w:fill="00ADBB"/>
          </w:tcPr>
          <w:p>
            <w:pPr>
              <w:spacing w:after="0"/>
              <w:rPr>
                <w:sz w:val="14"/>
                <w:szCs w:val="14"/>
                <w:color w:val="auto"/>
              </w:rPr>
            </w:pPr>
          </w:p>
        </w:tc>
        <w:tc>
          <w:tcPr>
            <w:tcW w:w="840" w:type="dxa"/>
            <w:vAlign w:val="bottom"/>
            <w:shd w:val="clear" w:color="auto" w:fill="00ADBB"/>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0" w:type="dxa"/>
            <w:vAlign w:val="bottom"/>
            <w:shd w:val="clear" w:color="auto" w:fill="00ADBB"/>
          </w:tcPr>
          <w:p>
            <w:pPr>
              <w:spacing w:after="0"/>
              <w:rPr>
                <w:sz w:val="14"/>
                <w:szCs w:val="14"/>
                <w:color w:val="auto"/>
              </w:rPr>
            </w:pPr>
          </w:p>
        </w:tc>
        <w:tc>
          <w:tcPr>
            <w:tcW w:w="2040" w:type="dxa"/>
            <w:vAlign w:val="bottom"/>
            <w:shd w:val="clear" w:color="auto" w:fill="00ADBB"/>
          </w:tcPr>
          <w:p>
            <w:pPr>
              <w:spacing w:after="0"/>
              <w:rPr>
                <w:sz w:val="14"/>
                <w:szCs w:val="14"/>
                <w:color w:val="auto"/>
              </w:rPr>
            </w:pPr>
          </w:p>
        </w:tc>
        <w:tc>
          <w:tcPr>
            <w:tcW w:w="240" w:type="dxa"/>
            <w:vAlign w:val="bottom"/>
            <w:shd w:val="clear" w:color="auto" w:fill="00ADBB"/>
          </w:tcPr>
          <w:p>
            <w:pPr>
              <w:spacing w:after="0"/>
              <w:rPr>
                <w:sz w:val="14"/>
                <w:szCs w:val="14"/>
                <w:color w:val="auto"/>
              </w:rPr>
            </w:pPr>
          </w:p>
        </w:tc>
        <w:tc>
          <w:tcPr>
            <w:tcW w:w="96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8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89"/>
              <w:spacing w:after="0"/>
              <w:rPr>
                <w:sz w:val="20"/>
                <w:szCs w:val="20"/>
                <w:color w:val="auto"/>
              </w:rPr>
            </w:pPr>
            <w:r>
              <w:rPr>
                <w:rFonts w:ascii="Arial" w:cs="Arial" w:eastAsia="Arial" w:hAnsi="Arial"/>
                <w:sz w:val="14"/>
                <w:szCs w:val="14"/>
                <w:b w:val="1"/>
                <w:bCs w:val="1"/>
                <w:color w:val="FFFFFF"/>
              </w:rPr>
              <w:t>or Good</w:t>
            </w:r>
          </w:p>
        </w:tc>
        <w:tc>
          <w:tcPr>
            <w:tcW w:w="160" w:type="dxa"/>
            <w:vAlign w:val="bottom"/>
            <w:shd w:val="clear" w:color="auto" w:fill="00ADBB"/>
          </w:tcPr>
          <w:p>
            <w:pPr>
              <w:spacing w:after="0"/>
              <w:rPr>
                <w:sz w:val="14"/>
                <w:szCs w:val="14"/>
                <w:color w:val="auto"/>
              </w:rPr>
            </w:pPr>
          </w:p>
        </w:tc>
        <w:tc>
          <w:tcPr>
            <w:tcW w:w="840" w:type="dxa"/>
            <w:vAlign w:val="bottom"/>
            <w:shd w:val="clear" w:color="auto" w:fill="00ADBB"/>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0" w:type="dxa"/>
            <w:vAlign w:val="bottom"/>
            <w:shd w:val="clear" w:color="auto" w:fill="00ADBB"/>
          </w:tcPr>
          <w:p>
            <w:pPr>
              <w:spacing w:after="0"/>
              <w:rPr>
                <w:sz w:val="14"/>
                <w:szCs w:val="14"/>
                <w:color w:val="auto"/>
              </w:rPr>
            </w:pPr>
          </w:p>
        </w:tc>
        <w:tc>
          <w:tcPr>
            <w:tcW w:w="2040" w:type="dxa"/>
            <w:vAlign w:val="bottom"/>
            <w:shd w:val="clear" w:color="auto" w:fill="00ADBB"/>
          </w:tcPr>
          <w:p>
            <w:pPr>
              <w:spacing w:after="0"/>
              <w:rPr>
                <w:sz w:val="14"/>
                <w:szCs w:val="14"/>
                <w:color w:val="auto"/>
              </w:rPr>
            </w:pPr>
          </w:p>
        </w:tc>
        <w:tc>
          <w:tcPr>
            <w:tcW w:w="240" w:type="dxa"/>
            <w:vAlign w:val="bottom"/>
            <w:shd w:val="clear" w:color="auto" w:fill="00ADBB"/>
          </w:tcPr>
          <w:p>
            <w:pPr>
              <w:spacing w:after="0"/>
              <w:rPr>
                <w:sz w:val="14"/>
                <w:szCs w:val="14"/>
                <w:color w:val="auto"/>
              </w:rPr>
            </w:pPr>
          </w:p>
        </w:tc>
        <w:tc>
          <w:tcPr>
            <w:tcW w:w="96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spacing w:after="0"/>
              <w:rPr>
                <w:sz w:val="14"/>
                <w:szCs w:val="14"/>
                <w:color w:val="auto"/>
              </w:rPr>
            </w:pPr>
          </w:p>
        </w:tc>
        <w:tc>
          <w:tcPr>
            <w:tcW w:w="220" w:type="dxa"/>
            <w:vAlign w:val="bottom"/>
            <w:shd w:val="clear" w:color="auto" w:fill="00ADBB"/>
          </w:tcPr>
          <w:p>
            <w:pPr>
              <w:spacing w:after="0"/>
              <w:rPr>
                <w:sz w:val="14"/>
                <w:szCs w:val="14"/>
                <w:color w:val="auto"/>
              </w:rPr>
            </w:pPr>
          </w:p>
        </w:tc>
        <w:tc>
          <w:tcPr>
            <w:tcW w:w="1040" w:type="dxa"/>
            <w:vAlign w:val="bottom"/>
            <w:shd w:val="clear" w:color="auto" w:fill="00ADBB"/>
          </w:tcPr>
          <w:p>
            <w:pPr>
              <w:spacing w:after="0"/>
              <w:rPr>
                <w:sz w:val="14"/>
                <w:szCs w:val="14"/>
                <w:color w:val="auto"/>
              </w:rPr>
            </w:pPr>
          </w:p>
        </w:tc>
        <w:tc>
          <w:tcPr>
            <w:tcW w:w="18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89"/>
              <w:spacing w:after="0"/>
              <w:rPr>
                <w:sz w:val="20"/>
                <w:szCs w:val="20"/>
                <w:color w:val="auto"/>
              </w:rPr>
            </w:pPr>
            <w:r>
              <w:rPr>
                <w:rFonts w:ascii="Arial" w:cs="Arial" w:eastAsia="Arial" w:hAnsi="Arial"/>
                <w:sz w:val="14"/>
                <w:szCs w:val="14"/>
                <w:b w:val="1"/>
                <w:bCs w:val="1"/>
                <w:color w:val="FFFFFF"/>
              </w:rPr>
              <w:t>Reason</w:t>
            </w:r>
          </w:p>
        </w:tc>
        <w:tc>
          <w:tcPr>
            <w:tcW w:w="160" w:type="dxa"/>
            <w:vAlign w:val="bottom"/>
            <w:shd w:val="clear" w:color="auto" w:fill="00ADBB"/>
          </w:tcPr>
          <w:p>
            <w:pPr>
              <w:spacing w:after="0"/>
              <w:rPr>
                <w:sz w:val="14"/>
                <w:szCs w:val="14"/>
                <w:color w:val="auto"/>
              </w:rPr>
            </w:pPr>
          </w:p>
        </w:tc>
        <w:tc>
          <w:tcPr>
            <w:tcW w:w="840" w:type="dxa"/>
            <w:vAlign w:val="bottom"/>
            <w:shd w:val="clear" w:color="auto" w:fill="00ADBB"/>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800" w:type="dxa"/>
            <w:vAlign w:val="bottom"/>
            <w:shd w:val="clear" w:color="auto" w:fill="00ADBB"/>
          </w:tcPr>
          <w:p>
            <w:pPr>
              <w:spacing w:after="0"/>
              <w:rPr>
                <w:sz w:val="14"/>
                <w:szCs w:val="14"/>
                <w:color w:val="auto"/>
              </w:rPr>
            </w:pPr>
          </w:p>
        </w:tc>
        <w:tc>
          <w:tcPr>
            <w:tcW w:w="2040" w:type="dxa"/>
            <w:vAlign w:val="bottom"/>
            <w:vMerge w:val="restart"/>
            <w:shd w:val="clear" w:color="auto" w:fill="00ADBB"/>
          </w:tcPr>
          <w:p>
            <w:pPr>
              <w:ind w:left="640"/>
              <w:spacing w:after="0"/>
              <w:rPr>
                <w:sz w:val="20"/>
                <w:szCs w:val="20"/>
                <w:color w:val="auto"/>
              </w:rPr>
            </w:pPr>
            <w:r>
              <w:rPr>
                <w:rFonts w:ascii="Arial" w:cs="Arial" w:eastAsia="Arial" w:hAnsi="Arial"/>
                <w:sz w:val="14"/>
                <w:szCs w:val="14"/>
                <w:b w:val="1"/>
                <w:bCs w:val="1"/>
                <w:color w:val="FFFFFF"/>
              </w:rPr>
              <w:t>Benefits and</w:t>
            </w:r>
          </w:p>
        </w:tc>
        <w:tc>
          <w:tcPr>
            <w:tcW w:w="240" w:type="dxa"/>
            <w:vAlign w:val="bottom"/>
            <w:shd w:val="clear" w:color="auto" w:fill="00ADBB"/>
          </w:tcPr>
          <w:p>
            <w:pPr>
              <w:spacing w:after="0"/>
              <w:rPr>
                <w:sz w:val="14"/>
                <w:szCs w:val="14"/>
                <w:color w:val="auto"/>
              </w:rPr>
            </w:pPr>
          </w:p>
        </w:tc>
        <w:tc>
          <w:tcPr>
            <w:tcW w:w="960" w:type="dxa"/>
            <w:vAlign w:val="bottom"/>
            <w:shd w:val="clear" w:color="auto" w:fill="00ADBB"/>
          </w:tcPr>
          <w:p>
            <w:pPr>
              <w:spacing w:after="0"/>
              <w:rPr>
                <w:sz w:val="14"/>
                <w:szCs w:val="14"/>
                <w:color w:val="auto"/>
              </w:rPr>
            </w:pPr>
          </w:p>
        </w:tc>
        <w:tc>
          <w:tcPr>
            <w:tcW w:w="200" w:type="dxa"/>
            <w:vAlign w:val="bottom"/>
            <w:shd w:val="clear" w:color="auto" w:fill="00ADBB"/>
          </w:tcPr>
          <w:p>
            <w:pPr>
              <w:spacing w:after="0"/>
              <w:rPr>
                <w:sz w:val="14"/>
                <w:szCs w:val="14"/>
                <w:color w:val="auto"/>
              </w:rPr>
            </w:pPr>
          </w:p>
        </w:tc>
        <w:tc>
          <w:tcPr>
            <w:tcW w:w="1000" w:type="dxa"/>
            <w:vAlign w:val="bottom"/>
            <w:shd w:val="clear" w:color="auto" w:fill="00ADBB"/>
          </w:tcPr>
          <w:p>
            <w:pPr>
              <w:jc w:val="right"/>
              <w:ind w:right="148"/>
              <w:spacing w:after="0"/>
              <w:rPr>
                <w:sz w:val="20"/>
                <w:szCs w:val="20"/>
                <w:color w:val="auto"/>
              </w:rPr>
            </w:pPr>
            <w:r>
              <w:rPr>
                <w:rFonts w:ascii="Arial" w:cs="Arial" w:eastAsia="Arial" w:hAnsi="Arial"/>
                <w:sz w:val="14"/>
                <w:szCs w:val="14"/>
                <w:b w:val="1"/>
                <w:bCs w:val="1"/>
                <w:color w:val="FFFFFF"/>
              </w:rPr>
              <w:t>Involuntary</w:t>
            </w:r>
          </w:p>
        </w:tc>
        <w:tc>
          <w:tcPr>
            <w:tcW w:w="220" w:type="dxa"/>
            <w:vAlign w:val="bottom"/>
            <w:shd w:val="clear" w:color="auto" w:fill="00ADBB"/>
          </w:tcPr>
          <w:p>
            <w:pPr>
              <w:spacing w:after="0"/>
              <w:rPr>
                <w:sz w:val="14"/>
                <w:szCs w:val="14"/>
                <w:color w:val="auto"/>
              </w:rPr>
            </w:pPr>
          </w:p>
        </w:tc>
        <w:tc>
          <w:tcPr>
            <w:tcW w:w="1040" w:type="dxa"/>
            <w:vAlign w:val="bottom"/>
            <w:shd w:val="clear" w:color="auto" w:fill="00ADBB"/>
          </w:tcPr>
          <w:p>
            <w:pPr>
              <w:jc w:val="right"/>
              <w:ind w:right="208"/>
              <w:spacing w:after="0"/>
              <w:rPr>
                <w:sz w:val="20"/>
                <w:szCs w:val="20"/>
                <w:color w:val="auto"/>
              </w:rPr>
            </w:pPr>
            <w:r>
              <w:rPr>
                <w:rFonts w:ascii="Arial" w:cs="Arial" w:eastAsia="Arial" w:hAnsi="Arial"/>
                <w:sz w:val="14"/>
                <w:szCs w:val="14"/>
                <w:b w:val="1"/>
                <w:bCs w:val="1"/>
                <w:color w:val="FFFFFF"/>
              </w:rPr>
              <w:t>Change of</w:t>
            </w:r>
          </w:p>
        </w:tc>
        <w:tc>
          <w:tcPr>
            <w:tcW w:w="180" w:type="dxa"/>
            <w:vAlign w:val="bottom"/>
            <w:shd w:val="clear" w:color="auto" w:fill="00ADBB"/>
          </w:tcPr>
          <w:p>
            <w:pPr>
              <w:spacing w:after="0"/>
              <w:rPr>
                <w:sz w:val="14"/>
                <w:szCs w:val="14"/>
                <w:color w:val="auto"/>
              </w:rPr>
            </w:pPr>
          </w:p>
        </w:tc>
        <w:tc>
          <w:tcPr>
            <w:tcW w:w="1000" w:type="dxa"/>
            <w:vAlign w:val="bottom"/>
            <w:shd w:val="clear" w:color="auto" w:fill="00ADBB"/>
          </w:tcPr>
          <w:p>
            <w:pPr>
              <w:jc w:val="center"/>
              <w:ind w:right="89"/>
              <w:spacing w:after="0"/>
              <w:rPr>
                <w:sz w:val="20"/>
                <w:szCs w:val="20"/>
                <w:color w:val="auto"/>
              </w:rPr>
            </w:pPr>
            <w:r>
              <w:rPr>
                <w:rFonts w:ascii="Arial" w:cs="Arial" w:eastAsia="Arial" w:hAnsi="Arial"/>
                <w:sz w:val="14"/>
                <w:szCs w:val="14"/>
                <w:b w:val="1"/>
                <w:bCs w:val="1"/>
                <w:color w:val="FFFFFF"/>
                <w:w w:val="99"/>
              </w:rPr>
              <w:t>Termination</w:t>
            </w:r>
          </w:p>
        </w:tc>
        <w:tc>
          <w:tcPr>
            <w:tcW w:w="160" w:type="dxa"/>
            <w:vAlign w:val="bottom"/>
            <w:shd w:val="clear" w:color="auto" w:fill="00ADBB"/>
          </w:tcPr>
          <w:p>
            <w:pPr>
              <w:spacing w:after="0"/>
              <w:rPr>
                <w:sz w:val="14"/>
                <w:szCs w:val="14"/>
                <w:color w:val="auto"/>
              </w:rPr>
            </w:pPr>
          </w:p>
        </w:tc>
        <w:tc>
          <w:tcPr>
            <w:tcW w:w="840" w:type="dxa"/>
            <w:vAlign w:val="bottom"/>
            <w:shd w:val="clear" w:color="auto" w:fill="00ADBB"/>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800" w:type="dxa"/>
            <w:vAlign w:val="bottom"/>
            <w:shd w:val="clear" w:color="auto" w:fill="00ADBB"/>
          </w:tcPr>
          <w:p>
            <w:pPr>
              <w:spacing w:after="0"/>
              <w:rPr>
                <w:sz w:val="12"/>
                <w:szCs w:val="12"/>
                <w:color w:val="auto"/>
              </w:rPr>
            </w:pPr>
          </w:p>
        </w:tc>
        <w:tc>
          <w:tcPr>
            <w:tcW w:w="2040" w:type="dxa"/>
            <w:vAlign w:val="bottom"/>
            <w:vMerge w:val="continue"/>
            <w:shd w:val="clear" w:color="auto" w:fill="00ADBB"/>
          </w:tcPr>
          <w:p>
            <w:pPr>
              <w:spacing w:after="0"/>
              <w:rPr>
                <w:sz w:val="12"/>
                <w:szCs w:val="12"/>
                <w:color w:val="auto"/>
              </w:rPr>
            </w:pPr>
          </w:p>
        </w:tc>
        <w:tc>
          <w:tcPr>
            <w:tcW w:w="240" w:type="dxa"/>
            <w:vAlign w:val="bottom"/>
            <w:shd w:val="clear" w:color="auto" w:fill="00ADBB"/>
          </w:tcPr>
          <w:p>
            <w:pPr>
              <w:spacing w:after="0"/>
              <w:rPr>
                <w:sz w:val="12"/>
                <w:szCs w:val="12"/>
                <w:color w:val="auto"/>
              </w:rPr>
            </w:pPr>
          </w:p>
        </w:tc>
        <w:tc>
          <w:tcPr>
            <w:tcW w:w="960" w:type="dxa"/>
            <w:vAlign w:val="bottom"/>
            <w:shd w:val="clear" w:color="auto" w:fill="00ADBB"/>
          </w:tcPr>
          <w:p>
            <w:pPr>
              <w:jc w:val="right"/>
              <w:ind w:right="188"/>
              <w:spacing w:after="0" w:line="149" w:lineRule="exact"/>
              <w:rPr>
                <w:sz w:val="20"/>
                <w:szCs w:val="20"/>
                <w:color w:val="auto"/>
              </w:rPr>
            </w:pPr>
            <w:r>
              <w:rPr>
                <w:rFonts w:ascii="Arial" w:cs="Arial" w:eastAsia="Arial" w:hAnsi="Arial"/>
                <w:sz w:val="14"/>
                <w:szCs w:val="14"/>
                <w:b w:val="1"/>
                <w:bCs w:val="1"/>
                <w:color w:val="FFFFFF"/>
              </w:rPr>
              <w:t>Voluntary</w:t>
            </w:r>
          </w:p>
        </w:tc>
        <w:tc>
          <w:tcPr>
            <w:tcW w:w="1200" w:type="dxa"/>
            <w:vAlign w:val="bottom"/>
            <w:gridSpan w:val="2"/>
            <w:shd w:val="clear" w:color="auto" w:fill="00ADBB"/>
          </w:tcPr>
          <w:p>
            <w:pPr>
              <w:ind w:left="100"/>
              <w:spacing w:after="0" w:line="149" w:lineRule="exact"/>
              <w:rPr>
                <w:sz w:val="20"/>
                <w:szCs w:val="20"/>
                <w:color w:val="auto"/>
              </w:rPr>
            </w:pPr>
            <w:r>
              <w:rPr>
                <w:rFonts w:ascii="Arial" w:cs="Arial" w:eastAsia="Arial" w:hAnsi="Arial"/>
                <w:sz w:val="14"/>
                <w:szCs w:val="14"/>
                <w:b w:val="1"/>
                <w:bCs w:val="1"/>
                <w:color w:val="FFFFFF"/>
              </w:rPr>
              <w:t>Not-For-Cause</w:t>
            </w:r>
          </w:p>
        </w:tc>
        <w:tc>
          <w:tcPr>
            <w:tcW w:w="1260" w:type="dxa"/>
            <w:vAlign w:val="bottom"/>
            <w:gridSpan w:val="2"/>
            <w:shd w:val="clear" w:color="auto" w:fill="00ADBB"/>
          </w:tcPr>
          <w:p>
            <w:pPr>
              <w:ind w:left="100"/>
              <w:spacing w:after="0" w:line="149" w:lineRule="exact"/>
              <w:rPr>
                <w:sz w:val="20"/>
                <w:szCs w:val="20"/>
                <w:color w:val="auto"/>
              </w:rPr>
            </w:pPr>
            <w:r>
              <w:rPr>
                <w:rFonts w:ascii="Arial" w:cs="Arial" w:eastAsia="Arial" w:hAnsi="Arial"/>
                <w:sz w:val="14"/>
                <w:szCs w:val="14"/>
                <w:b w:val="1"/>
                <w:bCs w:val="1"/>
                <w:color w:val="FFFFFF"/>
              </w:rPr>
              <w:t>Control with no</w:t>
            </w:r>
          </w:p>
        </w:tc>
        <w:tc>
          <w:tcPr>
            <w:tcW w:w="1180" w:type="dxa"/>
            <w:vAlign w:val="bottom"/>
            <w:gridSpan w:val="2"/>
            <w:shd w:val="clear" w:color="auto" w:fill="00ADBB"/>
          </w:tcPr>
          <w:p>
            <w:pPr>
              <w:jc w:val="center"/>
              <w:spacing w:after="0" w:line="149" w:lineRule="exact"/>
              <w:rPr>
                <w:sz w:val="20"/>
                <w:szCs w:val="20"/>
                <w:color w:val="auto"/>
              </w:rPr>
            </w:pPr>
            <w:r>
              <w:rPr>
                <w:rFonts w:ascii="Arial" w:cs="Arial" w:eastAsia="Arial" w:hAnsi="Arial"/>
                <w:sz w:val="14"/>
                <w:szCs w:val="14"/>
                <w:b w:val="1"/>
                <w:bCs w:val="1"/>
                <w:color w:val="FFFFFF"/>
              </w:rPr>
              <w:t>After Change</w:t>
            </w:r>
          </w:p>
        </w:tc>
        <w:tc>
          <w:tcPr>
            <w:tcW w:w="160" w:type="dxa"/>
            <w:vAlign w:val="bottom"/>
            <w:shd w:val="clear" w:color="auto" w:fill="00ADBB"/>
          </w:tcPr>
          <w:p>
            <w:pPr>
              <w:spacing w:after="0"/>
              <w:rPr>
                <w:sz w:val="12"/>
                <w:szCs w:val="12"/>
                <w:color w:val="auto"/>
              </w:rPr>
            </w:pPr>
          </w:p>
        </w:tc>
        <w:tc>
          <w:tcPr>
            <w:tcW w:w="840" w:type="dxa"/>
            <w:vAlign w:val="bottom"/>
            <w:shd w:val="clear" w:color="auto" w:fill="00ADBB"/>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800" w:type="dxa"/>
            <w:vAlign w:val="bottom"/>
            <w:shd w:val="clear" w:color="auto" w:fill="00ADBB"/>
          </w:tcPr>
          <w:p>
            <w:pPr>
              <w:ind w:left="140"/>
              <w:spacing w:after="0"/>
              <w:rPr>
                <w:sz w:val="20"/>
                <w:szCs w:val="20"/>
                <w:color w:val="auto"/>
              </w:rPr>
            </w:pPr>
            <w:r>
              <w:rPr>
                <w:rFonts w:ascii="Arial" w:cs="Arial" w:eastAsia="Arial" w:hAnsi="Arial"/>
                <w:sz w:val="14"/>
                <w:szCs w:val="14"/>
                <w:b w:val="1"/>
                <w:bCs w:val="1"/>
                <w:color w:val="FFFFFF"/>
              </w:rPr>
              <w:t>Name</w:t>
            </w:r>
          </w:p>
        </w:tc>
        <w:tc>
          <w:tcPr>
            <w:tcW w:w="2040" w:type="dxa"/>
            <w:vAlign w:val="bottom"/>
            <w:shd w:val="clear" w:color="auto" w:fill="00ADBB"/>
          </w:tcPr>
          <w:p>
            <w:pPr>
              <w:ind w:left="740"/>
              <w:spacing w:after="0"/>
              <w:rPr>
                <w:sz w:val="20"/>
                <w:szCs w:val="20"/>
                <w:color w:val="auto"/>
              </w:rPr>
            </w:pPr>
            <w:r>
              <w:rPr>
                <w:rFonts w:ascii="Arial" w:cs="Arial" w:eastAsia="Arial" w:hAnsi="Arial"/>
                <w:sz w:val="14"/>
                <w:szCs w:val="14"/>
                <w:b w:val="1"/>
                <w:bCs w:val="1"/>
                <w:color w:val="FFFFFF"/>
              </w:rPr>
              <w:t>Payments</w:t>
            </w:r>
          </w:p>
        </w:tc>
        <w:tc>
          <w:tcPr>
            <w:tcW w:w="1200" w:type="dxa"/>
            <w:vAlign w:val="bottom"/>
            <w:gridSpan w:val="2"/>
            <w:shd w:val="clear" w:color="auto" w:fill="00ADBB"/>
          </w:tcPr>
          <w:p>
            <w:pPr>
              <w:ind w:left="100"/>
              <w:spacing w:after="0" w:line="256" w:lineRule="exact"/>
              <w:rPr>
                <w:sz w:val="20"/>
                <w:szCs w:val="20"/>
                <w:color w:val="auto"/>
              </w:rPr>
            </w:pPr>
            <w:r>
              <w:rPr>
                <w:rFonts w:ascii="Arial" w:cs="Arial" w:eastAsia="Arial" w:hAnsi="Arial"/>
                <w:sz w:val="14"/>
                <w:szCs w:val="14"/>
                <w:b w:val="1"/>
                <w:bCs w:val="1"/>
                <w:color w:val="FFFFFF"/>
              </w:rPr>
              <w:t xml:space="preserve">Termination </w:t>
            </w:r>
            <w:r>
              <w:rPr>
                <w:rFonts w:ascii="Arial" w:cs="Arial" w:eastAsia="Arial" w:hAnsi="Arial"/>
                <w:sz w:val="24"/>
                <w:szCs w:val="24"/>
                <w:b w:val="1"/>
                <w:bCs w:val="1"/>
                <w:color w:val="FFFFFF"/>
                <w:vertAlign w:val="superscript"/>
              </w:rPr>
              <w:t>(2)</w:t>
            </w:r>
          </w:p>
        </w:tc>
        <w:tc>
          <w:tcPr>
            <w:tcW w:w="1200" w:type="dxa"/>
            <w:vAlign w:val="bottom"/>
            <w:gridSpan w:val="2"/>
            <w:shd w:val="clear" w:color="auto" w:fill="00ADBB"/>
          </w:tcPr>
          <w:p>
            <w:pPr>
              <w:ind w:left="100"/>
              <w:spacing w:after="0" w:line="256" w:lineRule="exact"/>
              <w:rPr>
                <w:sz w:val="20"/>
                <w:szCs w:val="20"/>
                <w:color w:val="auto"/>
              </w:rPr>
            </w:pPr>
            <w:r>
              <w:rPr>
                <w:rFonts w:ascii="Arial" w:cs="Arial" w:eastAsia="Arial" w:hAnsi="Arial"/>
                <w:sz w:val="14"/>
                <w:szCs w:val="14"/>
                <w:b w:val="1"/>
                <w:bCs w:val="1"/>
                <w:color w:val="FFFFFF"/>
              </w:rPr>
              <w:t xml:space="preserve">Termination </w:t>
            </w:r>
            <w:r>
              <w:rPr>
                <w:rFonts w:ascii="Arial" w:cs="Arial" w:eastAsia="Arial" w:hAnsi="Arial"/>
                <w:sz w:val="24"/>
                <w:szCs w:val="24"/>
                <w:b w:val="1"/>
                <w:bCs w:val="1"/>
                <w:color w:val="FFFFFF"/>
                <w:vertAlign w:val="superscript"/>
              </w:rPr>
              <w:t>(3)</w:t>
            </w:r>
          </w:p>
        </w:tc>
        <w:tc>
          <w:tcPr>
            <w:tcW w:w="1260" w:type="dxa"/>
            <w:vAlign w:val="bottom"/>
            <w:gridSpan w:val="2"/>
            <w:shd w:val="clear" w:color="auto" w:fill="00ADBB"/>
          </w:tcPr>
          <w:p>
            <w:pPr>
              <w:jc w:val="right"/>
              <w:ind w:right="68"/>
              <w:spacing w:after="0" w:line="256" w:lineRule="exact"/>
              <w:rPr>
                <w:sz w:val="20"/>
                <w:szCs w:val="20"/>
                <w:color w:val="auto"/>
              </w:rPr>
            </w:pPr>
            <w:r>
              <w:rPr>
                <w:rFonts w:ascii="Arial" w:cs="Arial" w:eastAsia="Arial" w:hAnsi="Arial"/>
                <w:sz w:val="14"/>
                <w:szCs w:val="14"/>
                <w:b w:val="1"/>
                <w:bCs w:val="1"/>
                <w:color w:val="FFFFFF"/>
              </w:rPr>
              <w:t xml:space="preserve">Termination </w:t>
            </w:r>
            <w:r>
              <w:rPr>
                <w:rFonts w:ascii="Arial" w:cs="Arial" w:eastAsia="Arial" w:hAnsi="Arial"/>
                <w:sz w:val="24"/>
                <w:szCs w:val="24"/>
                <w:b w:val="1"/>
                <w:bCs w:val="1"/>
                <w:color w:val="FFFFFF"/>
                <w:vertAlign w:val="superscript"/>
              </w:rPr>
              <w:t>(4)</w:t>
            </w:r>
          </w:p>
        </w:tc>
        <w:tc>
          <w:tcPr>
            <w:tcW w:w="1180" w:type="dxa"/>
            <w:vAlign w:val="bottom"/>
            <w:gridSpan w:val="2"/>
            <w:shd w:val="clear" w:color="auto" w:fill="00ADBB"/>
          </w:tcPr>
          <w:p>
            <w:pPr>
              <w:jc w:val="center"/>
              <w:spacing w:after="0" w:line="256" w:lineRule="exact"/>
              <w:rPr>
                <w:sz w:val="20"/>
                <w:szCs w:val="20"/>
                <w:color w:val="auto"/>
              </w:rPr>
            </w:pPr>
            <w:r>
              <w:rPr>
                <w:rFonts w:ascii="Arial" w:cs="Arial" w:eastAsia="Arial" w:hAnsi="Arial"/>
                <w:sz w:val="14"/>
                <w:szCs w:val="14"/>
                <w:b w:val="1"/>
                <w:bCs w:val="1"/>
                <w:color w:val="FFFFFF"/>
                <w:w w:val="95"/>
              </w:rPr>
              <w:t xml:space="preserve">in Control </w:t>
            </w:r>
            <w:r>
              <w:rPr>
                <w:rFonts w:ascii="Arial" w:cs="Arial" w:eastAsia="Arial" w:hAnsi="Arial"/>
                <w:sz w:val="24"/>
                <w:szCs w:val="24"/>
                <w:b w:val="1"/>
                <w:bCs w:val="1"/>
                <w:color w:val="FFFFFF"/>
                <w:w w:val="95"/>
                <w:vertAlign w:val="superscript"/>
              </w:rPr>
              <w:t>(5)</w:t>
            </w:r>
          </w:p>
        </w:tc>
        <w:tc>
          <w:tcPr>
            <w:tcW w:w="1000" w:type="dxa"/>
            <w:vAlign w:val="bottom"/>
            <w:gridSpan w:val="2"/>
            <w:shd w:val="clear" w:color="auto" w:fill="00ADBB"/>
          </w:tcPr>
          <w:p>
            <w:pPr>
              <w:jc w:val="right"/>
              <w:ind w:right="208"/>
              <w:spacing w:after="0" w:line="256" w:lineRule="exact"/>
              <w:rPr>
                <w:sz w:val="20"/>
                <w:szCs w:val="20"/>
                <w:color w:val="auto"/>
              </w:rPr>
            </w:pPr>
            <w:r>
              <w:rPr>
                <w:rFonts w:ascii="Arial" w:cs="Arial" w:eastAsia="Arial" w:hAnsi="Arial"/>
                <w:sz w:val="14"/>
                <w:szCs w:val="14"/>
                <w:b w:val="1"/>
                <w:bCs w:val="1"/>
                <w:color w:val="FFFFFF"/>
              </w:rPr>
              <w:t xml:space="preserve">Death </w:t>
            </w:r>
            <w:r>
              <w:rPr>
                <w:rFonts w:ascii="Arial" w:cs="Arial" w:eastAsia="Arial" w:hAnsi="Arial"/>
                <w:sz w:val="24"/>
                <w:szCs w:val="24"/>
                <w:b w:val="1"/>
                <w:bCs w:val="1"/>
                <w:color w:val="FFFFFF"/>
                <w:vertAlign w:val="superscript"/>
              </w:rPr>
              <w:t>(6)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4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Base Salary</w:t>
            </w:r>
          </w:p>
        </w:tc>
        <w:tc>
          <w:tcPr>
            <w:tcW w:w="240" w:type="dxa"/>
            <w:vAlign w:val="bottom"/>
            <w:tcBorders>
              <w:bottom w:val="single" w:sz="8" w:color="4C4C4C"/>
            </w:tcBorders>
          </w:tcPr>
          <w:p>
            <w:pPr>
              <w:spacing w:after="0"/>
              <w:rPr>
                <w:sz w:val="19"/>
                <w:szCs w:val="19"/>
                <w:color w:val="auto"/>
              </w:rPr>
            </w:pPr>
          </w:p>
        </w:tc>
        <w:tc>
          <w:tcPr>
            <w:tcW w:w="960" w:type="dxa"/>
            <w:vAlign w:val="bottom"/>
            <w:tcBorders>
              <w:bottom w:val="single" w:sz="8" w:color="4C4C4C"/>
            </w:tcBorders>
          </w:tcPr>
          <w:p>
            <w:pPr>
              <w:spacing w:after="0"/>
              <w:rPr>
                <w:sz w:val="19"/>
                <w:szCs w:val="19"/>
                <w:color w:val="auto"/>
              </w:rPr>
            </w:pPr>
          </w:p>
        </w:tc>
        <w:tc>
          <w:tcPr>
            <w:tcW w:w="20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rPr>
                <w:sz w:val="20"/>
                <w:szCs w:val="20"/>
                <w:color w:val="auto"/>
              </w:rPr>
            </w:pPr>
            <w:r>
              <w:rPr>
                <w:rFonts w:ascii="Arial" w:cs="Arial" w:eastAsia="Arial" w:hAnsi="Arial"/>
                <w:sz w:val="14"/>
                <w:szCs w:val="14"/>
                <w:color w:val="4C4C4C"/>
              </w:rPr>
              <w:t>550,000</w:t>
            </w:r>
          </w:p>
        </w:tc>
        <w:tc>
          <w:tcPr>
            <w:tcW w:w="220" w:type="dxa"/>
            <w:vAlign w:val="bottom"/>
            <w:tcBorders>
              <w:bottom w:val="single" w:sz="8" w:color="4C4C4C"/>
            </w:tcBorders>
          </w:tcPr>
          <w:p>
            <w:pPr>
              <w:spacing w:after="0"/>
              <w:rPr>
                <w:sz w:val="19"/>
                <w:szCs w:val="19"/>
                <w:color w:val="auto"/>
              </w:rPr>
            </w:pPr>
          </w:p>
        </w:tc>
        <w:tc>
          <w:tcPr>
            <w:tcW w:w="104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rPr>
                <w:sz w:val="20"/>
                <w:szCs w:val="20"/>
                <w:color w:val="auto"/>
              </w:rPr>
            </w:pPr>
            <w:r>
              <w:rPr>
                <w:rFonts w:ascii="Arial" w:cs="Arial" w:eastAsia="Arial" w:hAnsi="Arial"/>
                <w:sz w:val="14"/>
                <w:szCs w:val="14"/>
                <w:color w:val="4C4C4C"/>
              </w:rPr>
              <w:t>1,100,000</w:t>
            </w:r>
          </w:p>
        </w:tc>
        <w:tc>
          <w:tcPr>
            <w:tcW w:w="160" w:type="dxa"/>
            <w:vAlign w:val="bottom"/>
            <w:tcBorders>
              <w:bottom w:val="single" w:sz="8" w:color="4C4C4C"/>
            </w:tcBorders>
          </w:tcPr>
          <w:p>
            <w:pPr>
              <w:spacing w:after="0"/>
              <w:rPr>
                <w:sz w:val="19"/>
                <w:szCs w:val="19"/>
                <w:color w:val="auto"/>
              </w:rPr>
            </w:pPr>
          </w:p>
        </w:tc>
        <w:tc>
          <w:tcPr>
            <w:tcW w:w="840" w:type="dxa"/>
            <w:vAlign w:val="bottom"/>
            <w:tcBorders>
              <w:bottom w:val="single" w:sz="8" w:color="4C4C4C"/>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4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Annual STI</w:t>
            </w:r>
          </w:p>
        </w:tc>
        <w:tc>
          <w:tcPr>
            <w:tcW w:w="240" w:type="dxa"/>
            <w:vAlign w:val="bottom"/>
            <w:tcBorders>
              <w:bottom w:val="single" w:sz="8" w:color="4C4C4C"/>
            </w:tcBorders>
          </w:tcPr>
          <w:p>
            <w:pPr>
              <w:spacing w:after="0"/>
              <w:rPr>
                <w:sz w:val="13"/>
                <w:szCs w:val="13"/>
                <w:color w:val="auto"/>
              </w:rPr>
            </w:pPr>
          </w:p>
        </w:tc>
        <w:tc>
          <w:tcPr>
            <w:tcW w:w="96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2,145,000</w:t>
            </w:r>
          </w:p>
        </w:tc>
        <w:tc>
          <w:tcPr>
            <w:tcW w:w="22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18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line="155" w:lineRule="exact"/>
              <w:rPr>
                <w:sz w:val="20"/>
                <w:szCs w:val="20"/>
                <w:color w:val="auto"/>
              </w:rPr>
            </w:pPr>
            <w:r>
              <w:rPr>
                <w:rFonts w:ascii="Arial" w:cs="Arial" w:eastAsia="Arial" w:hAnsi="Arial"/>
                <w:sz w:val="14"/>
                <w:szCs w:val="14"/>
                <w:color w:val="4C4C4C"/>
              </w:rPr>
              <w:t>3,217,500</w:t>
            </w:r>
          </w:p>
        </w:tc>
        <w:tc>
          <w:tcPr>
            <w:tcW w:w="160" w:type="dxa"/>
            <w:vAlign w:val="bottom"/>
            <w:tcBorders>
              <w:bottom w:val="single" w:sz="8" w:color="4C4C4C"/>
            </w:tcBorders>
          </w:tcPr>
          <w:p>
            <w:pPr>
              <w:spacing w:after="0"/>
              <w:rPr>
                <w:sz w:val="13"/>
                <w:szCs w:val="13"/>
                <w:color w:val="auto"/>
              </w:rPr>
            </w:pPr>
          </w:p>
        </w:tc>
        <w:tc>
          <w:tcPr>
            <w:tcW w:w="840" w:type="dxa"/>
            <w:vAlign w:val="bottom"/>
            <w:tcBorders>
              <w:bottom w:val="single" w:sz="8" w:color="4C4C4C"/>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40" w:type="dxa"/>
            <w:vAlign w:val="bottom"/>
            <w:tcBorders>
              <w:bottom w:val="single" w:sz="8" w:color="4C4C4C"/>
            </w:tcBorders>
          </w:tcPr>
          <w:p>
            <w:pPr>
              <w:ind w:left="100"/>
              <w:spacing w:after="0" w:line="156" w:lineRule="exact"/>
              <w:rPr>
                <w:sz w:val="20"/>
                <w:szCs w:val="20"/>
                <w:color w:val="auto"/>
              </w:rPr>
            </w:pPr>
            <w:r>
              <w:rPr>
                <w:rFonts w:ascii="Arial" w:cs="Arial" w:eastAsia="Arial" w:hAnsi="Arial"/>
                <w:sz w:val="11"/>
                <w:szCs w:val="11"/>
                <w:color w:val="4C4C4C"/>
              </w:rPr>
              <w:t xml:space="preserve">RSUs </w:t>
            </w:r>
            <w:r>
              <w:rPr>
                <w:rFonts w:ascii="Arial" w:cs="Arial" w:eastAsia="Arial" w:hAnsi="Arial"/>
                <w:sz w:val="18"/>
                <w:szCs w:val="18"/>
                <w:color w:val="4C4C4C"/>
                <w:vertAlign w:val="superscript"/>
              </w:rPr>
              <w:t>(7)</w:t>
            </w:r>
          </w:p>
        </w:tc>
        <w:tc>
          <w:tcPr>
            <w:tcW w:w="24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96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910,935</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910,935</w:t>
            </w:r>
          </w:p>
        </w:tc>
        <w:tc>
          <w:tcPr>
            <w:tcW w:w="22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910,935</w:t>
            </w:r>
          </w:p>
        </w:tc>
        <w:tc>
          <w:tcPr>
            <w:tcW w:w="18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line="155" w:lineRule="exact"/>
              <w:rPr>
                <w:sz w:val="20"/>
                <w:szCs w:val="20"/>
                <w:color w:val="auto"/>
              </w:rPr>
            </w:pPr>
            <w:r>
              <w:rPr>
                <w:rFonts w:ascii="Arial" w:cs="Arial" w:eastAsia="Arial" w:hAnsi="Arial"/>
                <w:sz w:val="14"/>
                <w:szCs w:val="14"/>
                <w:color w:val="4C4C4C"/>
              </w:rPr>
              <w:t>910,935</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840" w:type="dxa"/>
            <w:vAlign w:val="bottom"/>
            <w:tcBorders>
              <w:bottom w:val="single" w:sz="8" w:color="4C4C4C"/>
            </w:tcBorders>
          </w:tcPr>
          <w:p>
            <w:pPr>
              <w:jc w:val="right"/>
              <w:ind w:right="128"/>
              <w:spacing w:after="0" w:line="155" w:lineRule="exact"/>
              <w:rPr>
                <w:sz w:val="20"/>
                <w:szCs w:val="20"/>
                <w:color w:val="auto"/>
              </w:rPr>
            </w:pPr>
            <w:r>
              <w:rPr>
                <w:rFonts w:ascii="Arial" w:cs="Arial" w:eastAsia="Arial" w:hAnsi="Arial"/>
                <w:sz w:val="14"/>
                <w:szCs w:val="14"/>
                <w:color w:val="4C4C4C"/>
              </w:rPr>
              <w:t>910,935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800" w:type="dxa"/>
            <w:vAlign w:val="bottom"/>
            <w:vMerge w:val="restart"/>
          </w:tcPr>
          <w:p>
            <w:pPr>
              <w:ind w:left="120"/>
              <w:spacing w:after="0"/>
              <w:rPr>
                <w:sz w:val="20"/>
                <w:szCs w:val="20"/>
                <w:color w:val="auto"/>
              </w:rPr>
            </w:pPr>
            <w:r>
              <w:rPr>
                <w:rFonts w:ascii="Arial" w:cs="Arial" w:eastAsia="Arial" w:hAnsi="Arial"/>
                <w:sz w:val="14"/>
                <w:szCs w:val="14"/>
                <w:color w:val="4C4C4C"/>
              </w:rPr>
              <w:t>John Rosenthal</w:t>
            </w:r>
          </w:p>
        </w:tc>
        <w:tc>
          <w:tcPr>
            <w:tcW w:w="2040" w:type="dxa"/>
            <w:vAlign w:val="bottom"/>
            <w:tcBorders>
              <w:bottom w:val="single" w:sz="8" w:color="4C4C4C"/>
            </w:tcBorders>
          </w:tcPr>
          <w:p>
            <w:pPr>
              <w:ind w:left="100"/>
              <w:spacing w:after="0" w:line="156" w:lineRule="exact"/>
              <w:rPr>
                <w:sz w:val="20"/>
                <w:szCs w:val="20"/>
                <w:color w:val="auto"/>
              </w:rPr>
            </w:pPr>
            <w:r>
              <w:rPr>
                <w:rFonts w:ascii="Arial" w:cs="Arial" w:eastAsia="Arial" w:hAnsi="Arial"/>
                <w:sz w:val="11"/>
                <w:szCs w:val="11"/>
                <w:color w:val="4C4C4C"/>
              </w:rPr>
              <w:t xml:space="preserve">PSUs </w:t>
            </w:r>
            <w:r>
              <w:rPr>
                <w:rFonts w:ascii="Arial" w:cs="Arial" w:eastAsia="Arial" w:hAnsi="Arial"/>
                <w:sz w:val="18"/>
                <w:szCs w:val="18"/>
                <w:color w:val="4C4C4C"/>
                <w:vertAlign w:val="superscript"/>
              </w:rPr>
              <w:t>(8)</w:t>
            </w:r>
          </w:p>
        </w:tc>
        <w:tc>
          <w:tcPr>
            <w:tcW w:w="24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96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1,695,026</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1,695,026</w:t>
            </w:r>
          </w:p>
        </w:tc>
        <w:tc>
          <w:tcPr>
            <w:tcW w:w="22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1,695,026</w:t>
            </w:r>
          </w:p>
        </w:tc>
        <w:tc>
          <w:tcPr>
            <w:tcW w:w="18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line="155" w:lineRule="exact"/>
              <w:rPr>
                <w:sz w:val="20"/>
                <w:szCs w:val="20"/>
                <w:color w:val="auto"/>
              </w:rPr>
            </w:pPr>
            <w:r>
              <w:rPr>
                <w:rFonts w:ascii="Arial" w:cs="Arial" w:eastAsia="Arial" w:hAnsi="Arial"/>
                <w:sz w:val="14"/>
                <w:szCs w:val="14"/>
                <w:color w:val="4C4C4C"/>
              </w:rPr>
              <w:t>1,695,026</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840" w:type="dxa"/>
            <w:vAlign w:val="bottom"/>
            <w:tcBorders>
              <w:bottom w:val="single" w:sz="8" w:color="4C4C4C"/>
            </w:tcBorders>
          </w:tcPr>
          <w:p>
            <w:pPr>
              <w:jc w:val="right"/>
              <w:ind w:right="128"/>
              <w:spacing w:after="0" w:line="155" w:lineRule="exact"/>
              <w:rPr>
                <w:sz w:val="20"/>
                <w:szCs w:val="20"/>
                <w:color w:val="auto"/>
              </w:rPr>
            </w:pPr>
            <w:r>
              <w:rPr>
                <w:rFonts w:ascii="Arial" w:cs="Arial" w:eastAsia="Arial" w:hAnsi="Arial"/>
                <w:sz w:val="14"/>
                <w:szCs w:val="14"/>
                <w:color w:val="4C4C4C"/>
                <w:w w:val="99"/>
              </w:rPr>
              <w:t>1,695,026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2040" w:type="dxa"/>
            <w:vAlign w:val="bottom"/>
            <w:vMerge w:val="restart"/>
          </w:tcPr>
          <w:p>
            <w:pPr>
              <w:ind w:left="100"/>
              <w:spacing w:after="0" w:line="156" w:lineRule="exact"/>
              <w:rPr>
                <w:sz w:val="20"/>
                <w:szCs w:val="20"/>
                <w:color w:val="auto"/>
              </w:rPr>
            </w:pPr>
            <w:r>
              <w:rPr>
                <w:rFonts w:ascii="Arial" w:cs="Arial" w:eastAsia="Arial" w:hAnsi="Arial"/>
                <w:sz w:val="11"/>
                <w:szCs w:val="11"/>
                <w:color w:val="4C4C4C"/>
              </w:rPr>
              <w:t xml:space="preserve">Stock Options </w:t>
            </w:r>
            <w:r>
              <w:rPr>
                <w:rFonts w:ascii="Arial" w:cs="Arial" w:eastAsia="Arial" w:hAnsi="Arial"/>
                <w:sz w:val="18"/>
                <w:szCs w:val="18"/>
                <w:color w:val="4C4C4C"/>
                <w:vertAlign w:val="superscript"/>
              </w:rPr>
              <w:t>(9)</w:t>
            </w: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40" w:type="dxa"/>
            <w:vAlign w:val="bottom"/>
            <w:tcBorders>
              <w:bottom w:val="single" w:sz="8" w:color="4C4C4C"/>
            </w:tcBorders>
            <w:vMerge w:val="continue"/>
          </w:tcPr>
          <w:p>
            <w:pPr>
              <w:spacing w:after="0"/>
              <w:rPr>
                <w:sz w:val="6"/>
                <w:szCs w:val="6"/>
                <w:color w:val="auto"/>
              </w:rPr>
            </w:pPr>
          </w:p>
        </w:tc>
        <w:tc>
          <w:tcPr>
            <w:tcW w:w="240" w:type="dxa"/>
            <w:vAlign w:val="bottom"/>
            <w:tcBorders>
              <w:bottom w:val="single" w:sz="8" w:color="4C4C4C"/>
            </w:tcBorders>
          </w:tcPr>
          <w:p>
            <w:pPr>
              <w:spacing w:after="0"/>
              <w:rPr>
                <w:sz w:val="6"/>
                <w:szCs w:val="6"/>
                <w:color w:val="auto"/>
              </w:rPr>
            </w:pPr>
          </w:p>
        </w:tc>
        <w:tc>
          <w:tcPr>
            <w:tcW w:w="960" w:type="dxa"/>
            <w:vAlign w:val="bottom"/>
            <w:tcBorders>
              <w:bottom w:val="single" w:sz="8" w:color="4C4C4C"/>
            </w:tcBorders>
          </w:tcPr>
          <w:p>
            <w:pPr>
              <w:spacing w:after="0"/>
              <w:rPr>
                <w:sz w:val="6"/>
                <w:szCs w:val="6"/>
                <w:color w:val="auto"/>
              </w:rPr>
            </w:pPr>
          </w:p>
        </w:tc>
        <w:tc>
          <w:tcPr>
            <w:tcW w:w="200" w:type="dxa"/>
            <w:vAlign w:val="bottom"/>
            <w:tcBorders>
              <w:bottom w:val="single" w:sz="8" w:color="4C4C4C"/>
            </w:tcBorders>
          </w:tcPr>
          <w:p>
            <w:pPr>
              <w:spacing w:after="0"/>
              <w:rPr>
                <w:sz w:val="6"/>
                <w:szCs w:val="6"/>
                <w:color w:val="auto"/>
              </w:rPr>
            </w:pPr>
          </w:p>
        </w:tc>
        <w:tc>
          <w:tcPr>
            <w:tcW w:w="1000" w:type="dxa"/>
            <w:vAlign w:val="bottom"/>
            <w:tcBorders>
              <w:bottom w:val="single" w:sz="8" w:color="4C4C4C"/>
            </w:tcBorders>
          </w:tcPr>
          <w:p>
            <w:pPr>
              <w:spacing w:after="0"/>
              <w:rPr>
                <w:sz w:val="6"/>
                <w:szCs w:val="6"/>
                <w:color w:val="auto"/>
              </w:rPr>
            </w:pPr>
          </w:p>
        </w:tc>
        <w:tc>
          <w:tcPr>
            <w:tcW w:w="220" w:type="dxa"/>
            <w:vAlign w:val="bottom"/>
            <w:tcBorders>
              <w:bottom w:val="single" w:sz="8" w:color="4C4C4C"/>
            </w:tcBorders>
          </w:tcPr>
          <w:p>
            <w:pPr>
              <w:spacing w:after="0"/>
              <w:rPr>
                <w:sz w:val="6"/>
                <w:szCs w:val="6"/>
                <w:color w:val="auto"/>
              </w:rPr>
            </w:pPr>
          </w:p>
        </w:tc>
        <w:tc>
          <w:tcPr>
            <w:tcW w:w="1040" w:type="dxa"/>
            <w:vAlign w:val="bottom"/>
            <w:tcBorders>
              <w:bottom w:val="single" w:sz="8" w:color="4C4C4C"/>
            </w:tcBorders>
          </w:tcPr>
          <w:p>
            <w:pPr>
              <w:spacing w:after="0"/>
              <w:rPr>
                <w:sz w:val="6"/>
                <w:szCs w:val="6"/>
                <w:color w:val="auto"/>
              </w:rPr>
            </w:pPr>
          </w:p>
        </w:tc>
        <w:tc>
          <w:tcPr>
            <w:tcW w:w="180" w:type="dxa"/>
            <w:vAlign w:val="bottom"/>
            <w:tcBorders>
              <w:bottom w:val="single" w:sz="8" w:color="4C4C4C"/>
            </w:tcBorders>
          </w:tcPr>
          <w:p>
            <w:pPr>
              <w:spacing w:after="0"/>
              <w:rPr>
                <w:sz w:val="6"/>
                <w:szCs w:val="6"/>
                <w:color w:val="auto"/>
              </w:rPr>
            </w:pPr>
          </w:p>
        </w:tc>
        <w:tc>
          <w:tcPr>
            <w:tcW w:w="1000" w:type="dxa"/>
            <w:vAlign w:val="bottom"/>
            <w:tcBorders>
              <w:bottom w:val="single" w:sz="8" w:color="4C4C4C"/>
            </w:tcBorders>
          </w:tcPr>
          <w:p>
            <w:pPr>
              <w:spacing w:after="0"/>
              <w:rPr>
                <w:sz w:val="6"/>
                <w:szCs w:val="6"/>
                <w:color w:val="auto"/>
              </w:rPr>
            </w:pPr>
          </w:p>
        </w:tc>
        <w:tc>
          <w:tcPr>
            <w:tcW w:w="160" w:type="dxa"/>
            <w:vAlign w:val="bottom"/>
            <w:tcBorders>
              <w:bottom w:val="single" w:sz="8" w:color="4C4C4C"/>
            </w:tcBorders>
          </w:tcPr>
          <w:p>
            <w:pPr>
              <w:spacing w:after="0"/>
              <w:rPr>
                <w:sz w:val="6"/>
                <w:szCs w:val="6"/>
                <w:color w:val="auto"/>
              </w:rPr>
            </w:pPr>
          </w:p>
        </w:tc>
        <w:tc>
          <w:tcPr>
            <w:tcW w:w="840" w:type="dxa"/>
            <w:vAlign w:val="bottom"/>
            <w:tcBorders>
              <w:bottom w:val="single" w:sz="8" w:color="4C4C4C"/>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40" w:type="dxa"/>
            <w:vAlign w:val="bottom"/>
            <w:tcBorders>
              <w:bottom w:val="single" w:sz="8" w:color="4C4C4C"/>
            </w:tcBorders>
          </w:tcPr>
          <w:p>
            <w:pPr>
              <w:ind w:left="100"/>
              <w:spacing w:after="0" w:line="156" w:lineRule="exact"/>
              <w:rPr>
                <w:sz w:val="20"/>
                <w:szCs w:val="20"/>
                <w:color w:val="auto"/>
              </w:rPr>
            </w:pPr>
            <w:r>
              <w:rPr>
                <w:rFonts w:ascii="Arial" w:cs="Arial" w:eastAsia="Arial" w:hAnsi="Arial"/>
                <w:sz w:val="11"/>
                <w:szCs w:val="11"/>
                <w:color w:val="4C4C4C"/>
              </w:rPr>
              <w:t xml:space="preserve">Limited Death Benefit </w:t>
            </w:r>
            <w:r>
              <w:rPr>
                <w:rFonts w:ascii="Arial" w:cs="Arial" w:eastAsia="Arial" w:hAnsi="Arial"/>
                <w:sz w:val="18"/>
                <w:szCs w:val="18"/>
                <w:color w:val="4C4C4C"/>
                <w:vertAlign w:val="superscript"/>
              </w:rPr>
              <w:t>(11)</w:t>
            </w:r>
          </w:p>
        </w:tc>
        <w:tc>
          <w:tcPr>
            <w:tcW w:w="240" w:type="dxa"/>
            <w:vAlign w:val="bottom"/>
            <w:tcBorders>
              <w:bottom w:val="single" w:sz="8" w:color="4C4C4C"/>
            </w:tcBorders>
          </w:tcPr>
          <w:p>
            <w:pPr>
              <w:spacing w:after="0"/>
              <w:rPr>
                <w:sz w:val="13"/>
                <w:szCs w:val="13"/>
                <w:color w:val="auto"/>
              </w:rPr>
            </w:pPr>
          </w:p>
        </w:tc>
        <w:tc>
          <w:tcPr>
            <w:tcW w:w="96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22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180" w:type="dxa"/>
            <w:vAlign w:val="bottom"/>
            <w:tcBorders>
              <w:bottom w:val="single" w:sz="8" w:color="4C4C4C"/>
            </w:tcBorders>
          </w:tcPr>
          <w:p>
            <w:pPr>
              <w:spacing w:after="0"/>
              <w:rPr>
                <w:sz w:val="13"/>
                <w:szCs w:val="13"/>
                <w:color w:val="auto"/>
              </w:rPr>
            </w:pPr>
          </w:p>
        </w:tc>
        <w:tc>
          <w:tcPr>
            <w:tcW w:w="1000" w:type="dxa"/>
            <w:vAlign w:val="bottom"/>
            <w:tcBorders>
              <w:bottom w:val="single" w:sz="8" w:color="4C4C4C"/>
            </w:tcBorders>
          </w:tcPr>
          <w:p>
            <w:pPr>
              <w:spacing w:after="0"/>
              <w:rPr>
                <w:sz w:val="13"/>
                <w:szCs w:val="13"/>
                <w:color w:val="auto"/>
              </w:rPr>
            </w:pP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840" w:type="dxa"/>
            <w:vAlign w:val="bottom"/>
            <w:tcBorders>
              <w:bottom w:val="single" w:sz="8" w:color="4C4C4C"/>
            </w:tcBorders>
          </w:tcPr>
          <w:p>
            <w:pPr>
              <w:jc w:val="right"/>
              <w:ind w:right="128"/>
              <w:spacing w:after="0" w:line="155" w:lineRule="exact"/>
              <w:rPr>
                <w:sz w:val="20"/>
                <w:szCs w:val="20"/>
                <w:color w:val="auto"/>
              </w:rPr>
            </w:pPr>
            <w:r>
              <w:rPr>
                <w:rFonts w:ascii="Arial" w:cs="Arial" w:eastAsia="Arial" w:hAnsi="Arial"/>
                <w:sz w:val="14"/>
                <w:szCs w:val="14"/>
                <w:color w:val="4C4C4C"/>
                <w:w w:val="99"/>
              </w:rPr>
              <w:t>4,641,134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40" w:type="dxa"/>
            <w:vAlign w:val="bottom"/>
            <w:tcBorders>
              <w:bottom w:val="single" w:sz="8" w:color="4C4C4C"/>
            </w:tcBorders>
          </w:tcPr>
          <w:p>
            <w:pPr>
              <w:ind w:left="100"/>
              <w:spacing w:after="0" w:line="156" w:lineRule="exact"/>
              <w:rPr>
                <w:sz w:val="20"/>
                <w:szCs w:val="20"/>
                <w:color w:val="auto"/>
              </w:rPr>
            </w:pPr>
            <w:r>
              <w:rPr>
                <w:rFonts w:ascii="Arial" w:cs="Arial" w:eastAsia="Arial" w:hAnsi="Arial"/>
                <w:sz w:val="11"/>
                <w:szCs w:val="11"/>
                <w:color w:val="4C4C4C"/>
              </w:rPr>
              <w:t xml:space="preserve">Miscellaneous Payments </w:t>
            </w:r>
            <w:r>
              <w:rPr>
                <w:rFonts w:ascii="Arial" w:cs="Arial" w:eastAsia="Arial" w:hAnsi="Arial"/>
                <w:sz w:val="18"/>
                <w:szCs w:val="18"/>
                <w:color w:val="4C4C4C"/>
                <w:vertAlign w:val="superscript"/>
              </w:rPr>
              <w:t>(10)</w:t>
            </w:r>
          </w:p>
        </w:tc>
        <w:tc>
          <w:tcPr>
            <w:tcW w:w="240" w:type="dxa"/>
            <w:vAlign w:val="bottom"/>
            <w:tcBorders>
              <w:bottom w:val="single" w:sz="8" w:color="4C4C4C"/>
            </w:tcBorders>
          </w:tcPr>
          <w:p>
            <w:pPr>
              <w:spacing w:after="0"/>
              <w:rPr>
                <w:sz w:val="13"/>
                <w:szCs w:val="13"/>
                <w:color w:val="auto"/>
              </w:rPr>
            </w:pPr>
          </w:p>
        </w:tc>
        <w:tc>
          <w:tcPr>
            <w:tcW w:w="96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31,997</w:t>
            </w:r>
          </w:p>
        </w:tc>
        <w:tc>
          <w:tcPr>
            <w:tcW w:w="220" w:type="dxa"/>
            <w:vAlign w:val="bottom"/>
            <w:tcBorders>
              <w:bottom w:val="single" w:sz="8" w:color="4C4C4C"/>
            </w:tcBorders>
          </w:tcPr>
          <w:p>
            <w:pPr>
              <w:spacing w:after="0"/>
              <w:rPr>
                <w:sz w:val="13"/>
                <w:szCs w:val="13"/>
                <w:color w:val="auto"/>
              </w:rPr>
            </w:pPr>
          </w:p>
        </w:tc>
        <w:tc>
          <w:tcPr>
            <w:tcW w:w="1040" w:type="dxa"/>
            <w:vAlign w:val="bottom"/>
            <w:tcBorders>
              <w:bottom w:val="single" w:sz="8" w:color="4C4C4C"/>
            </w:tcBorders>
          </w:tcPr>
          <w:p>
            <w:pPr>
              <w:spacing w:after="0"/>
              <w:rPr>
                <w:sz w:val="13"/>
                <w:szCs w:val="13"/>
                <w:color w:val="auto"/>
              </w:rPr>
            </w:pPr>
          </w:p>
        </w:tc>
        <w:tc>
          <w:tcPr>
            <w:tcW w:w="18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line="155" w:lineRule="exact"/>
              <w:rPr>
                <w:sz w:val="20"/>
                <w:szCs w:val="20"/>
                <w:color w:val="auto"/>
              </w:rPr>
            </w:pPr>
            <w:r>
              <w:rPr>
                <w:rFonts w:ascii="Arial" w:cs="Arial" w:eastAsia="Arial" w:hAnsi="Arial"/>
                <w:sz w:val="14"/>
                <w:szCs w:val="14"/>
                <w:color w:val="4C4C4C"/>
              </w:rPr>
              <w:t>59,035</w:t>
            </w:r>
          </w:p>
        </w:tc>
        <w:tc>
          <w:tcPr>
            <w:tcW w:w="160" w:type="dxa"/>
            <w:vAlign w:val="bottom"/>
            <w:tcBorders>
              <w:bottom w:val="single" w:sz="8" w:color="4C4C4C"/>
            </w:tcBorders>
          </w:tcPr>
          <w:p>
            <w:pPr>
              <w:spacing w:after="0"/>
              <w:rPr>
                <w:sz w:val="13"/>
                <w:szCs w:val="13"/>
                <w:color w:val="auto"/>
              </w:rPr>
            </w:pPr>
          </w:p>
        </w:tc>
        <w:tc>
          <w:tcPr>
            <w:tcW w:w="840" w:type="dxa"/>
            <w:vAlign w:val="bottom"/>
            <w:tcBorders>
              <w:bottom w:val="single" w:sz="8" w:color="4C4C4C"/>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800" w:type="dxa"/>
            <w:vAlign w:val="bottom"/>
            <w:tcBorders>
              <w:bottom w:val="single" w:sz="8" w:color="4C4C4C"/>
            </w:tcBorders>
          </w:tcPr>
          <w:p>
            <w:pPr>
              <w:spacing w:after="0"/>
              <w:rPr>
                <w:sz w:val="13"/>
                <w:szCs w:val="13"/>
                <w:color w:val="auto"/>
              </w:rPr>
            </w:pPr>
          </w:p>
        </w:tc>
        <w:tc>
          <w:tcPr>
            <w:tcW w:w="204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Total</w:t>
            </w:r>
          </w:p>
        </w:tc>
        <w:tc>
          <w:tcPr>
            <w:tcW w:w="24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96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2,605,961</w:t>
            </w:r>
          </w:p>
        </w:tc>
        <w:tc>
          <w:tcPr>
            <w:tcW w:w="20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0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5,332,958</w:t>
            </w:r>
          </w:p>
        </w:tc>
        <w:tc>
          <w:tcPr>
            <w:tcW w:w="22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rPr>
              <w:t>$</w:t>
            </w:r>
          </w:p>
        </w:tc>
        <w:tc>
          <w:tcPr>
            <w:tcW w:w="1040" w:type="dxa"/>
            <w:vAlign w:val="bottom"/>
            <w:tcBorders>
              <w:bottom w:val="single" w:sz="8" w:color="4C4C4C"/>
            </w:tcBorders>
          </w:tcPr>
          <w:p>
            <w:pPr>
              <w:jc w:val="right"/>
              <w:ind w:right="28"/>
              <w:spacing w:after="0" w:line="155" w:lineRule="exact"/>
              <w:rPr>
                <w:sz w:val="20"/>
                <w:szCs w:val="20"/>
                <w:color w:val="auto"/>
              </w:rPr>
            </w:pPr>
            <w:r>
              <w:rPr>
                <w:rFonts w:ascii="Arial" w:cs="Arial" w:eastAsia="Arial" w:hAnsi="Arial"/>
                <w:sz w:val="14"/>
                <w:szCs w:val="14"/>
                <w:color w:val="4C4C4C"/>
              </w:rPr>
              <w:t>2,605,961</w:t>
            </w:r>
          </w:p>
        </w:tc>
        <w:tc>
          <w:tcPr>
            <w:tcW w:w="180" w:type="dxa"/>
            <w:vAlign w:val="bottom"/>
            <w:tcBorders>
              <w:bottom w:val="single" w:sz="8" w:color="4C4C4C"/>
            </w:tcBorders>
          </w:tcPr>
          <w:p>
            <w:pPr>
              <w:ind w:left="100"/>
              <w:spacing w:after="0" w:line="155" w:lineRule="exact"/>
              <w:rPr>
                <w:sz w:val="20"/>
                <w:szCs w:val="20"/>
                <w:color w:val="auto"/>
              </w:rPr>
            </w:pPr>
            <w:r>
              <w:rPr>
                <w:rFonts w:ascii="Arial" w:cs="Arial" w:eastAsia="Arial" w:hAnsi="Arial"/>
                <w:sz w:val="14"/>
                <w:szCs w:val="14"/>
                <w:color w:val="4C4C4C"/>
                <w:w w:val="76"/>
              </w:rPr>
              <w:t>$</w:t>
            </w:r>
          </w:p>
        </w:tc>
        <w:tc>
          <w:tcPr>
            <w:tcW w:w="1000" w:type="dxa"/>
            <w:vAlign w:val="bottom"/>
            <w:tcBorders>
              <w:bottom w:val="single" w:sz="8" w:color="4C4C4C"/>
            </w:tcBorders>
          </w:tcPr>
          <w:p>
            <w:pPr>
              <w:jc w:val="right"/>
              <w:ind w:right="9"/>
              <w:spacing w:after="0" w:line="155" w:lineRule="exact"/>
              <w:rPr>
                <w:sz w:val="20"/>
                <w:szCs w:val="20"/>
                <w:color w:val="auto"/>
              </w:rPr>
            </w:pPr>
            <w:r>
              <w:rPr>
                <w:rFonts w:ascii="Arial" w:cs="Arial" w:eastAsia="Arial" w:hAnsi="Arial"/>
                <w:sz w:val="14"/>
                <w:szCs w:val="14"/>
                <w:color w:val="4C4C4C"/>
              </w:rPr>
              <w:t>6,982,496</w:t>
            </w:r>
          </w:p>
        </w:tc>
        <w:tc>
          <w:tcPr>
            <w:tcW w:w="160" w:type="dxa"/>
            <w:vAlign w:val="bottom"/>
            <w:tcBorders>
              <w:bottom w:val="single" w:sz="8" w:color="4C4C4C"/>
            </w:tcBorders>
          </w:tcPr>
          <w:p>
            <w:pPr>
              <w:jc w:val="right"/>
              <w:spacing w:after="0" w:line="155" w:lineRule="exact"/>
              <w:rPr>
                <w:sz w:val="20"/>
                <w:szCs w:val="20"/>
                <w:color w:val="auto"/>
              </w:rPr>
            </w:pPr>
            <w:r>
              <w:rPr>
                <w:rFonts w:ascii="Arial" w:cs="Arial" w:eastAsia="Arial" w:hAnsi="Arial"/>
                <w:sz w:val="14"/>
                <w:szCs w:val="14"/>
                <w:color w:val="4C4C4C"/>
              </w:rPr>
              <w:t>$</w:t>
            </w:r>
          </w:p>
        </w:tc>
        <w:tc>
          <w:tcPr>
            <w:tcW w:w="840" w:type="dxa"/>
            <w:vAlign w:val="bottom"/>
            <w:tcBorders>
              <w:bottom w:val="single" w:sz="8" w:color="4C4C4C"/>
            </w:tcBorders>
          </w:tcPr>
          <w:p>
            <w:pPr>
              <w:jc w:val="right"/>
              <w:ind w:right="128"/>
              <w:spacing w:after="0" w:line="155" w:lineRule="exact"/>
              <w:rPr>
                <w:sz w:val="20"/>
                <w:szCs w:val="20"/>
                <w:color w:val="auto"/>
              </w:rPr>
            </w:pPr>
            <w:r>
              <w:rPr>
                <w:rFonts w:ascii="Arial" w:cs="Arial" w:eastAsia="Arial" w:hAnsi="Arial"/>
                <w:sz w:val="14"/>
                <w:szCs w:val="14"/>
                <w:color w:val="4C4C4C"/>
                <w:w w:val="99"/>
              </w:rPr>
              <w:t>7,247,095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-1851025</wp:posOffset>
            </wp:positionV>
            <wp:extent cx="4997450" cy="916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997450" cy="916940"/>
                    </a:xfrm>
                    <a:prstGeom prst="rect">
                      <a:avLst/>
                    </a:prstGeom>
                    <a:noFill/>
                  </pic:spPr>
                </pic:pic>
              </a:graphicData>
            </a:graphic>
          </wp:anchor>
        </w:drawing>
      </w:r>
    </w:p>
    <w:p>
      <w:pPr>
        <w:spacing w:after="0" w:line="101" w:lineRule="exact"/>
        <w:rPr>
          <w:sz w:val="20"/>
          <w:szCs w:val="20"/>
          <w:color w:val="auto"/>
        </w:rPr>
      </w:pPr>
    </w:p>
    <w:p>
      <w:pPr>
        <w:ind w:left="700" w:right="220" w:hanging="419"/>
        <w:spacing w:after="0" w:line="257" w:lineRule="auto"/>
        <w:tabs>
          <w:tab w:leader="none" w:pos="700" w:val="left"/>
        </w:tabs>
        <w:numPr>
          <w:ilvl w:val="0"/>
          <w:numId w:val="150"/>
        </w:numPr>
        <w:rPr>
          <w:rFonts w:ascii="Arial" w:cs="Arial" w:eastAsia="Arial" w:hAnsi="Arial"/>
          <w:sz w:val="17"/>
          <w:szCs w:val="17"/>
          <w:color w:val="4C4C4C"/>
        </w:rPr>
      </w:pPr>
      <w:r>
        <w:rPr>
          <w:rFonts w:ascii="Arial" w:cs="Arial" w:eastAsia="Arial" w:hAnsi="Arial"/>
          <w:sz w:val="17"/>
          <w:szCs w:val="17"/>
          <w:color w:val="4C4C4C"/>
        </w:rPr>
        <w:t>The table does not include termination for cause because such termination does not result in the NEO receiving any additional payments or benefits. “Cause” is defined as the NEO’s conviction or plea of nolo contendere to a felony; act of dishonesty or misconduct that results in, or is believed likely to result in, material damage to Brighthouse’s business or reputation; or a material violation of a Company policy or agreement, where the violation played a role in Brighthouse’s decision to terminate the NEO.</w:t>
      </w:r>
    </w:p>
    <w:p>
      <w:pPr>
        <w:spacing w:after="0" w:line="40" w:lineRule="exact"/>
        <w:rPr>
          <w:rFonts w:ascii="Arial" w:cs="Arial" w:eastAsia="Arial" w:hAnsi="Arial"/>
          <w:sz w:val="17"/>
          <w:szCs w:val="17"/>
          <w:color w:val="4C4C4C"/>
        </w:rPr>
      </w:pPr>
    </w:p>
    <w:p>
      <w:pPr>
        <w:ind w:left="700" w:right="340"/>
        <w:spacing w:after="0" w:line="246" w:lineRule="auto"/>
        <w:rPr>
          <w:rFonts w:ascii="Arial" w:cs="Arial" w:eastAsia="Arial" w:hAnsi="Arial"/>
          <w:sz w:val="17"/>
          <w:szCs w:val="17"/>
          <w:color w:val="4C4C4C"/>
        </w:rPr>
      </w:pPr>
      <w:r>
        <w:rPr>
          <w:rFonts w:ascii="Arial" w:cs="Arial" w:eastAsia="Arial" w:hAnsi="Arial"/>
          <w:sz w:val="18"/>
          <w:szCs w:val="18"/>
          <w:color w:val="4C4C4C"/>
        </w:rPr>
        <w:t>All values for equity-related payments assume the triggering event took place on the Trigger Date, on which the closing price of the Company’s common stock was $36.21.</w:t>
      </w:r>
    </w:p>
    <w:p>
      <w:pPr>
        <w:spacing w:after="0" w:line="61" w:lineRule="exact"/>
        <w:rPr>
          <w:rFonts w:ascii="Arial" w:cs="Arial" w:eastAsia="Arial" w:hAnsi="Arial"/>
          <w:sz w:val="17"/>
          <w:szCs w:val="17"/>
          <w:color w:val="4C4C4C"/>
        </w:rPr>
      </w:pPr>
    </w:p>
    <w:p>
      <w:pPr>
        <w:ind w:left="700" w:right="600" w:hanging="419"/>
        <w:spacing w:after="0" w:line="248" w:lineRule="auto"/>
        <w:tabs>
          <w:tab w:leader="none" w:pos="700" w:val="left"/>
        </w:tabs>
        <w:numPr>
          <w:ilvl w:val="0"/>
          <w:numId w:val="150"/>
        </w:numPr>
        <w:rPr>
          <w:rFonts w:ascii="Arial" w:cs="Arial" w:eastAsia="Arial" w:hAnsi="Arial"/>
          <w:sz w:val="17"/>
          <w:szCs w:val="17"/>
          <w:color w:val="4C4C4C"/>
        </w:rPr>
      </w:pPr>
      <w:r>
        <w:rPr>
          <w:rFonts w:ascii="Arial" w:cs="Arial" w:eastAsia="Arial" w:hAnsi="Arial"/>
          <w:sz w:val="17"/>
          <w:szCs w:val="17"/>
          <w:color w:val="4C4C4C"/>
        </w:rPr>
        <w:t>If an NEO voluntarily terminates employment after the NEO’s Rule of 65 Date (other than a termination for “Cause”): awards under the Employee Plan continue to vest on the same schedule as if the NEO remained employed with Brighthouse.</w:t>
      </w:r>
    </w:p>
    <w:p>
      <w:pPr>
        <w:spacing w:after="0" w:line="1" w:lineRule="exact"/>
        <w:rPr>
          <w:rFonts w:ascii="Arial" w:cs="Arial" w:eastAsia="Arial" w:hAnsi="Arial"/>
          <w:sz w:val="17"/>
          <w:szCs w:val="17"/>
          <w:color w:val="4C4C4C"/>
        </w:rPr>
      </w:pPr>
    </w:p>
    <w:p>
      <w:pPr>
        <w:ind w:left="700" w:right="260"/>
        <w:spacing w:after="0" w:line="246" w:lineRule="auto"/>
        <w:rPr>
          <w:rFonts w:ascii="Arial" w:cs="Arial" w:eastAsia="Arial" w:hAnsi="Arial"/>
          <w:sz w:val="17"/>
          <w:szCs w:val="17"/>
          <w:color w:val="4C4C4C"/>
        </w:rPr>
      </w:pPr>
      <w:r>
        <w:rPr>
          <w:rFonts w:ascii="Arial" w:cs="Arial" w:eastAsia="Arial" w:hAnsi="Arial"/>
          <w:sz w:val="18"/>
          <w:szCs w:val="18"/>
          <w:color w:val="4C4C4C"/>
        </w:rPr>
        <w:t>Mr. Steigerwalt, Mr. Rosenthal, and Ms. DeBiase have satisfied Rule of 65 conditions; Mr. Spehar and Mr. Murphy have not, and therefore do not receive any additional payouts or vesting of outstanding awards on a voluntary resignation.</w:t>
      </w:r>
    </w:p>
    <w:p>
      <w:pPr>
        <w:spacing w:after="0" w:line="61" w:lineRule="exact"/>
        <w:rPr>
          <w:rFonts w:ascii="Arial" w:cs="Arial" w:eastAsia="Arial" w:hAnsi="Arial"/>
          <w:sz w:val="17"/>
          <w:szCs w:val="17"/>
          <w:color w:val="4C4C4C"/>
        </w:rPr>
      </w:pPr>
    </w:p>
    <w:p>
      <w:pPr>
        <w:ind w:left="700" w:right="280" w:hanging="419"/>
        <w:spacing w:after="0" w:line="236" w:lineRule="auto"/>
        <w:tabs>
          <w:tab w:leader="none" w:pos="700" w:val="left"/>
        </w:tabs>
        <w:numPr>
          <w:ilvl w:val="0"/>
          <w:numId w:val="150"/>
        </w:numPr>
        <w:rPr>
          <w:rFonts w:ascii="Arial" w:cs="Arial" w:eastAsia="Arial" w:hAnsi="Arial"/>
          <w:sz w:val="18"/>
          <w:szCs w:val="18"/>
          <w:color w:val="4C4C4C"/>
        </w:rPr>
      </w:pPr>
      <w:r>
        <w:rPr>
          <w:rFonts w:ascii="Arial" w:cs="Arial" w:eastAsia="Arial" w:hAnsi="Arial"/>
          <w:sz w:val="18"/>
          <w:szCs w:val="18"/>
          <w:color w:val="4C4C4C"/>
        </w:rPr>
        <w:t>Under the terms of the Severance Plan, an NEO who is involuntarily terminated not for cause would receive: (a) a lump sum equal to the sum of the NEO’s base salary plus the target STI award for the year of separation; (b) a lump sum in lieu of STI award payment equal to the prorated target STI award in the year of termination (plus, if the termination occurs before the prior year’s STI award was paid, a lump sum in lieu of STI award payment equal to the prior year’s STI award); and (c) a lump sum equal to 12 months of premiums at COBRA rates and executive outplacement services. Payment of these severance benefits is conditioned on the NEO’s execution of a separation agreement, waiver and general release within the required time period, and abiding by certain covenants, including those contained in the Agreement to Protect Corporate Property (the “</w:t>
      </w:r>
      <w:r>
        <w:rPr>
          <w:rFonts w:ascii="Arial" w:cs="Arial" w:eastAsia="Arial" w:hAnsi="Arial"/>
          <w:sz w:val="18"/>
          <w:szCs w:val="18"/>
          <w:b w:val="1"/>
          <w:bCs w:val="1"/>
          <w:color w:val="00ADBB"/>
        </w:rPr>
        <w:t>ATPCP</w:t>
      </w:r>
      <w:r>
        <w:rPr>
          <w:rFonts w:ascii="Arial" w:cs="Arial" w:eastAsia="Arial" w:hAnsi="Arial"/>
          <w:sz w:val="18"/>
          <w:szCs w:val="18"/>
          <w:color w:val="4C4C4C"/>
        </w:rPr>
        <w:t>”), and non-interference with the Company’s business.</w:t>
      </w:r>
    </w:p>
    <w:p>
      <w:pPr>
        <w:spacing w:after="0" w:line="59" w:lineRule="exact"/>
        <w:rPr>
          <w:rFonts w:ascii="Arial" w:cs="Arial" w:eastAsia="Arial" w:hAnsi="Arial"/>
          <w:sz w:val="18"/>
          <w:szCs w:val="18"/>
          <w:color w:val="4C4C4C"/>
        </w:rPr>
      </w:pPr>
    </w:p>
    <w:p>
      <w:pPr>
        <w:ind w:left="700" w:right="240"/>
        <w:spacing w:after="0" w:line="234" w:lineRule="auto"/>
        <w:rPr>
          <w:rFonts w:ascii="Arial" w:cs="Arial" w:eastAsia="Arial" w:hAnsi="Arial"/>
          <w:sz w:val="18"/>
          <w:szCs w:val="18"/>
          <w:color w:val="4C4C4C"/>
        </w:rPr>
      </w:pPr>
      <w:r>
        <w:rPr>
          <w:rFonts w:ascii="Arial" w:cs="Arial" w:eastAsia="Arial" w:hAnsi="Arial"/>
          <w:sz w:val="18"/>
          <w:szCs w:val="18"/>
          <w:color w:val="4C4C4C"/>
        </w:rPr>
        <w:t>Treatment of equity awards granted in 2018 is as provided in the Employee Plan and the applicable award agreement. If the NEO is terminated without Cause after the NEO’s Rule of 65 Date, awards continue to vest on the same schedule as if the NEO remained employed with Brighthouse. If the NEO is terminated without Cause before the NEO’s Rule of 65 Date, then: (a) RSUs</w:t>
      </w:r>
    </w:p>
    <w:p>
      <w:pPr>
        <w:spacing w:after="0" w:line="2" w:lineRule="exact"/>
        <w:rPr>
          <w:rFonts w:ascii="Arial" w:cs="Arial" w:eastAsia="Arial" w:hAnsi="Arial"/>
          <w:sz w:val="18"/>
          <w:szCs w:val="18"/>
          <w:color w:val="4C4C4C"/>
        </w:rPr>
      </w:pPr>
    </w:p>
    <w:p>
      <w:pPr>
        <w:ind w:left="700" w:right="300"/>
        <w:spacing w:after="0" w:line="238" w:lineRule="auto"/>
        <w:rPr>
          <w:rFonts w:ascii="Arial" w:cs="Arial" w:eastAsia="Arial" w:hAnsi="Arial"/>
          <w:sz w:val="18"/>
          <w:szCs w:val="18"/>
          <w:color w:val="4C4C4C"/>
        </w:rPr>
      </w:pPr>
      <w:r>
        <w:rPr>
          <w:rFonts w:ascii="Arial" w:cs="Arial" w:eastAsia="Arial" w:hAnsi="Arial"/>
          <w:sz w:val="18"/>
          <w:szCs w:val="18"/>
          <w:color w:val="4C4C4C"/>
        </w:rPr>
        <w:t>– a prorated number of RSUs would be payable based on the number of months that lapse after the most recent vesting event, divided by the total number of months in the vesting period (10/36); (b) PSUs – a prorated number of PSUs would be payable based on the number of months that lapse since grant date, divided by the total number of months in the vesting period (34/36); and (c) NQSOs – all unvested NQSOs would be forfeited.</w:t>
      </w:r>
    </w:p>
    <w:p>
      <w:pPr>
        <w:spacing w:after="0" w:line="70" w:lineRule="exact"/>
        <w:rPr>
          <w:sz w:val="20"/>
          <w:szCs w:val="20"/>
          <w:color w:val="auto"/>
        </w:rPr>
      </w:pPr>
    </w:p>
    <w:p>
      <w:pPr>
        <w:ind w:left="700" w:right="240"/>
        <w:spacing w:after="0"/>
        <w:rPr>
          <w:sz w:val="20"/>
          <w:szCs w:val="20"/>
          <w:color w:val="auto"/>
        </w:rPr>
      </w:pPr>
      <w:r>
        <w:rPr>
          <w:rFonts w:ascii="Arial" w:cs="Arial" w:eastAsia="Arial" w:hAnsi="Arial"/>
          <w:sz w:val="18"/>
          <w:szCs w:val="18"/>
          <w:color w:val="4C4C4C"/>
        </w:rPr>
        <w:t>Treatment of equity awards granted in 2019 and 2020 is as provided in the Employee Plan and the applicable award agreement, whereby all RSUs and PSUs continue to vest on the same schedule as if the NEO remained employed with Brighthouse. No NQSOs were awarded in 2019 or 2020.</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74 | 2021 Proxy Statement</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00ADBB"/>
        </w:rPr>
        <w:t>Brighthouse Financial,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Compensation Tables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ADBB"/>
        </w:rPr>
        <w:t>Potential Payments Upon Termination or Change in Control</w:t>
      </w:r>
    </w:p>
    <w:p>
      <w:pPr>
        <w:spacing w:after="0" w:line="200" w:lineRule="exact"/>
        <w:rPr>
          <w:sz w:val="20"/>
          <w:szCs w:val="20"/>
          <w:color w:val="auto"/>
        </w:rPr>
      </w:pPr>
    </w:p>
    <w:p>
      <w:pPr>
        <w:sectPr>
          <w:pgSz w:w="11900" w:h="16838" w:orient="portrait"/>
          <w:cols w:equalWidth="0" w:num="2">
            <w:col w:w="6860" w:space="720"/>
            <w:col w:w="3560"/>
          </w:cols>
          <w:pgMar w:left="320" w:top="459" w:right="439" w:bottom="1440" w:gutter="0" w:footer="0" w:header="0"/>
          <w:type w:val="continuous"/>
        </w:sectPr>
      </w:pPr>
    </w:p>
    <w:p>
      <w:pPr>
        <w:spacing w:after="0" w:line="59" w:lineRule="exact"/>
        <w:rPr>
          <w:sz w:val="20"/>
          <w:szCs w:val="20"/>
          <w:color w:val="auto"/>
        </w:rPr>
      </w:pPr>
    </w:p>
    <w:p>
      <w:pPr>
        <w:ind w:left="540" w:right="100" w:hanging="424"/>
        <w:spacing w:after="0" w:line="238"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If the Compensation Committee determines that an award under the Employee Plan will not be assumed or an alternative award will not be provided in connection with a change of control, all RSUs and PSUs would vest and become immediately payable at target, and NQSOs would become immediately exercisable. This column assumes the awards were not assumed and alternative awards were not provided in connection with a change of control on the Trigger Date.</w:t>
      </w:r>
    </w:p>
    <w:p>
      <w:pPr>
        <w:spacing w:after="0" w:line="69" w:lineRule="exact"/>
        <w:rPr>
          <w:rFonts w:ascii="Arial" w:cs="Arial" w:eastAsia="Arial" w:hAnsi="Arial"/>
          <w:sz w:val="18"/>
          <w:szCs w:val="18"/>
          <w:color w:val="4C4C4C"/>
        </w:rPr>
      </w:pPr>
    </w:p>
    <w:p>
      <w:pPr>
        <w:ind w:left="540" w:right="20" w:hanging="424"/>
        <w:spacing w:after="0" w:line="235"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Under the terms of the Change of Control Plan, the NEO would receive severance payments if the NEO is terminated involuntarily without cause or if the NEO discontinues their employment for “good reason” within two years of a change of control, or upon the occurrence of a potential change of control, if the NEO is terminated involuntarily without cause within six months prior to a change of control. In any of these events, the NEO would receive: (a) a lump sum equal to two times the sum of base salary plus the target STI award for the year of separation; (b) a lump sum in lieu of STI award payment equal to the prorated target STI award in the year of termination (plus, if the termination occurs before the prior year’s STI award was paid, a lump sum in lieu of STI award payment equal to the prior year’s STI award); and (c) a lump sum equal to 24 months of premiums at COBRA rates and 12 months of executive outplacement services. Payment of these severance benefits is conditioned on the NEO’s execution of a separation agreement, waiver, and general release within the required time period, abiding by certain covenants, including those contained in the ATPCP, and non-interference with the Company’s business. The amounts reflected in this column do not account for potential reductions of payments or benefits under the Change of Control Plan due to the imposition of excise taxes under Section 4999 of the Code (“Section 4999”). In the event any payments or benefits under the Change of Control Plan, together with any other payments or benefits under other agreements, plans or arrangements, would subject an NEO to an excise tax under Section 4999, and such payments or benefits will be reduced to the extent necessary to avoid the imposition of the excise tax unless the NEO would be better off on an after-tax basis receiving all such payments and benefits.</w:t>
      </w:r>
    </w:p>
    <w:p>
      <w:pPr>
        <w:spacing w:after="0" w:line="78" w:lineRule="exact"/>
        <w:rPr>
          <w:rFonts w:ascii="Arial" w:cs="Arial" w:eastAsia="Arial" w:hAnsi="Arial"/>
          <w:sz w:val="18"/>
          <w:szCs w:val="18"/>
          <w:color w:val="4C4C4C"/>
        </w:rPr>
      </w:pPr>
    </w:p>
    <w:p>
      <w:pPr>
        <w:ind w:left="560" w:right="100"/>
        <w:spacing w:after="0"/>
        <w:rPr>
          <w:rFonts w:ascii="Arial" w:cs="Arial" w:eastAsia="Arial" w:hAnsi="Arial"/>
          <w:sz w:val="18"/>
          <w:szCs w:val="18"/>
          <w:color w:val="4C4C4C"/>
        </w:rPr>
      </w:pPr>
      <w:r>
        <w:rPr>
          <w:rFonts w:ascii="Arial" w:cs="Arial" w:eastAsia="Arial" w:hAnsi="Arial"/>
          <w:sz w:val="18"/>
          <w:szCs w:val="18"/>
          <w:color w:val="4C4C4C"/>
        </w:rPr>
        <w:t>Treatment of all equity awards is as provided in the Employee Plan and applicable award agreement, which provide that all RSUs and PSUs would immediately vest upon termination and be payable at target on the same schedule as if the NEO remained actively employed, and all NQSOs would become immediately exercisable.</w:t>
      </w:r>
    </w:p>
    <w:p>
      <w:pPr>
        <w:spacing w:after="0" w:line="67" w:lineRule="exact"/>
        <w:rPr>
          <w:rFonts w:ascii="Arial" w:cs="Arial" w:eastAsia="Arial" w:hAnsi="Arial"/>
          <w:sz w:val="18"/>
          <w:szCs w:val="18"/>
          <w:color w:val="4C4C4C"/>
        </w:rPr>
      </w:pPr>
    </w:p>
    <w:p>
      <w:pPr>
        <w:ind w:left="540" w:right="320" w:hanging="424"/>
        <w:spacing w:after="0" w:line="246"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In the event of an NEO’s termination due to death, RSUs and PSUs immediately vest and become payable at target, and NQSOs become immediately exercisable.</w:t>
      </w:r>
    </w:p>
    <w:p>
      <w:pPr>
        <w:spacing w:after="0" w:line="61" w:lineRule="exact"/>
        <w:rPr>
          <w:rFonts w:ascii="Arial" w:cs="Arial" w:eastAsia="Arial" w:hAnsi="Arial"/>
          <w:sz w:val="18"/>
          <w:szCs w:val="18"/>
          <w:color w:val="4C4C4C"/>
        </w:rPr>
      </w:pPr>
    </w:p>
    <w:p>
      <w:pPr>
        <w:ind w:left="540" w:right="460" w:hanging="424"/>
        <w:spacing w:after="0" w:line="246"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The value of RSUs is calculated by multiplying the number of outstanding RSUs by the closing price of the Company’s common stock on the Trigger Date.</w:t>
      </w:r>
    </w:p>
    <w:p>
      <w:pPr>
        <w:spacing w:after="0" w:line="61" w:lineRule="exact"/>
        <w:rPr>
          <w:rFonts w:ascii="Arial" w:cs="Arial" w:eastAsia="Arial" w:hAnsi="Arial"/>
          <w:sz w:val="18"/>
          <w:szCs w:val="18"/>
          <w:color w:val="4C4C4C"/>
        </w:rPr>
      </w:pPr>
    </w:p>
    <w:p>
      <w:pPr>
        <w:ind w:left="540" w:right="360" w:hanging="424"/>
        <w:spacing w:after="0" w:line="246"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The value of PSUs is calculated at target payout by multiplying the number of PSUs awarded at target by the closing price on the Trigger Date.</w:t>
      </w:r>
    </w:p>
    <w:p>
      <w:pPr>
        <w:spacing w:after="0" w:line="61" w:lineRule="exact"/>
        <w:rPr>
          <w:rFonts w:ascii="Arial" w:cs="Arial" w:eastAsia="Arial" w:hAnsi="Arial"/>
          <w:sz w:val="18"/>
          <w:szCs w:val="18"/>
          <w:color w:val="4C4C4C"/>
        </w:rPr>
      </w:pPr>
    </w:p>
    <w:p>
      <w:pPr>
        <w:ind w:left="540" w:hanging="424"/>
        <w:spacing w:after="0"/>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All NQSOs were underwater and had no value on the Trigger Date.</w:t>
      </w:r>
    </w:p>
    <w:p>
      <w:pPr>
        <w:spacing w:after="0" w:line="76" w:lineRule="exact"/>
        <w:rPr>
          <w:rFonts w:ascii="Arial" w:cs="Arial" w:eastAsia="Arial" w:hAnsi="Arial"/>
          <w:sz w:val="18"/>
          <w:szCs w:val="18"/>
          <w:color w:val="4C4C4C"/>
        </w:rPr>
      </w:pPr>
    </w:p>
    <w:p>
      <w:pPr>
        <w:ind w:left="540" w:hanging="424"/>
        <w:spacing w:after="0"/>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Includes payments for COBRA and executive outplacement services.</w:t>
      </w:r>
    </w:p>
    <w:p>
      <w:pPr>
        <w:spacing w:after="0" w:line="76" w:lineRule="exact"/>
        <w:rPr>
          <w:rFonts w:ascii="Arial" w:cs="Arial" w:eastAsia="Arial" w:hAnsi="Arial"/>
          <w:sz w:val="18"/>
          <w:szCs w:val="18"/>
          <w:color w:val="4C4C4C"/>
        </w:rPr>
      </w:pPr>
    </w:p>
    <w:p>
      <w:pPr>
        <w:ind w:left="540" w:right="520" w:hanging="424"/>
        <w:spacing w:after="0" w:line="246" w:lineRule="auto"/>
        <w:tabs>
          <w:tab w:leader="none" w:pos="540" w:val="left"/>
        </w:tabs>
        <w:numPr>
          <w:ilvl w:val="0"/>
          <w:numId w:val="151"/>
        </w:numPr>
        <w:rPr>
          <w:rFonts w:ascii="Arial" w:cs="Arial" w:eastAsia="Arial" w:hAnsi="Arial"/>
          <w:sz w:val="18"/>
          <w:szCs w:val="18"/>
          <w:color w:val="4C4C4C"/>
        </w:rPr>
      </w:pPr>
      <w:r>
        <w:rPr>
          <w:rFonts w:ascii="Arial" w:cs="Arial" w:eastAsia="Arial" w:hAnsi="Arial"/>
          <w:sz w:val="18"/>
          <w:szCs w:val="18"/>
          <w:color w:val="4C4C4C"/>
        </w:rPr>
        <w:t>Limited Death Benefit Plan offers a one-time, final wage payment to Mr. Rosenthal and Ms. DeBiase (NEOs that participated in MetLife’s Auxiliary Retirement Plan).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75</w:t>
      </w:r>
    </w:p>
    <w:p>
      <w:pPr>
        <w:sectPr>
          <w:pgSz w:w="11900" w:h="16838" w:orient="portrait"/>
          <w:cols w:equalWidth="0" w:num="1">
            <w:col w:w="11140"/>
          </w:cols>
          <w:pgMar w:left="32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080" w:type="dxa"/>
            <w:vAlign w:val="bottom"/>
          </w:tcPr>
          <w:p>
            <w:pPr>
              <w:spacing w:after="0"/>
              <w:rPr>
                <w:sz w:val="20"/>
                <w:szCs w:val="20"/>
                <w:color w:val="auto"/>
              </w:rPr>
            </w:pPr>
            <w:r>
              <w:rPr>
                <w:rFonts w:ascii="Arial" w:cs="Arial" w:eastAsia="Arial" w:hAnsi="Arial"/>
                <w:sz w:val="13"/>
                <w:szCs w:val="13"/>
                <w:b w:val="1"/>
                <w:bCs w:val="1"/>
                <w:color w:val="00ADBB"/>
              </w:rPr>
              <w:t>Compensation Tables</w:t>
            </w:r>
          </w:p>
        </w:tc>
        <w:tc>
          <w:tcPr>
            <w:tcW w:w="3940" w:type="dxa"/>
            <w:vAlign w:val="bottom"/>
          </w:tcPr>
          <w:p>
            <w:pPr>
              <w:ind w:left="2320"/>
              <w:spacing w:after="0"/>
              <w:rPr>
                <w:sz w:val="20"/>
                <w:szCs w:val="20"/>
                <w:color w:val="auto"/>
              </w:rPr>
            </w:pPr>
            <w:r>
              <w:rPr>
                <w:rFonts w:ascii="Arial" w:cs="Arial" w:eastAsia="Arial" w:hAnsi="Arial"/>
                <w:sz w:val="13"/>
                <w:szCs w:val="13"/>
                <w:b w:val="1"/>
                <w:bCs w:val="1"/>
                <w:color w:val="00ADBB"/>
                <w:w w:val="96"/>
              </w:rPr>
              <w:t>Brighthouse Financial, Inc.</w:t>
            </w:r>
          </w:p>
        </w:tc>
      </w:tr>
      <w:tr>
        <w:trPr>
          <w:trHeight w:val="168"/>
        </w:trPr>
        <w:tc>
          <w:tcPr>
            <w:tcW w:w="7080" w:type="dxa"/>
            <w:vAlign w:val="bottom"/>
          </w:tcPr>
          <w:p>
            <w:pPr>
              <w:spacing w:after="0"/>
              <w:rPr>
                <w:sz w:val="20"/>
                <w:szCs w:val="20"/>
                <w:color w:val="auto"/>
              </w:rPr>
            </w:pPr>
            <w:r>
              <w:rPr>
                <w:rFonts w:ascii="Arial" w:cs="Arial" w:eastAsia="Arial" w:hAnsi="Arial"/>
                <w:sz w:val="13"/>
                <w:szCs w:val="13"/>
                <w:b w:val="1"/>
                <w:bCs w:val="1"/>
                <w:color w:val="00ADBB"/>
              </w:rPr>
              <w:t>Equity Compensation Plan Information as of December 31, 2020; CEO Pay Ratio</w:t>
            </w:r>
          </w:p>
        </w:tc>
        <w:tc>
          <w:tcPr>
            <w:tcW w:w="3940" w:type="dxa"/>
            <w:vAlign w:val="bottom"/>
          </w:tcPr>
          <w:p>
            <w:pPr>
              <w:spacing w:after="0"/>
              <w:rPr>
                <w:sz w:val="14"/>
                <w:szCs w:val="14"/>
                <w:color w:val="auto"/>
              </w:rPr>
            </w:pPr>
          </w:p>
        </w:tc>
      </w:tr>
    </w:tbl>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Equity Compensation Plan Information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165100</wp:posOffset>
            </wp:positionV>
            <wp:extent cx="8890" cy="7715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77152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165100</wp:posOffset>
            </wp:positionV>
            <wp:extent cx="8255" cy="77152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77152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165100</wp:posOffset>
            </wp:positionV>
            <wp:extent cx="8255" cy="7715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771525"/>
                    </a:xfrm>
                    <a:prstGeom prst="rect">
                      <a:avLst/>
                    </a:prstGeom>
                    <a:noFill/>
                  </pic:spPr>
                </pic:pic>
              </a:graphicData>
            </a:graphic>
          </wp:anchor>
        </w:drawing>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640" w:type="dxa"/>
            <w:vAlign w:val="bottom"/>
            <w:shd w:val="clear" w:color="auto" w:fill="00ADBB"/>
          </w:tcPr>
          <w:p>
            <w:pPr>
              <w:spacing w:after="0"/>
              <w:rPr>
                <w:sz w:val="14"/>
                <w:szCs w:val="14"/>
                <w:color w:val="auto"/>
              </w:rPr>
            </w:pPr>
          </w:p>
        </w:tc>
        <w:tc>
          <w:tcPr>
            <w:tcW w:w="2240" w:type="dxa"/>
            <w:vAlign w:val="bottom"/>
            <w:shd w:val="clear" w:color="auto" w:fill="00ADBB"/>
          </w:tcPr>
          <w:p>
            <w:pPr>
              <w:spacing w:after="0"/>
              <w:rPr>
                <w:sz w:val="14"/>
                <w:szCs w:val="14"/>
                <w:color w:val="auto"/>
              </w:rPr>
            </w:pPr>
          </w:p>
        </w:tc>
        <w:tc>
          <w:tcPr>
            <w:tcW w:w="420" w:type="dxa"/>
            <w:vAlign w:val="bottom"/>
            <w:shd w:val="clear" w:color="auto" w:fill="00ADBB"/>
          </w:tcPr>
          <w:p>
            <w:pPr>
              <w:spacing w:after="0"/>
              <w:rPr>
                <w:sz w:val="14"/>
                <w:szCs w:val="14"/>
                <w:color w:val="auto"/>
              </w:rPr>
            </w:pPr>
          </w:p>
        </w:tc>
        <w:tc>
          <w:tcPr>
            <w:tcW w:w="1480" w:type="dxa"/>
            <w:vAlign w:val="bottom"/>
            <w:shd w:val="clear" w:color="auto" w:fill="00ADBB"/>
          </w:tcPr>
          <w:p>
            <w:pPr>
              <w:jc w:val="center"/>
              <w:ind w:right="448"/>
              <w:spacing w:after="0"/>
              <w:rPr>
                <w:sz w:val="20"/>
                <w:szCs w:val="20"/>
                <w:color w:val="auto"/>
              </w:rPr>
            </w:pPr>
            <w:r>
              <w:rPr>
                <w:rFonts w:ascii="Arial" w:cs="Arial" w:eastAsia="Arial" w:hAnsi="Arial"/>
                <w:sz w:val="14"/>
                <w:szCs w:val="14"/>
                <w:b w:val="1"/>
                <w:bCs w:val="1"/>
                <w:color w:val="FFFFFF"/>
              </w:rPr>
              <w:t>Weighted-</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640" w:type="dxa"/>
            <w:vAlign w:val="bottom"/>
            <w:shd w:val="clear" w:color="auto" w:fill="00ADBB"/>
          </w:tcPr>
          <w:p>
            <w:pPr>
              <w:spacing w:after="0"/>
              <w:rPr>
                <w:sz w:val="14"/>
                <w:szCs w:val="14"/>
                <w:color w:val="auto"/>
              </w:rPr>
            </w:pPr>
          </w:p>
        </w:tc>
        <w:tc>
          <w:tcPr>
            <w:tcW w:w="2240" w:type="dxa"/>
            <w:vAlign w:val="bottom"/>
            <w:shd w:val="clear" w:color="auto" w:fill="00ADBB"/>
          </w:tcPr>
          <w:p>
            <w:pPr>
              <w:jc w:val="center"/>
              <w:ind w:left="88"/>
              <w:spacing w:after="0"/>
              <w:rPr>
                <w:sz w:val="20"/>
                <w:szCs w:val="20"/>
                <w:color w:val="auto"/>
              </w:rPr>
            </w:pPr>
            <w:r>
              <w:rPr>
                <w:rFonts w:ascii="Arial" w:cs="Arial" w:eastAsia="Arial" w:hAnsi="Arial"/>
                <w:sz w:val="14"/>
                <w:szCs w:val="14"/>
                <w:b w:val="1"/>
                <w:bCs w:val="1"/>
                <w:color w:val="FFFFFF"/>
              </w:rPr>
              <w:t>Number of securities</w:t>
            </w:r>
          </w:p>
        </w:tc>
        <w:tc>
          <w:tcPr>
            <w:tcW w:w="1900" w:type="dxa"/>
            <w:vAlign w:val="bottom"/>
            <w:gridSpan w:val="2"/>
            <w:shd w:val="clear" w:color="auto" w:fill="00ADBB"/>
          </w:tcPr>
          <w:p>
            <w:pPr>
              <w:jc w:val="center"/>
              <w:ind w:right="28"/>
              <w:spacing w:after="0"/>
              <w:rPr>
                <w:sz w:val="20"/>
                <w:szCs w:val="20"/>
                <w:color w:val="auto"/>
              </w:rPr>
            </w:pPr>
            <w:r>
              <w:rPr>
                <w:rFonts w:ascii="Arial" w:cs="Arial" w:eastAsia="Arial" w:hAnsi="Arial"/>
                <w:sz w:val="14"/>
                <w:szCs w:val="14"/>
                <w:b w:val="1"/>
                <w:bCs w:val="1"/>
                <w:color w:val="FFFFFF"/>
              </w:rPr>
              <w:t>average exercise</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available for future</w:t>
            </w:r>
          </w:p>
        </w:tc>
      </w:tr>
      <w:tr>
        <w:trPr>
          <w:trHeight w:val="162"/>
        </w:trPr>
        <w:tc>
          <w:tcPr>
            <w:tcW w:w="4640" w:type="dxa"/>
            <w:vAlign w:val="bottom"/>
            <w:shd w:val="clear" w:color="auto" w:fill="00ADBB"/>
          </w:tcPr>
          <w:p>
            <w:pPr>
              <w:spacing w:after="0"/>
              <w:rPr>
                <w:sz w:val="14"/>
                <w:szCs w:val="14"/>
                <w:color w:val="auto"/>
              </w:rPr>
            </w:pPr>
          </w:p>
        </w:tc>
        <w:tc>
          <w:tcPr>
            <w:tcW w:w="2240" w:type="dxa"/>
            <w:vAlign w:val="bottom"/>
            <w:shd w:val="clear" w:color="auto" w:fill="00ADBB"/>
          </w:tcPr>
          <w:p>
            <w:pPr>
              <w:jc w:val="center"/>
              <w:ind w:left="88"/>
              <w:spacing w:after="0"/>
              <w:rPr>
                <w:sz w:val="20"/>
                <w:szCs w:val="20"/>
                <w:color w:val="auto"/>
              </w:rPr>
            </w:pPr>
            <w:r>
              <w:rPr>
                <w:rFonts w:ascii="Arial" w:cs="Arial" w:eastAsia="Arial" w:hAnsi="Arial"/>
                <w:sz w:val="14"/>
                <w:szCs w:val="14"/>
                <w:b w:val="1"/>
                <w:bCs w:val="1"/>
                <w:color w:val="FFFFFF"/>
              </w:rPr>
              <w:t>to be issued upon</w:t>
            </w:r>
          </w:p>
        </w:tc>
        <w:tc>
          <w:tcPr>
            <w:tcW w:w="420" w:type="dxa"/>
            <w:vAlign w:val="bottom"/>
            <w:shd w:val="clear" w:color="auto" w:fill="00ADBB"/>
          </w:tcPr>
          <w:p>
            <w:pPr>
              <w:spacing w:after="0"/>
              <w:rPr>
                <w:sz w:val="14"/>
                <w:szCs w:val="14"/>
                <w:color w:val="auto"/>
              </w:rPr>
            </w:pPr>
          </w:p>
        </w:tc>
        <w:tc>
          <w:tcPr>
            <w:tcW w:w="1480" w:type="dxa"/>
            <w:vAlign w:val="bottom"/>
            <w:shd w:val="clear" w:color="auto" w:fill="00ADBB"/>
          </w:tcPr>
          <w:p>
            <w:pPr>
              <w:jc w:val="center"/>
              <w:ind w:right="448"/>
              <w:spacing w:after="0"/>
              <w:rPr>
                <w:sz w:val="20"/>
                <w:szCs w:val="20"/>
                <w:color w:val="auto"/>
              </w:rPr>
            </w:pPr>
            <w:r>
              <w:rPr>
                <w:rFonts w:ascii="Arial" w:cs="Arial" w:eastAsia="Arial" w:hAnsi="Arial"/>
                <w:sz w:val="14"/>
                <w:szCs w:val="14"/>
                <w:b w:val="1"/>
                <w:bCs w:val="1"/>
                <w:color w:val="FFFFFF"/>
              </w:rPr>
              <w:t>price of</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issuance under</w:t>
            </w:r>
          </w:p>
        </w:tc>
      </w:tr>
      <w:tr>
        <w:trPr>
          <w:trHeight w:val="162"/>
        </w:trPr>
        <w:tc>
          <w:tcPr>
            <w:tcW w:w="4640" w:type="dxa"/>
            <w:vAlign w:val="bottom"/>
            <w:shd w:val="clear" w:color="auto" w:fill="00ADBB"/>
          </w:tcPr>
          <w:p>
            <w:pPr>
              <w:spacing w:after="0"/>
              <w:rPr>
                <w:sz w:val="14"/>
                <w:szCs w:val="14"/>
                <w:color w:val="auto"/>
              </w:rPr>
            </w:pPr>
          </w:p>
        </w:tc>
        <w:tc>
          <w:tcPr>
            <w:tcW w:w="2240" w:type="dxa"/>
            <w:vAlign w:val="bottom"/>
            <w:shd w:val="clear" w:color="auto" w:fill="00ADBB"/>
          </w:tcPr>
          <w:p>
            <w:pPr>
              <w:jc w:val="center"/>
              <w:ind w:left="88"/>
              <w:spacing w:after="0"/>
              <w:rPr>
                <w:sz w:val="20"/>
                <w:szCs w:val="20"/>
                <w:color w:val="auto"/>
              </w:rPr>
            </w:pPr>
            <w:r>
              <w:rPr>
                <w:rFonts w:ascii="Arial" w:cs="Arial" w:eastAsia="Arial" w:hAnsi="Arial"/>
                <w:sz w:val="14"/>
                <w:szCs w:val="14"/>
                <w:b w:val="1"/>
                <w:bCs w:val="1"/>
                <w:color w:val="FFFFFF"/>
              </w:rPr>
              <w:t>exercise of</w:t>
            </w:r>
          </w:p>
        </w:tc>
        <w:tc>
          <w:tcPr>
            <w:tcW w:w="420" w:type="dxa"/>
            <w:vAlign w:val="bottom"/>
            <w:shd w:val="clear" w:color="auto" w:fill="00ADBB"/>
          </w:tcPr>
          <w:p>
            <w:pPr>
              <w:spacing w:after="0"/>
              <w:rPr>
                <w:sz w:val="14"/>
                <w:szCs w:val="14"/>
                <w:color w:val="auto"/>
              </w:rPr>
            </w:pPr>
          </w:p>
        </w:tc>
        <w:tc>
          <w:tcPr>
            <w:tcW w:w="1480" w:type="dxa"/>
            <w:vAlign w:val="bottom"/>
            <w:shd w:val="clear" w:color="auto" w:fill="00ADBB"/>
          </w:tcPr>
          <w:p>
            <w:pPr>
              <w:jc w:val="center"/>
              <w:ind w:right="448"/>
              <w:spacing w:after="0"/>
              <w:rPr>
                <w:sz w:val="20"/>
                <w:szCs w:val="20"/>
                <w:color w:val="auto"/>
              </w:rPr>
            </w:pPr>
            <w:r>
              <w:rPr>
                <w:rFonts w:ascii="Arial" w:cs="Arial" w:eastAsia="Arial" w:hAnsi="Arial"/>
                <w:sz w:val="14"/>
                <w:szCs w:val="14"/>
                <w:b w:val="1"/>
                <w:bCs w:val="1"/>
                <w:color w:val="FFFFFF"/>
              </w:rPr>
              <w:t>outstanding</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equity compensation</w:t>
            </w:r>
          </w:p>
        </w:tc>
      </w:tr>
      <w:tr>
        <w:trPr>
          <w:trHeight w:val="162"/>
        </w:trPr>
        <w:tc>
          <w:tcPr>
            <w:tcW w:w="4640" w:type="dxa"/>
            <w:vAlign w:val="bottom"/>
            <w:shd w:val="clear" w:color="auto" w:fill="00ADBB"/>
          </w:tcPr>
          <w:p>
            <w:pPr>
              <w:spacing w:after="0"/>
              <w:rPr>
                <w:sz w:val="14"/>
                <w:szCs w:val="14"/>
                <w:color w:val="auto"/>
              </w:rPr>
            </w:pPr>
          </w:p>
        </w:tc>
        <w:tc>
          <w:tcPr>
            <w:tcW w:w="2240" w:type="dxa"/>
            <w:vAlign w:val="bottom"/>
            <w:shd w:val="clear" w:color="auto" w:fill="00ADBB"/>
          </w:tcPr>
          <w:p>
            <w:pPr>
              <w:jc w:val="center"/>
              <w:ind w:left="108"/>
              <w:spacing w:after="0"/>
              <w:rPr>
                <w:sz w:val="20"/>
                <w:szCs w:val="20"/>
                <w:color w:val="auto"/>
              </w:rPr>
            </w:pPr>
            <w:r>
              <w:rPr>
                <w:rFonts w:ascii="Arial" w:cs="Arial" w:eastAsia="Arial" w:hAnsi="Arial"/>
                <w:sz w:val="14"/>
                <w:szCs w:val="14"/>
                <w:b w:val="1"/>
                <w:bCs w:val="1"/>
                <w:color w:val="FFFFFF"/>
              </w:rPr>
              <w:t>outstanding</w:t>
            </w:r>
          </w:p>
        </w:tc>
        <w:tc>
          <w:tcPr>
            <w:tcW w:w="420" w:type="dxa"/>
            <w:vAlign w:val="bottom"/>
            <w:shd w:val="clear" w:color="auto" w:fill="00ADBB"/>
          </w:tcPr>
          <w:p>
            <w:pPr>
              <w:spacing w:after="0"/>
              <w:rPr>
                <w:sz w:val="14"/>
                <w:szCs w:val="14"/>
                <w:color w:val="auto"/>
              </w:rPr>
            </w:pPr>
          </w:p>
        </w:tc>
        <w:tc>
          <w:tcPr>
            <w:tcW w:w="1480" w:type="dxa"/>
            <w:vAlign w:val="bottom"/>
            <w:shd w:val="clear" w:color="auto" w:fill="00ADBB"/>
          </w:tcPr>
          <w:p>
            <w:pPr>
              <w:jc w:val="center"/>
              <w:ind w:right="448"/>
              <w:spacing w:after="0"/>
              <w:rPr>
                <w:sz w:val="20"/>
                <w:szCs w:val="20"/>
                <w:color w:val="auto"/>
              </w:rPr>
            </w:pPr>
            <w:r>
              <w:rPr>
                <w:rFonts w:ascii="Arial" w:cs="Arial" w:eastAsia="Arial" w:hAnsi="Arial"/>
                <w:sz w:val="14"/>
                <w:szCs w:val="14"/>
                <w:b w:val="1"/>
                <w:bCs w:val="1"/>
                <w:color w:val="FFFFFF"/>
              </w:rPr>
              <w:t>options,</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plans (excluding</w:t>
            </w:r>
          </w:p>
        </w:tc>
      </w:tr>
      <w:tr>
        <w:trPr>
          <w:trHeight w:val="159"/>
        </w:trPr>
        <w:tc>
          <w:tcPr>
            <w:tcW w:w="4640" w:type="dxa"/>
            <w:vAlign w:val="bottom"/>
            <w:shd w:val="clear" w:color="auto" w:fill="00ADBB"/>
          </w:tcPr>
          <w:p>
            <w:pPr>
              <w:spacing w:after="0"/>
              <w:rPr>
                <w:sz w:val="13"/>
                <w:szCs w:val="13"/>
                <w:color w:val="auto"/>
              </w:rPr>
            </w:pPr>
          </w:p>
        </w:tc>
        <w:tc>
          <w:tcPr>
            <w:tcW w:w="2240" w:type="dxa"/>
            <w:vAlign w:val="bottom"/>
            <w:shd w:val="clear" w:color="auto" w:fill="00ADBB"/>
          </w:tcPr>
          <w:p>
            <w:pPr>
              <w:jc w:val="center"/>
              <w:ind w:left="88"/>
              <w:spacing w:after="0" w:line="159" w:lineRule="exact"/>
              <w:rPr>
                <w:sz w:val="20"/>
                <w:szCs w:val="20"/>
                <w:color w:val="auto"/>
              </w:rPr>
            </w:pPr>
            <w:r>
              <w:rPr>
                <w:rFonts w:ascii="Arial" w:cs="Arial" w:eastAsia="Arial" w:hAnsi="Arial"/>
                <w:sz w:val="14"/>
                <w:szCs w:val="14"/>
                <w:b w:val="1"/>
                <w:bCs w:val="1"/>
                <w:color w:val="FFFFFF"/>
              </w:rPr>
              <w:t>options, warrants,</w:t>
            </w:r>
          </w:p>
        </w:tc>
        <w:tc>
          <w:tcPr>
            <w:tcW w:w="420" w:type="dxa"/>
            <w:vAlign w:val="bottom"/>
            <w:shd w:val="clear" w:color="auto" w:fill="00ADBB"/>
          </w:tcPr>
          <w:p>
            <w:pPr>
              <w:spacing w:after="0"/>
              <w:rPr>
                <w:sz w:val="13"/>
                <w:szCs w:val="13"/>
                <w:color w:val="auto"/>
              </w:rPr>
            </w:pPr>
          </w:p>
        </w:tc>
        <w:tc>
          <w:tcPr>
            <w:tcW w:w="1480" w:type="dxa"/>
            <w:vAlign w:val="bottom"/>
            <w:shd w:val="clear" w:color="auto" w:fill="00ADBB"/>
          </w:tcPr>
          <w:p>
            <w:pPr>
              <w:jc w:val="center"/>
              <w:ind w:right="448"/>
              <w:spacing w:after="0" w:line="159" w:lineRule="exact"/>
              <w:rPr>
                <w:sz w:val="20"/>
                <w:szCs w:val="20"/>
                <w:color w:val="auto"/>
              </w:rPr>
            </w:pPr>
            <w:r>
              <w:rPr>
                <w:rFonts w:ascii="Arial" w:cs="Arial" w:eastAsia="Arial" w:hAnsi="Arial"/>
                <w:sz w:val="14"/>
                <w:szCs w:val="14"/>
                <w:b w:val="1"/>
                <w:bCs w:val="1"/>
                <w:color w:val="FFFFFF"/>
              </w:rPr>
              <w:t>warrants, and</w:t>
            </w:r>
          </w:p>
        </w:tc>
        <w:tc>
          <w:tcPr>
            <w:tcW w:w="1900" w:type="dxa"/>
            <w:vAlign w:val="bottom"/>
            <w:shd w:val="clear" w:color="auto" w:fill="00ADBB"/>
          </w:tcPr>
          <w:p>
            <w:pPr>
              <w:jc w:val="center"/>
              <w:spacing w:after="0" w:line="159" w:lineRule="exact"/>
              <w:rPr>
                <w:sz w:val="20"/>
                <w:szCs w:val="20"/>
                <w:color w:val="auto"/>
              </w:rPr>
            </w:pPr>
            <w:r>
              <w:rPr>
                <w:rFonts w:ascii="Arial" w:cs="Arial" w:eastAsia="Arial" w:hAnsi="Arial"/>
                <w:sz w:val="14"/>
                <w:szCs w:val="14"/>
                <w:b w:val="1"/>
                <w:bCs w:val="1"/>
                <w:color w:val="FFFFFF"/>
              </w:rPr>
              <w:t>securities reflected</w:t>
            </w:r>
          </w:p>
        </w:tc>
      </w:tr>
      <w:tr>
        <w:trPr>
          <w:trHeight w:val="260"/>
        </w:trPr>
        <w:tc>
          <w:tcPr>
            <w:tcW w:w="4640" w:type="dxa"/>
            <w:vAlign w:val="bottom"/>
            <w:shd w:val="clear" w:color="auto" w:fill="00ADBB"/>
          </w:tcPr>
          <w:p>
            <w:pPr>
              <w:ind w:left="100"/>
              <w:spacing w:after="0"/>
              <w:rPr>
                <w:sz w:val="20"/>
                <w:szCs w:val="20"/>
                <w:color w:val="auto"/>
              </w:rPr>
            </w:pPr>
            <w:r>
              <w:rPr>
                <w:rFonts w:ascii="Arial" w:cs="Arial" w:eastAsia="Arial" w:hAnsi="Arial"/>
                <w:sz w:val="14"/>
                <w:szCs w:val="14"/>
                <w:b w:val="1"/>
                <w:bCs w:val="1"/>
                <w:color w:val="FFFFFF"/>
              </w:rPr>
              <w:t>Plan Category</w:t>
            </w:r>
          </w:p>
        </w:tc>
        <w:tc>
          <w:tcPr>
            <w:tcW w:w="2240" w:type="dxa"/>
            <w:vAlign w:val="bottom"/>
            <w:shd w:val="clear" w:color="auto" w:fill="00ADBB"/>
          </w:tcPr>
          <w:p>
            <w:pPr>
              <w:jc w:val="center"/>
              <w:ind w:left="88"/>
              <w:spacing w:after="0" w:line="259" w:lineRule="exact"/>
              <w:rPr>
                <w:sz w:val="20"/>
                <w:szCs w:val="20"/>
                <w:color w:val="auto"/>
              </w:rPr>
            </w:pPr>
            <w:r>
              <w:rPr>
                <w:rFonts w:ascii="Arial" w:cs="Arial" w:eastAsia="Arial" w:hAnsi="Arial"/>
                <w:sz w:val="14"/>
                <w:szCs w:val="14"/>
                <w:b w:val="1"/>
                <w:bCs w:val="1"/>
                <w:color w:val="FFFFFF"/>
                <w:w w:val="96"/>
              </w:rPr>
              <w:t xml:space="preserve">and rights </w:t>
            </w:r>
            <w:r>
              <w:rPr>
                <w:rFonts w:ascii="Arial" w:cs="Arial" w:eastAsia="Arial" w:hAnsi="Arial"/>
                <w:sz w:val="24"/>
                <w:szCs w:val="24"/>
                <w:b w:val="1"/>
                <w:bCs w:val="1"/>
                <w:color w:val="FFFFFF"/>
                <w:w w:val="96"/>
                <w:vertAlign w:val="superscript"/>
              </w:rPr>
              <w:t>(1)</w:t>
            </w:r>
            <w:r>
              <w:rPr>
                <w:rFonts w:ascii="Arial" w:cs="Arial" w:eastAsia="Arial" w:hAnsi="Arial"/>
                <w:sz w:val="14"/>
                <w:szCs w:val="14"/>
                <w:b w:val="1"/>
                <w:bCs w:val="1"/>
                <w:color w:val="FFFFFF"/>
                <w:w w:val="96"/>
              </w:rPr>
              <w:t xml:space="preserve"> (a)</w:t>
            </w:r>
          </w:p>
        </w:tc>
        <w:tc>
          <w:tcPr>
            <w:tcW w:w="420" w:type="dxa"/>
            <w:vAlign w:val="bottom"/>
            <w:shd w:val="clear" w:color="auto" w:fill="00ADBB"/>
          </w:tcPr>
          <w:p>
            <w:pPr>
              <w:spacing w:after="0"/>
              <w:rPr>
                <w:sz w:val="22"/>
                <w:szCs w:val="22"/>
                <w:color w:val="auto"/>
              </w:rPr>
            </w:pPr>
          </w:p>
        </w:tc>
        <w:tc>
          <w:tcPr>
            <w:tcW w:w="1480" w:type="dxa"/>
            <w:vAlign w:val="bottom"/>
            <w:shd w:val="clear" w:color="auto" w:fill="00ADBB"/>
          </w:tcPr>
          <w:p>
            <w:pPr>
              <w:jc w:val="center"/>
              <w:ind w:right="448"/>
              <w:spacing w:after="0"/>
              <w:rPr>
                <w:sz w:val="20"/>
                <w:szCs w:val="20"/>
                <w:color w:val="auto"/>
              </w:rPr>
            </w:pPr>
            <w:r>
              <w:rPr>
                <w:rFonts w:ascii="Arial" w:cs="Arial" w:eastAsia="Arial" w:hAnsi="Arial"/>
                <w:sz w:val="14"/>
                <w:szCs w:val="14"/>
                <w:b w:val="1"/>
                <w:bCs w:val="1"/>
                <w:color w:val="FFFFFF"/>
              </w:rPr>
              <w:t>rights (b)</w:t>
            </w:r>
          </w:p>
        </w:tc>
        <w:tc>
          <w:tcPr>
            <w:tcW w:w="1900" w:type="dxa"/>
            <w:vAlign w:val="bottom"/>
            <w:shd w:val="clear" w:color="auto" w:fill="00ADBB"/>
          </w:tcPr>
          <w:p>
            <w:pPr>
              <w:jc w:val="center"/>
              <w:spacing w:after="0"/>
              <w:rPr>
                <w:sz w:val="20"/>
                <w:szCs w:val="20"/>
                <w:color w:val="auto"/>
              </w:rPr>
            </w:pPr>
            <w:r>
              <w:rPr>
                <w:rFonts w:ascii="Arial" w:cs="Arial" w:eastAsia="Arial" w:hAnsi="Arial"/>
                <w:sz w:val="14"/>
                <w:szCs w:val="14"/>
                <w:b w:val="1"/>
                <w:bCs w:val="1"/>
                <w:color w:val="FFFFFF"/>
              </w:rPr>
              <w:t>in column (a)) (c)</w:t>
            </w:r>
          </w:p>
        </w:tc>
      </w:tr>
      <w:tr>
        <w:trPr>
          <w:trHeight w:val="230"/>
        </w:trPr>
        <w:tc>
          <w:tcPr>
            <w:tcW w:w="464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4C4C4C"/>
              </w:rPr>
              <w:t>Equity compensation plans approved by security holders</w:t>
            </w:r>
          </w:p>
        </w:tc>
        <w:tc>
          <w:tcPr>
            <w:tcW w:w="2240" w:type="dxa"/>
            <w:vAlign w:val="bottom"/>
            <w:tcBorders>
              <w:bottom w:val="single" w:sz="8" w:color="4C4C4C"/>
            </w:tcBorders>
          </w:tcPr>
          <w:p>
            <w:pPr>
              <w:jc w:val="right"/>
              <w:ind w:right="248"/>
              <w:spacing w:after="0"/>
              <w:rPr>
                <w:sz w:val="20"/>
                <w:szCs w:val="20"/>
                <w:color w:val="auto"/>
              </w:rPr>
            </w:pPr>
            <w:r>
              <w:rPr>
                <w:rFonts w:ascii="Arial" w:cs="Arial" w:eastAsia="Arial" w:hAnsi="Arial"/>
                <w:sz w:val="14"/>
                <w:szCs w:val="14"/>
                <w:color w:val="4C4C4C"/>
              </w:rPr>
              <w:t>1,676,190</w:t>
            </w:r>
          </w:p>
        </w:tc>
        <w:tc>
          <w:tcPr>
            <w:tcW w:w="42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4C4C4C"/>
              </w:rPr>
              <w:t>$</w:t>
            </w:r>
          </w:p>
        </w:tc>
        <w:tc>
          <w:tcPr>
            <w:tcW w:w="1480" w:type="dxa"/>
            <w:vAlign w:val="bottom"/>
            <w:tcBorders>
              <w:bottom w:val="single" w:sz="8" w:color="4C4C4C"/>
            </w:tcBorders>
          </w:tcPr>
          <w:p>
            <w:pPr>
              <w:jc w:val="right"/>
              <w:ind w:right="188"/>
              <w:spacing w:after="0" w:line="229" w:lineRule="exact"/>
              <w:rPr>
                <w:sz w:val="20"/>
                <w:szCs w:val="20"/>
                <w:color w:val="auto"/>
              </w:rPr>
            </w:pPr>
            <w:r>
              <w:rPr>
                <w:rFonts w:ascii="Arial" w:cs="Arial" w:eastAsia="Arial" w:hAnsi="Arial"/>
                <w:sz w:val="14"/>
                <w:szCs w:val="14"/>
                <w:color w:val="4C4C4C"/>
              </w:rPr>
              <w:t xml:space="preserve">53.47 </w:t>
            </w:r>
            <w:r>
              <w:rPr>
                <w:rFonts w:ascii="Arial" w:cs="Arial" w:eastAsia="Arial" w:hAnsi="Arial"/>
                <w:sz w:val="24"/>
                <w:szCs w:val="24"/>
                <w:color w:val="4C4C4C"/>
                <w:vertAlign w:val="superscript"/>
              </w:rPr>
              <w:t>(2)</w:t>
            </w:r>
          </w:p>
        </w:tc>
        <w:tc>
          <w:tcPr>
            <w:tcW w:w="1900" w:type="dxa"/>
            <w:vAlign w:val="bottom"/>
            <w:tcBorders>
              <w:bottom w:val="single" w:sz="8" w:color="4C4C4C"/>
            </w:tcBorders>
          </w:tcPr>
          <w:p>
            <w:pPr>
              <w:jc w:val="right"/>
              <w:spacing w:after="0" w:line="229" w:lineRule="exact"/>
              <w:rPr>
                <w:sz w:val="20"/>
                <w:szCs w:val="20"/>
                <w:color w:val="auto"/>
              </w:rPr>
            </w:pPr>
            <w:r>
              <w:rPr>
                <w:rFonts w:ascii="Arial" w:cs="Arial" w:eastAsia="Arial" w:hAnsi="Arial"/>
                <w:sz w:val="14"/>
                <w:szCs w:val="14"/>
                <w:color w:val="4C4C4C"/>
              </w:rPr>
              <w:t xml:space="preserve">5,071,335 </w:t>
            </w:r>
            <w:r>
              <w:rPr>
                <w:rFonts w:ascii="Arial" w:cs="Arial" w:eastAsia="Arial" w:hAnsi="Arial"/>
                <w:sz w:val="24"/>
                <w:szCs w:val="24"/>
                <w:color w:val="4C4C4C"/>
                <w:vertAlign w:val="superscript"/>
              </w:rPr>
              <w:t>(3)</w:t>
            </w:r>
          </w:p>
        </w:tc>
      </w:tr>
      <w:tr>
        <w:trPr>
          <w:trHeight w:val="209"/>
        </w:trPr>
        <w:tc>
          <w:tcPr>
            <w:tcW w:w="4640" w:type="dxa"/>
            <w:vAlign w:val="bottom"/>
            <w:tcBorders>
              <w:bottom w:val="single" w:sz="8" w:color="4C4C4C"/>
            </w:tcBorders>
          </w:tcPr>
          <w:p>
            <w:pPr>
              <w:ind w:left="80"/>
              <w:spacing w:after="0"/>
              <w:rPr>
                <w:sz w:val="20"/>
                <w:szCs w:val="20"/>
                <w:color w:val="auto"/>
              </w:rPr>
            </w:pPr>
            <w:r>
              <w:rPr>
                <w:rFonts w:ascii="Arial" w:cs="Arial" w:eastAsia="Arial" w:hAnsi="Arial"/>
                <w:sz w:val="14"/>
                <w:szCs w:val="14"/>
                <w:color w:val="4C4C4C"/>
              </w:rPr>
              <w:t>Equity compensation plans not approved by security holders</w:t>
            </w:r>
          </w:p>
        </w:tc>
        <w:tc>
          <w:tcPr>
            <w:tcW w:w="2240" w:type="dxa"/>
            <w:vAlign w:val="bottom"/>
            <w:tcBorders>
              <w:bottom w:val="single" w:sz="8" w:color="4C4C4C"/>
            </w:tcBorders>
          </w:tcPr>
          <w:p>
            <w:pPr>
              <w:jc w:val="right"/>
              <w:ind w:right="248"/>
              <w:spacing w:after="0"/>
              <w:rPr>
                <w:sz w:val="20"/>
                <w:szCs w:val="20"/>
                <w:color w:val="auto"/>
              </w:rPr>
            </w:pPr>
            <w:r>
              <w:rPr>
                <w:rFonts w:ascii="Arial" w:cs="Arial" w:eastAsia="Arial" w:hAnsi="Arial"/>
                <w:sz w:val="14"/>
                <w:szCs w:val="14"/>
                <w:color w:val="4C4C4C"/>
              </w:rPr>
              <w:t>-</w:t>
            </w:r>
          </w:p>
        </w:tc>
        <w:tc>
          <w:tcPr>
            <w:tcW w:w="420" w:type="dxa"/>
            <w:vAlign w:val="bottom"/>
            <w:tcBorders>
              <w:bottom w:val="single" w:sz="8" w:color="4C4C4C"/>
            </w:tcBorders>
          </w:tcPr>
          <w:p>
            <w:pPr>
              <w:spacing w:after="0"/>
              <w:rPr>
                <w:sz w:val="18"/>
                <w:szCs w:val="18"/>
                <w:color w:val="auto"/>
              </w:rPr>
            </w:pPr>
          </w:p>
        </w:tc>
        <w:tc>
          <w:tcPr>
            <w:tcW w:w="1480" w:type="dxa"/>
            <w:vAlign w:val="bottom"/>
            <w:tcBorders>
              <w:bottom w:val="single" w:sz="8" w:color="4C4C4C"/>
            </w:tcBorders>
          </w:tcPr>
          <w:p>
            <w:pPr>
              <w:jc w:val="right"/>
              <w:ind w:right="348"/>
              <w:spacing w:after="0"/>
              <w:rPr>
                <w:sz w:val="20"/>
                <w:szCs w:val="20"/>
                <w:color w:val="auto"/>
              </w:rPr>
            </w:pPr>
            <w:r>
              <w:rPr>
                <w:rFonts w:ascii="Arial" w:cs="Arial" w:eastAsia="Arial" w:hAnsi="Arial"/>
                <w:sz w:val="14"/>
                <w:szCs w:val="14"/>
                <w:color w:val="4C4C4C"/>
              </w:rPr>
              <w:t>-</w:t>
            </w:r>
          </w:p>
        </w:tc>
        <w:tc>
          <w:tcPr>
            <w:tcW w:w="1900" w:type="dxa"/>
            <w:vAlign w:val="bottom"/>
            <w:tcBorders>
              <w:bottom w:val="single" w:sz="8" w:color="4C4C4C"/>
            </w:tcBorders>
          </w:tcPr>
          <w:p>
            <w:pPr>
              <w:jc w:val="right"/>
              <w:ind w:right="128"/>
              <w:spacing w:after="0"/>
              <w:rPr>
                <w:sz w:val="20"/>
                <w:szCs w:val="20"/>
                <w:color w:val="auto"/>
              </w:rPr>
            </w:pPr>
            <w:r>
              <w:rPr>
                <w:rFonts w:ascii="Arial" w:cs="Arial" w:eastAsia="Arial" w:hAnsi="Arial"/>
                <w:sz w:val="14"/>
                <w:szCs w:val="14"/>
                <w:color w:val="4C4C4C"/>
              </w:rPr>
              <w:t>-</w:t>
            </w:r>
          </w:p>
        </w:tc>
      </w:tr>
      <w:tr>
        <w:trPr>
          <w:trHeight w:val="209"/>
        </w:trPr>
        <w:tc>
          <w:tcPr>
            <w:tcW w:w="4640" w:type="dxa"/>
            <w:vAlign w:val="bottom"/>
            <w:tcBorders>
              <w:bottom w:val="single" w:sz="8" w:color="4C4C4C"/>
            </w:tcBorders>
            <w:shd w:val="clear" w:color="auto" w:fill="E5F6F8"/>
          </w:tcPr>
          <w:p>
            <w:pPr>
              <w:ind w:left="80"/>
              <w:spacing w:after="0"/>
              <w:rPr>
                <w:sz w:val="20"/>
                <w:szCs w:val="20"/>
                <w:color w:val="auto"/>
              </w:rPr>
            </w:pPr>
            <w:r>
              <w:rPr>
                <w:rFonts w:ascii="Arial" w:cs="Arial" w:eastAsia="Arial" w:hAnsi="Arial"/>
                <w:sz w:val="14"/>
                <w:szCs w:val="14"/>
                <w:color w:val="4C4C4C"/>
              </w:rPr>
              <w:t>Total</w:t>
            </w:r>
          </w:p>
        </w:tc>
        <w:tc>
          <w:tcPr>
            <w:tcW w:w="2240" w:type="dxa"/>
            <w:vAlign w:val="bottom"/>
            <w:tcBorders>
              <w:bottom w:val="single" w:sz="8" w:color="4C4C4C"/>
            </w:tcBorders>
            <w:shd w:val="clear" w:color="auto" w:fill="E5F6F8"/>
          </w:tcPr>
          <w:p>
            <w:pPr>
              <w:jc w:val="right"/>
              <w:ind w:right="248"/>
              <w:spacing w:after="0"/>
              <w:rPr>
                <w:sz w:val="20"/>
                <w:szCs w:val="20"/>
                <w:color w:val="auto"/>
              </w:rPr>
            </w:pPr>
            <w:r>
              <w:rPr>
                <w:rFonts w:ascii="Arial" w:cs="Arial" w:eastAsia="Arial" w:hAnsi="Arial"/>
                <w:sz w:val="14"/>
                <w:szCs w:val="14"/>
                <w:color w:val="4C4C4C"/>
              </w:rPr>
              <w:t>1,676,190</w:t>
            </w:r>
          </w:p>
        </w:tc>
        <w:tc>
          <w:tcPr>
            <w:tcW w:w="420" w:type="dxa"/>
            <w:vAlign w:val="bottom"/>
            <w:tcBorders>
              <w:bottom w:val="single" w:sz="8" w:color="4C4C4C"/>
            </w:tcBorders>
            <w:shd w:val="clear" w:color="auto" w:fill="E5F6F8"/>
          </w:tcPr>
          <w:p>
            <w:pPr>
              <w:spacing w:after="0"/>
              <w:rPr>
                <w:sz w:val="18"/>
                <w:szCs w:val="18"/>
                <w:color w:val="auto"/>
              </w:rPr>
            </w:pPr>
          </w:p>
        </w:tc>
        <w:tc>
          <w:tcPr>
            <w:tcW w:w="1480" w:type="dxa"/>
            <w:vAlign w:val="bottom"/>
            <w:tcBorders>
              <w:bottom w:val="single" w:sz="8" w:color="4C4C4C"/>
            </w:tcBorders>
            <w:shd w:val="clear" w:color="auto" w:fill="E5F6F8"/>
          </w:tcPr>
          <w:p>
            <w:pPr>
              <w:spacing w:after="0"/>
              <w:rPr>
                <w:sz w:val="18"/>
                <w:szCs w:val="18"/>
                <w:color w:val="auto"/>
              </w:rPr>
            </w:pPr>
          </w:p>
        </w:tc>
        <w:tc>
          <w:tcPr>
            <w:tcW w:w="1900" w:type="dxa"/>
            <w:vAlign w:val="bottom"/>
            <w:tcBorders>
              <w:bottom w:val="single" w:sz="8" w:color="4C4C4C"/>
            </w:tcBorders>
            <w:shd w:val="clear" w:color="auto" w:fill="E5F6F8"/>
          </w:tcPr>
          <w:p>
            <w:pPr>
              <w:jc w:val="right"/>
              <w:ind w:right="128"/>
              <w:spacing w:after="0"/>
              <w:rPr>
                <w:sz w:val="20"/>
                <w:szCs w:val="20"/>
                <w:color w:val="auto"/>
              </w:rPr>
            </w:pPr>
            <w:r>
              <w:rPr>
                <w:rFonts w:ascii="Arial" w:cs="Arial" w:eastAsia="Arial" w:hAnsi="Arial"/>
                <w:sz w:val="14"/>
                <w:szCs w:val="14"/>
                <w:color w:val="4C4C4C"/>
              </w:rPr>
              <w:t>5,071,335</w:t>
            </w:r>
          </w:p>
        </w:tc>
      </w:tr>
    </w:tbl>
    <w:p>
      <w:pPr>
        <w:spacing w:after="0" w:line="121" w:lineRule="exact"/>
        <w:rPr>
          <w:sz w:val="20"/>
          <w:szCs w:val="20"/>
          <w:color w:val="auto"/>
        </w:rPr>
      </w:pPr>
    </w:p>
    <w:p>
      <w:pPr>
        <w:ind w:left="700" w:right="560" w:hanging="419"/>
        <w:spacing w:after="0"/>
        <w:tabs>
          <w:tab w:leader="none" w:pos="700" w:val="left"/>
        </w:tabs>
        <w:numPr>
          <w:ilvl w:val="0"/>
          <w:numId w:val="152"/>
        </w:numPr>
        <w:rPr>
          <w:rFonts w:ascii="Arial" w:cs="Arial" w:eastAsia="Arial" w:hAnsi="Arial"/>
          <w:sz w:val="18"/>
          <w:szCs w:val="18"/>
          <w:color w:val="4C4C4C"/>
        </w:rPr>
      </w:pPr>
      <w:r>
        <w:rPr>
          <w:rFonts w:ascii="Arial" w:cs="Arial" w:eastAsia="Arial" w:hAnsi="Arial"/>
          <w:sz w:val="18"/>
          <w:szCs w:val="18"/>
          <w:color w:val="4C4C4C"/>
        </w:rPr>
        <w:t>Represents the number of underlying Shares associated with outstanding NQSOs (187,371), RSUs (777,463) and PSUs (680,950), assuming the maximum number of PSUs will be earned) under the Employee Plan, and RSUs (30,406) under the Director Plan.</w:t>
      </w:r>
    </w:p>
    <w:p>
      <w:pPr>
        <w:spacing w:after="0" w:line="67" w:lineRule="exact"/>
        <w:rPr>
          <w:rFonts w:ascii="Arial" w:cs="Arial" w:eastAsia="Arial" w:hAnsi="Arial"/>
          <w:sz w:val="18"/>
          <w:szCs w:val="18"/>
          <w:color w:val="4C4C4C"/>
        </w:rPr>
      </w:pPr>
    </w:p>
    <w:p>
      <w:pPr>
        <w:ind w:left="700" w:hanging="419"/>
        <w:spacing w:after="0"/>
        <w:tabs>
          <w:tab w:leader="none" w:pos="700" w:val="left"/>
        </w:tabs>
        <w:numPr>
          <w:ilvl w:val="0"/>
          <w:numId w:val="152"/>
        </w:numPr>
        <w:rPr>
          <w:rFonts w:ascii="Arial" w:cs="Arial" w:eastAsia="Arial" w:hAnsi="Arial"/>
          <w:sz w:val="18"/>
          <w:szCs w:val="18"/>
          <w:color w:val="4C4C4C"/>
        </w:rPr>
      </w:pPr>
      <w:r>
        <w:rPr>
          <w:rFonts w:ascii="Arial" w:cs="Arial" w:eastAsia="Arial" w:hAnsi="Arial"/>
          <w:sz w:val="18"/>
          <w:szCs w:val="18"/>
          <w:color w:val="4C4C4C"/>
        </w:rPr>
        <w:t>Represents the weighted-average exercise price of outstanding options only (NQSOs were granted in 2018 only).</w:t>
      </w:r>
    </w:p>
    <w:p>
      <w:pPr>
        <w:spacing w:after="0" w:line="76" w:lineRule="exact"/>
        <w:rPr>
          <w:rFonts w:ascii="Arial" w:cs="Arial" w:eastAsia="Arial" w:hAnsi="Arial"/>
          <w:sz w:val="18"/>
          <w:szCs w:val="18"/>
          <w:color w:val="4C4C4C"/>
        </w:rPr>
      </w:pPr>
    </w:p>
    <w:p>
      <w:pPr>
        <w:jc w:val="both"/>
        <w:ind w:left="700" w:right="460" w:hanging="419"/>
        <w:spacing w:after="0"/>
        <w:tabs>
          <w:tab w:leader="none" w:pos="700" w:val="left"/>
        </w:tabs>
        <w:numPr>
          <w:ilvl w:val="0"/>
          <w:numId w:val="152"/>
        </w:numPr>
        <w:rPr>
          <w:rFonts w:ascii="Arial" w:cs="Arial" w:eastAsia="Arial" w:hAnsi="Arial"/>
          <w:sz w:val="18"/>
          <w:szCs w:val="18"/>
          <w:color w:val="4C4C4C"/>
        </w:rPr>
      </w:pPr>
      <w:r>
        <w:rPr>
          <w:rFonts w:ascii="Arial" w:cs="Arial" w:eastAsia="Arial" w:hAnsi="Arial"/>
          <w:sz w:val="18"/>
          <w:szCs w:val="18"/>
          <w:color w:val="4C4C4C"/>
        </w:rPr>
        <w:t>The Shares authorized in the following plans are available for future issuance: Employee Plan – 4,388,253 (out of 7,000,000); Director Plan – 308,827 (out of 400,000); and Brighthouse Financial, Inc. Employee Stock Purchase Plan (“</w:t>
      </w:r>
      <w:r>
        <w:rPr>
          <w:rFonts w:ascii="Arial" w:cs="Arial" w:eastAsia="Arial" w:hAnsi="Arial"/>
          <w:sz w:val="18"/>
          <w:szCs w:val="18"/>
          <w:b w:val="1"/>
          <w:bCs w:val="1"/>
          <w:color w:val="00ADBB"/>
        </w:rPr>
        <w:t>ESPP</w:t>
      </w:r>
      <w:r>
        <w:rPr>
          <w:rFonts w:ascii="Arial" w:cs="Arial" w:eastAsia="Arial" w:hAnsi="Arial"/>
          <w:sz w:val="18"/>
          <w:szCs w:val="18"/>
          <w:color w:val="4C4C4C"/>
        </w:rPr>
        <w:t>”) – 374,255 (out of 600,000). As of December 31, 2020, no Shares were subject to an outstanding right to purchase under the ESPP.</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CEO Pay Ratio</w:t>
      </w:r>
    </w:p>
    <w:p>
      <w:pPr>
        <w:spacing w:after="0" w:line="125" w:lineRule="exact"/>
        <w:rPr>
          <w:sz w:val="20"/>
          <w:szCs w:val="20"/>
          <w:color w:val="auto"/>
        </w:rPr>
      </w:pPr>
    </w:p>
    <w:p>
      <w:pPr>
        <w:ind w:left="280" w:right="300"/>
        <w:spacing w:after="0" w:line="236" w:lineRule="auto"/>
        <w:rPr>
          <w:sz w:val="20"/>
          <w:szCs w:val="20"/>
          <w:color w:val="auto"/>
        </w:rPr>
      </w:pPr>
      <w:r>
        <w:rPr>
          <w:rFonts w:ascii="Arial" w:cs="Arial" w:eastAsia="Arial" w:hAnsi="Arial"/>
          <w:sz w:val="18"/>
          <w:szCs w:val="18"/>
          <w:color w:val="4C4C4C"/>
        </w:rPr>
        <w:t xml:space="preserve">We have calculated the reasonably estimated ratio of the CEO’s 2020 compensation to the median of the annual total compensation of all employees using the same method we used in our 2020 and 2019 proxy statements with respect to compensation in 2019 and 2020, respectively. For the 2020 pay ratio calculation, we used the same median employee we identified for our 2018 pay ratio calculation because there have been no changes to our employee population or employee compensation arrangements that we believe would significantly impact our pay ratio disclosure. We calculated the median employee’s compensation in accordance with rules governing computation of the CEO’s pay in the Summary Compensation Table. The median of the annual total compensation of all Brighthouse employees (other than our CEO) was $184,185, and the total compensation of our CEO, as reported in the </w:t>
      </w:r>
      <w:r>
        <w:rPr>
          <w:rFonts w:ascii="Arial" w:cs="Arial" w:eastAsia="Arial" w:hAnsi="Arial"/>
          <w:sz w:val="18"/>
          <w:szCs w:val="18"/>
          <w:color w:val="00ADBB"/>
        </w:rPr>
        <w:t>Summary</w:t>
      </w:r>
      <w:r>
        <w:rPr>
          <w:rFonts w:ascii="Arial" w:cs="Arial" w:eastAsia="Arial" w:hAnsi="Arial"/>
          <w:sz w:val="18"/>
          <w:szCs w:val="18"/>
          <w:color w:val="4C4C4C"/>
        </w:rPr>
        <w:t xml:space="preserve"> </w:t>
      </w:r>
      <w:r>
        <w:rPr>
          <w:rFonts w:ascii="Arial" w:cs="Arial" w:eastAsia="Arial" w:hAnsi="Arial"/>
          <w:sz w:val="18"/>
          <w:szCs w:val="18"/>
          <w:color w:val="00ADBB"/>
        </w:rPr>
        <w:t>Compensation Table</w:t>
      </w:r>
      <w:r>
        <w:rPr>
          <w:rFonts w:ascii="Arial" w:cs="Arial" w:eastAsia="Arial" w:hAnsi="Arial"/>
          <w:sz w:val="18"/>
          <w:szCs w:val="18"/>
          <w:color w:val="4C4C4C"/>
        </w:rPr>
        <w:t>, was $8,133,344.</w:t>
      </w:r>
      <w:r>
        <w:rPr>
          <w:rFonts w:ascii="Arial" w:cs="Arial" w:eastAsia="Arial" w:hAnsi="Arial"/>
          <w:sz w:val="18"/>
          <w:szCs w:val="18"/>
          <w:color w:val="00ADBB"/>
        </w:rPr>
        <w:t xml:space="preserve"> </w:t>
      </w:r>
      <w:r>
        <w:rPr>
          <w:rFonts w:ascii="Arial" w:cs="Arial" w:eastAsia="Arial" w:hAnsi="Arial"/>
          <w:sz w:val="18"/>
          <w:szCs w:val="18"/>
          <w:b w:val="1"/>
          <w:bCs w:val="1"/>
          <w:color w:val="3F3F3F"/>
        </w:rPr>
        <w:t>Based on this information, for 2020 the reasonably estimated ratio of the annual total</w:t>
      </w:r>
      <w:r>
        <w:rPr>
          <w:rFonts w:ascii="Arial" w:cs="Arial" w:eastAsia="Arial" w:hAnsi="Arial"/>
          <w:sz w:val="18"/>
          <w:szCs w:val="18"/>
          <w:color w:val="00ADBB"/>
        </w:rPr>
        <w:t xml:space="preserve"> </w:t>
      </w:r>
      <w:r>
        <w:rPr>
          <w:rFonts w:ascii="Arial" w:cs="Arial" w:eastAsia="Arial" w:hAnsi="Arial"/>
          <w:sz w:val="18"/>
          <w:szCs w:val="18"/>
          <w:b w:val="1"/>
          <w:bCs w:val="1"/>
          <w:color w:val="3F3F3F"/>
        </w:rPr>
        <w:t>compensation of our CEO to the median of the annual total compensation of all employees was 44 to 1.</w:t>
      </w:r>
    </w:p>
    <w:p>
      <w:pPr>
        <w:spacing w:after="0" w:line="99" w:lineRule="exact"/>
        <w:rPr>
          <w:sz w:val="20"/>
          <w:szCs w:val="20"/>
          <w:color w:val="auto"/>
        </w:rPr>
      </w:pPr>
    </w:p>
    <w:p>
      <w:pPr>
        <w:ind w:left="280" w:right="520"/>
        <w:spacing w:after="0"/>
        <w:rPr>
          <w:sz w:val="20"/>
          <w:szCs w:val="20"/>
          <w:color w:val="auto"/>
        </w:rPr>
      </w:pPr>
      <w:r>
        <w:rPr>
          <w:rFonts w:ascii="Arial" w:cs="Arial" w:eastAsia="Arial" w:hAnsi="Arial"/>
          <w:sz w:val="18"/>
          <w:szCs w:val="18"/>
          <w:color w:val="4C4C4C"/>
        </w:rPr>
        <w:t>The ratio and total compensation amount may not be directly comparable to those of other companies because the methodologies and assumptions used to identify the median employee and determine that employee’s total compensation, the composition and location of the workforce, and other factors may vary significantly among companies.</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76 | 2021 Proxy Statement</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78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Certain Relationships and Related Person Transactions</w:t>
      </w:r>
    </w:p>
    <w:p>
      <w:pPr>
        <w:spacing w:after="0" w:line="211" w:lineRule="exact"/>
        <w:rPr>
          <w:sz w:val="20"/>
          <w:szCs w:val="20"/>
          <w:color w:val="auto"/>
        </w:rPr>
      </w:pPr>
    </w:p>
    <w:p>
      <w:pPr>
        <w:ind w:left="120" w:right="2420"/>
        <w:spacing w:after="0" w:line="281" w:lineRule="auto"/>
        <w:rPr>
          <w:sz w:val="20"/>
          <w:szCs w:val="20"/>
          <w:color w:val="auto"/>
        </w:rPr>
      </w:pPr>
      <w:r>
        <w:rPr>
          <w:rFonts w:ascii="Arial" w:cs="Arial" w:eastAsia="Arial" w:hAnsi="Arial"/>
          <w:sz w:val="43"/>
          <w:szCs w:val="43"/>
          <w:b w:val="1"/>
          <w:bCs w:val="1"/>
          <w:color w:val="00ADBB"/>
        </w:rPr>
        <w:t>Certain Relationships and Related Person Transactions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Related Person Transaction Approval Policy</w:t>
      </w:r>
    </w:p>
    <w:p>
      <w:pPr>
        <w:spacing w:after="0" w:line="12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4C4C4C"/>
        </w:rPr>
        <w:t>The Board has adopted a written related person transaction approval policy pursuant to which our Nominating and Corporate Governance Committee, or for so long as any member of such committee is not an independent director, a committee of the Board consisting of the independent members of the Nominating and Corporate Governance Committee, will review and approve or take such other action as it may deem appropriate with respect to certain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 “</w:t>
      </w:r>
      <w:r>
        <w:rPr>
          <w:rFonts w:ascii="Arial" w:cs="Arial" w:eastAsia="Arial" w:hAnsi="Arial"/>
          <w:sz w:val="18"/>
          <w:szCs w:val="18"/>
          <w:b w:val="1"/>
          <w:bCs w:val="1"/>
          <w:color w:val="00ADBB"/>
        </w:rPr>
        <w:t>Related Person</w:t>
      </w:r>
      <w:r>
        <w:rPr>
          <w:rFonts w:ascii="Arial" w:cs="Arial" w:eastAsia="Arial" w:hAnsi="Arial"/>
          <w:sz w:val="18"/>
          <w:szCs w:val="18"/>
          <w:color w:val="4C4C4C"/>
        </w:rPr>
        <w:t>” is a Director, Director nominee, Executive Officer, immediate family members of the above, holders of more than 5%</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of our outstanding Shares, or any entity in which any of the foregoing people holds a beneficial ownership interest of 10% or more. A</w:t>
      </w:r>
    </w:p>
    <w:p>
      <w:pPr>
        <w:ind w:left="120"/>
        <w:spacing w:after="0" w:line="234" w:lineRule="auto"/>
        <w:rPr>
          <w:sz w:val="20"/>
          <w:szCs w:val="20"/>
          <w:color w:val="auto"/>
        </w:rPr>
      </w:pPr>
      <w:r>
        <w:rPr>
          <w:rFonts w:ascii="Arial" w:cs="Arial" w:eastAsia="Arial" w:hAnsi="Arial"/>
          <w:sz w:val="18"/>
          <w:szCs w:val="18"/>
          <w:color w:val="4C4C4C"/>
        </w:rPr>
        <w:t>“</w:t>
      </w:r>
      <w:r>
        <w:rPr>
          <w:rFonts w:ascii="Arial" w:cs="Arial" w:eastAsia="Arial" w:hAnsi="Arial"/>
          <w:sz w:val="18"/>
          <w:szCs w:val="18"/>
          <w:b w:val="1"/>
          <w:bCs w:val="1"/>
          <w:color w:val="00ADBB"/>
        </w:rPr>
        <w:t>Related Person Transaction</w:t>
      </w:r>
      <w:r>
        <w:rPr>
          <w:rFonts w:ascii="Arial" w:cs="Arial" w:eastAsia="Arial" w:hAnsi="Arial"/>
          <w:sz w:val="18"/>
          <w:szCs w:val="18"/>
          <w:color w:val="4C4C4C"/>
        </w:rPr>
        <w:t>” is any transaction, arrangement, or relationship of $120,000 or more in a fiscal year in which Brighthouse</w:t>
      </w:r>
    </w:p>
    <w:p>
      <w:pPr>
        <w:ind w:left="120"/>
        <w:spacing w:after="0" w:line="235" w:lineRule="auto"/>
        <w:rPr>
          <w:sz w:val="20"/>
          <w:szCs w:val="20"/>
          <w:color w:val="auto"/>
        </w:rPr>
      </w:pPr>
      <w:r>
        <w:rPr>
          <w:rFonts w:ascii="Arial" w:cs="Arial" w:eastAsia="Arial" w:hAnsi="Arial"/>
          <w:sz w:val="18"/>
          <w:szCs w:val="18"/>
          <w:color w:val="4C4C4C"/>
        </w:rPr>
        <w:t>is a participant and the Related Person has a direct or indirect material interest. Under the Related Person Transaction Policy, the</w:t>
      </w:r>
    </w:p>
    <w:p>
      <w:pPr>
        <w:ind w:left="120"/>
        <w:spacing w:after="0" w:line="235" w:lineRule="auto"/>
        <w:rPr>
          <w:sz w:val="20"/>
          <w:szCs w:val="20"/>
          <w:color w:val="auto"/>
        </w:rPr>
      </w:pPr>
      <w:r>
        <w:rPr>
          <w:rFonts w:ascii="Arial" w:cs="Arial" w:eastAsia="Arial" w:hAnsi="Arial"/>
          <w:sz w:val="18"/>
          <w:szCs w:val="18"/>
          <w:color w:val="4C4C4C"/>
        </w:rPr>
        <w:t>Nominating and Corporate Governance Committee reviews the Related Person Transaction in question to determine whether it is</w:t>
      </w:r>
    </w:p>
    <w:p>
      <w:pPr>
        <w:ind w:left="120"/>
        <w:spacing w:after="0" w:line="235" w:lineRule="auto"/>
        <w:rPr>
          <w:sz w:val="20"/>
          <w:szCs w:val="20"/>
          <w:color w:val="auto"/>
        </w:rPr>
      </w:pPr>
      <w:r>
        <w:rPr>
          <w:rFonts w:ascii="Arial" w:cs="Arial" w:eastAsia="Arial" w:hAnsi="Arial"/>
          <w:sz w:val="18"/>
          <w:szCs w:val="18"/>
          <w:color w:val="4C4C4C"/>
        </w:rPr>
        <w:t>inconsistent with Brighthouse’s best interests. If the Nominating and Corporate Governance Committee determines that the Related</w:t>
      </w:r>
    </w:p>
    <w:p>
      <w:pPr>
        <w:ind w:left="120"/>
        <w:spacing w:after="0"/>
        <w:rPr>
          <w:sz w:val="20"/>
          <w:szCs w:val="20"/>
          <w:color w:val="auto"/>
        </w:rPr>
      </w:pPr>
      <w:r>
        <w:rPr>
          <w:rFonts w:ascii="Arial" w:cs="Arial" w:eastAsia="Arial" w:hAnsi="Arial"/>
          <w:sz w:val="18"/>
          <w:szCs w:val="18"/>
          <w:color w:val="4C4C4C"/>
        </w:rPr>
        <w:t>Person Transaction is not inconsistent with Brighthouse’s best interests, then it may approve or ratify the Related Person Transaction.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Security Ownership of Certain Beneficial Owners and Management</w:t>
      </w:r>
    </w:p>
    <w:p>
      <w:pPr>
        <w:spacing w:after="0" w:line="125"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4C4C4C"/>
        </w:rPr>
        <w:t>The following table shows the number of Shares beneficially owned by each of the Directors and NEOs of Brighthouse, and all the Directors and executive officers as a group. Information in this table is reported as of the Record Date, April 13, 2021.</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Shares beneficially owned include, to the extent applicable to a Director, NEO, or executive officer:</w:t>
      </w:r>
    </w:p>
    <w:p>
      <w:pPr>
        <w:ind w:left="340" w:hanging="224"/>
        <w:spacing w:after="0" w:line="234" w:lineRule="auto"/>
        <w:tabs>
          <w:tab w:leader="none" w:pos="340" w:val="left"/>
        </w:tabs>
        <w:numPr>
          <w:ilvl w:val="0"/>
          <w:numId w:val="153"/>
        </w:numPr>
        <w:rPr>
          <w:rFonts w:ascii="Arial" w:cs="Arial" w:eastAsia="Arial" w:hAnsi="Arial"/>
          <w:sz w:val="18"/>
          <w:szCs w:val="18"/>
          <w:color w:val="4C4C4C"/>
        </w:rPr>
      </w:pPr>
      <w:r>
        <w:rPr>
          <w:rFonts w:ascii="Arial" w:cs="Arial" w:eastAsia="Arial" w:hAnsi="Arial"/>
          <w:sz w:val="18"/>
          <w:szCs w:val="18"/>
          <w:color w:val="4C4C4C"/>
        </w:rPr>
        <w:t>securities held in each individual’s name;</w:t>
      </w:r>
    </w:p>
    <w:p>
      <w:pPr>
        <w:ind w:left="340" w:hanging="224"/>
        <w:spacing w:after="0" w:line="234" w:lineRule="auto"/>
        <w:tabs>
          <w:tab w:leader="none" w:pos="340" w:val="left"/>
        </w:tabs>
        <w:numPr>
          <w:ilvl w:val="0"/>
          <w:numId w:val="153"/>
        </w:numPr>
        <w:rPr>
          <w:rFonts w:ascii="Arial" w:cs="Arial" w:eastAsia="Arial" w:hAnsi="Arial"/>
          <w:sz w:val="18"/>
          <w:szCs w:val="18"/>
          <w:color w:val="4C4C4C"/>
        </w:rPr>
      </w:pPr>
      <w:r>
        <w:rPr>
          <w:rFonts w:ascii="Arial" w:cs="Arial" w:eastAsia="Arial" w:hAnsi="Arial"/>
          <w:sz w:val="18"/>
          <w:szCs w:val="18"/>
          <w:color w:val="4C4C4C"/>
        </w:rPr>
        <w:t>securities held by a broker for the benefit of the individual;</w:t>
      </w:r>
    </w:p>
    <w:p>
      <w:pPr>
        <w:ind w:left="340" w:hanging="224"/>
        <w:spacing w:after="0" w:line="234" w:lineRule="auto"/>
        <w:tabs>
          <w:tab w:leader="none" w:pos="340" w:val="left"/>
        </w:tabs>
        <w:numPr>
          <w:ilvl w:val="0"/>
          <w:numId w:val="153"/>
        </w:numPr>
        <w:rPr>
          <w:rFonts w:ascii="Arial" w:cs="Arial" w:eastAsia="Arial" w:hAnsi="Arial"/>
          <w:sz w:val="18"/>
          <w:szCs w:val="18"/>
          <w:color w:val="4C4C4C"/>
        </w:rPr>
      </w:pPr>
      <w:r>
        <w:rPr>
          <w:rFonts w:ascii="Arial" w:cs="Arial" w:eastAsia="Arial" w:hAnsi="Arial"/>
          <w:sz w:val="18"/>
          <w:szCs w:val="18"/>
          <w:color w:val="4C4C4C"/>
        </w:rPr>
        <w:t>securities to which the individual has the right to acquire beneficial ownership within the following 60 days; and</w:t>
      </w:r>
    </w:p>
    <w:p>
      <w:pPr>
        <w:ind w:left="340" w:right="180" w:hanging="224"/>
        <w:spacing w:after="0" w:line="246" w:lineRule="auto"/>
        <w:tabs>
          <w:tab w:leader="none" w:pos="340" w:val="left"/>
        </w:tabs>
        <w:numPr>
          <w:ilvl w:val="0"/>
          <w:numId w:val="153"/>
        </w:numPr>
        <w:rPr>
          <w:rFonts w:ascii="Arial" w:cs="Arial" w:eastAsia="Arial" w:hAnsi="Arial"/>
          <w:sz w:val="18"/>
          <w:szCs w:val="18"/>
          <w:color w:val="4C4C4C"/>
        </w:rPr>
      </w:pPr>
      <w:r>
        <w:rPr>
          <w:rFonts w:ascii="Arial" w:cs="Arial" w:eastAsia="Arial" w:hAnsi="Arial"/>
          <w:sz w:val="18"/>
          <w:szCs w:val="18"/>
          <w:color w:val="4C4C4C"/>
        </w:rPr>
        <w:t>other securities for which the individual may directly or indirectly have or share voting power or investment power (including the power to direct the disposition of the securities).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77</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Certain Relationships and Related Person Transactions</w:t>
      </w:r>
      <w:r>
        <w:rPr>
          <w:sz w:val="20"/>
          <w:szCs w:val="20"/>
          <w:color w:val="auto"/>
        </w:rPr>
        <w:tab/>
      </w:r>
      <w:r>
        <w:rPr>
          <w:rFonts w:ascii="Arial" w:cs="Arial" w:eastAsia="Arial" w:hAnsi="Arial"/>
          <w:sz w:val="12"/>
          <w:szCs w:val="12"/>
          <w:b w:val="1"/>
          <w:bCs w:val="1"/>
          <w:color w:val="00ADBB"/>
        </w:rPr>
        <w:t>Brighthouse Financial, Inc.</w:t>
      </w:r>
    </w:p>
    <w:p>
      <w:pPr>
        <w:spacing w:after="0" w:line="331" w:lineRule="exact"/>
        <w:rPr>
          <w:sz w:val="20"/>
          <w:szCs w:val="20"/>
          <w:color w:val="auto"/>
        </w:rPr>
      </w:pPr>
    </w:p>
    <w:p>
      <w:pPr>
        <w:ind w:left="280" w:right="640"/>
        <w:spacing w:after="0" w:line="246" w:lineRule="auto"/>
        <w:rPr>
          <w:sz w:val="20"/>
          <w:szCs w:val="20"/>
          <w:color w:val="auto"/>
        </w:rPr>
      </w:pPr>
      <w:r>
        <w:rPr>
          <w:rFonts w:ascii="Arial" w:cs="Arial" w:eastAsia="Arial" w:hAnsi="Arial"/>
          <w:sz w:val="18"/>
          <w:szCs w:val="18"/>
          <w:color w:val="4C4C4C"/>
        </w:rPr>
        <w:t>The address of each beneficial owner presented in the following table is c/o Brighthouse Financial, Inc., 11225 North Community House Road, Charlotte, North Carolina 28277.</w:t>
      </w:r>
    </w:p>
    <w:p>
      <w:pPr>
        <w:spacing w:after="0" w:line="197"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220" w:type="dxa"/>
            <w:vAlign w:val="bottom"/>
            <w:shd w:val="clear" w:color="auto" w:fill="00ADBB"/>
          </w:tcPr>
          <w:p>
            <w:pPr>
              <w:spacing w:after="0"/>
              <w:rPr>
                <w:sz w:val="17"/>
                <w:szCs w:val="17"/>
                <w:color w:val="auto"/>
              </w:rPr>
            </w:pPr>
          </w:p>
        </w:tc>
        <w:tc>
          <w:tcPr>
            <w:tcW w:w="2820" w:type="dxa"/>
            <w:vAlign w:val="bottom"/>
            <w:shd w:val="clear" w:color="auto" w:fill="00ADBB"/>
          </w:tcPr>
          <w:p>
            <w:pPr>
              <w:jc w:val="center"/>
              <w:ind w:right="90"/>
              <w:spacing w:after="0"/>
              <w:rPr>
                <w:sz w:val="20"/>
                <w:szCs w:val="20"/>
                <w:color w:val="auto"/>
              </w:rPr>
            </w:pPr>
            <w:r>
              <w:rPr>
                <w:rFonts w:ascii="Arial" w:cs="Arial" w:eastAsia="Arial" w:hAnsi="Arial"/>
                <w:sz w:val="18"/>
                <w:szCs w:val="18"/>
                <w:b w:val="1"/>
                <w:bCs w:val="1"/>
                <w:color w:val="FFFFFF"/>
                <w:w w:val="99"/>
              </w:rPr>
              <w:t>Number of Shares of</w:t>
            </w:r>
          </w:p>
        </w:tc>
        <w:tc>
          <w:tcPr>
            <w:tcW w:w="3640" w:type="dxa"/>
            <w:vAlign w:val="bottom"/>
            <w:shd w:val="clear" w:color="auto" w:fill="00ADBB"/>
          </w:tcPr>
          <w:p>
            <w:pPr>
              <w:spacing w:after="0"/>
              <w:rPr>
                <w:sz w:val="17"/>
                <w:szCs w:val="17"/>
                <w:color w:val="auto"/>
              </w:rPr>
            </w:pPr>
          </w:p>
        </w:tc>
      </w:tr>
      <w:tr>
        <w:trPr>
          <w:trHeight w:val="203"/>
        </w:trPr>
        <w:tc>
          <w:tcPr>
            <w:tcW w:w="4220" w:type="dxa"/>
            <w:vAlign w:val="bottom"/>
            <w:shd w:val="clear" w:color="auto" w:fill="00ADBB"/>
          </w:tcPr>
          <w:p>
            <w:pPr>
              <w:spacing w:after="0"/>
              <w:rPr>
                <w:sz w:val="17"/>
                <w:szCs w:val="17"/>
                <w:color w:val="auto"/>
              </w:rPr>
            </w:pPr>
          </w:p>
        </w:tc>
        <w:tc>
          <w:tcPr>
            <w:tcW w:w="2820" w:type="dxa"/>
            <w:vAlign w:val="bottom"/>
            <w:shd w:val="clear" w:color="auto" w:fill="00ADBB"/>
          </w:tcPr>
          <w:p>
            <w:pPr>
              <w:jc w:val="center"/>
              <w:ind w:right="90"/>
              <w:spacing w:after="0" w:line="202" w:lineRule="exact"/>
              <w:rPr>
                <w:sz w:val="20"/>
                <w:szCs w:val="20"/>
                <w:color w:val="auto"/>
              </w:rPr>
            </w:pPr>
            <w:r>
              <w:rPr>
                <w:rFonts w:ascii="Arial" w:cs="Arial" w:eastAsia="Arial" w:hAnsi="Arial"/>
                <w:sz w:val="18"/>
                <w:szCs w:val="18"/>
                <w:b w:val="1"/>
                <w:bCs w:val="1"/>
                <w:color w:val="FFFFFF"/>
              </w:rPr>
              <w:t>Our Common</w:t>
            </w:r>
          </w:p>
        </w:tc>
        <w:tc>
          <w:tcPr>
            <w:tcW w:w="3640" w:type="dxa"/>
            <w:vAlign w:val="bottom"/>
            <w:shd w:val="clear" w:color="auto" w:fill="00ADBB"/>
          </w:tcPr>
          <w:p>
            <w:pPr>
              <w:spacing w:after="0"/>
              <w:rPr>
                <w:sz w:val="17"/>
                <w:szCs w:val="17"/>
                <w:color w:val="auto"/>
              </w:rPr>
            </w:pPr>
          </w:p>
        </w:tc>
      </w:tr>
      <w:tr>
        <w:trPr>
          <w:trHeight w:val="203"/>
        </w:trPr>
        <w:tc>
          <w:tcPr>
            <w:tcW w:w="4220" w:type="dxa"/>
            <w:vAlign w:val="bottom"/>
            <w:shd w:val="clear" w:color="auto" w:fill="00ADBB"/>
          </w:tcPr>
          <w:p>
            <w:pPr>
              <w:spacing w:after="0"/>
              <w:rPr>
                <w:sz w:val="17"/>
                <w:szCs w:val="17"/>
                <w:color w:val="auto"/>
              </w:rPr>
            </w:pPr>
          </w:p>
        </w:tc>
        <w:tc>
          <w:tcPr>
            <w:tcW w:w="2820" w:type="dxa"/>
            <w:vAlign w:val="bottom"/>
            <w:shd w:val="clear" w:color="auto" w:fill="00ADBB"/>
          </w:tcPr>
          <w:p>
            <w:pPr>
              <w:jc w:val="center"/>
              <w:ind w:right="110"/>
              <w:spacing w:after="0" w:line="202" w:lineRule="exact"/>
              <w:rPr>
                <w:sz w:val="20"/>
                <w:szCs w:val="20"/>
                <w:color w:val="auto"/>
              </w:rPr>
            </w:pPr>
            <w:r>
              <w:rPr>
                <w:rFonts w:ascii="Arial" w:cs="Arial" w:eastAsia="Arial" w:hAnsi="Arial"/>
                <w:sz w:val="18"/>
                <w:szCs w:val="18"/>
                <w:b w:val="1"/>
                <w:bCs w:val="1"/>
                <w:color w:val="FFFFFF"/>
                <w:w w:val="99"/>
              </w:rPr>
              <w:t>Stock Beneficially</w:t>
            </w:r>
          </w:p>
        </w:tc>
        <w:tc>
          <w:tcPr>
            <w:tcW w:w="3640" w:type="dxa"/>
            <w:vAlign w:val="bottom"/>
            <w:shd w:val="clear" w:color="auto" w:fill="00ADBB"/>
          </w:tcPr>
          <w:p>
            <w:pPr>
              <w:jc w:val="right"/>
              <w:ind w:right="530"/>
              <w:spacing w:after="0" w:line="202" w:lineRule="exact"/>
              <w:rPr>
                <w:sz w:val="20"/>
                <w:szCs w:val="20"/>
                <w:color w:val="auto"/>
              </w:rPr>
            </w:pPr>
            <w:r>
              <w:rPr>
                <w:rFonts w:ascii="Arial" w:cs="Arial" w:eastAsia="Arial" w:hAnsi="Arial"/>
                <w:sz w:val="18"/>
                <w:szCs w:val="18"/>
                <w:b w:val="1"/>
                <w:bCs w:val="1"/>
                <w:color w:val="FFFFFF"/>
              </w:rPr>
              <w:t>Percentage of Our Common</w:t>
            </w:r>
          </w:p>
        </w:tc>
      </w:tr>
      <w:tr>
        <w:trPr>
          <w:trHeight w:val="252"/>
        </w:trPr>
        <w:tc>
          <w:tcPr>
            <w:tcW w:w="4220" w:type="dxa"/>
            <w:vAlign w:val="bottom"/>
            <w:shd w:val="clear" w:color="auto" w:fill="00ADBB"/>
          </w:tcPr>
          <w:p>
            <w:pPr>
              <w:ind w:left="140"/>
              <w:spacing w:after="0"/>
              <w:rPr>
                <w:sz w:val="20"/>
                <w:szCs w:val="20"/>
                <w:color w:val="auto"/>
              </w:rPr>
            </w:pPr>
            <w:r>
              <w:rPr>
                <w:rFonts w:ascii="Arial" w:cs="Arial" w:eastAsia="Arial" w:hAnsi="Arial"/>
                <w:sz w:val="18"/>
                <w:szCs w:val="18"/>
                <w:b w:val="1"/>
                <w:bCs w:val="1"/>
                <w:color w:val="FFFFFF"/>
              </w:rPr>
              <w:t>Beneficial Owners</w:t>
            </w:r>
          </w:p>
        </w:tc>
        <w:tc>
          <w:tcPr>
            <w:tcW w:w="2820" w:type="dxa"/>
            <w:vAlign w:val="bottom"/>
            <w:shd w:val="clear" w:color="auto" w:fill="00ADBB"/>
          </w:tcPr>
          <w:p>
            <w:pPr>
              <w:jc w:val="center"/>
              <w:ind w:right="90"/>
              <w:spacing w:after="0"/>
              <w:rPr>
                <w:sz w:val="20"/>
                <w:szCs w:val="20"/>
                <w:color w:val="auto"/>
              </w:rPr>
            </w:pPr>
            <w:r>
              <w:rPr>
                <w:rFonts w:ascii="Arial" w:cs="Arial" w:eastAsia="Arial" w:hAnsi="Arial"/>
                <w:sz w:val="18"/>
                <w:szCs w:val="18"/>
                <w:b w:val="1"/>
                <w:bCs w:val="1"/>
                <w:color w:val="FFFFFF"/>
                <w:w w:val="99"/>
              </w:rPr>
              <w:t>Owned</w:t>
            </w:r>
          </w:p>
        </w:tc>
        <w:tc>
          <w:tcPr>
            <w:tcW w:w="3640" w:type="dxa"/>
            <w:vAlign w:val="bottom"/>
            <w:shd w:val="clear" w:color="auto" w:fill="00ADBB"/>
          </w:tcPr>
          <w:p>
            <w:pPr>
              <w:jc w:val="right"/>
              <w:ind w:right="930"/>
              <w:spacing w:after="0"/>
              <w:rPr>
                <w:sz w:val="20"/>
                <w:szCs w:val="20"/>
                <w:color w:val="auto"/>
              </w:rPr>
            </w:pPr>
            <w:r>
              <w:rPr>
                <w:rFonts w:ascii="Arial" w:cs="Arial" w:eastAsia="Arial" w:hAnsi="Arial"/>
                <w:sz w:val="18"/>
                <w:szCs w:val="18"/>
                <w:b w:val="1"/>
                <w:bCs w:val="1"/>
                <w:color w:val="FFFFFF"/>
              </w:rPr>
              <w:t>Stock Outstanding</w:t>
            </w:r>
          </w:p>
        </w:tc>
      </w:tr>
      <w:tr>
        <w:trPr>
          <w:trHeight w:val="68"/>
        </w:trPr>
        <w:tc>
          <w:tcPr>
            <w:tcW w:w="4220" w:type="dxa"/>
            <w:vAlign w:val="bottom"/>
            <w:shd w:val="clear" w:color="auto" w:fill="00ADBB"/>
          </w:tcPr>
          <w:p>
            <w:pPr>
              <w:spacing w:after="0"/>
              <w:rPr>
                <w:sz w:val="5"/>
                <w:szCs w:val="5"/>
                <w:color w:val="auto"/>
              </w:rPr>
            </w:pPr>
          </w:p>
        </w:tc>
        <w:tc>
          <w:tcPr>
            <w:tcW w:w="2820" w:type="dxa"/>
            <w:vAlign w:val="bottom"/>
            <w:shd w:val="clear" w:color="auto" w:fill="00ADBB"/>
          </w:tcPr>
          <w:p>
            <w:pPr>
              <w:spacing w:after="0"/>
              <w:rPr>
                <w:sz w:val="5"/>
                <w:szCs w:val="5"/>
                <w:color w:val="auto"/>
              </w:rPr>
            </w:pPr>
          </w:p>
        </w:tc>
        <w:tc>
          <w:tcPr>
            <w:tcW w:w="3640" w:type="dxa"/>
            <w:vAlign w:val="bottom"/>
            <w:shd w:val="clear" w:color="auto" w:fill="00ADBB"/>
          </w:tcPr>
          <w:p>
            <w:pPr>
              <w:spacing w:after="0"/>
              <w:rPr>
                <w:sz w:val="5"/>
                <w:szCs w:val="5"/>
                <w:color w:val="auto"/>
              </w:rPr>
            </w:pP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Christine DeBiase </w:t>
            </w:r>
            <w:r>
              <w:rPr>
                <w:rFonts w:ascii="Arial" w:cs="Arial" w:eastAsia="Arial" w:hAnsi="Arial"/>
                <w:sz w:val="15"/>
                <w:szCs w:val="15"/>
                <w:color w:val="4C4C4C"/>
              </w:rPr>
              <w:t>(1)</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64,091</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6"/>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Conor Murphy </w:t>
            </w:r>
            <w:r>
              <w:rPr>
                <w:rFonts w:ascii="Arial" w:cs="Arial" w:eastAsia="Arial" w:hAnsi="Arial"/>
                <w:sz w:val="15"/>
                <w:szCs w:val="15"/>
                <w:color w:val="4C4C4C"/>
              </w:rPr>
              <w:t>(1)</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51,730</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John Rosenthal </w:t>
            </w:r>
            <w:r>
              <w:rPr>
                <w:rFonts w:ascii="Arial" w:cs="Arial" w:eastAsia="Arial" w:hAnsi="Arial"/>
                <w:sz w:val="15"/>
                <w:szCs w:val="15"/>
                <w:color w:val="4C4C4C"/>
              </w:rPr>
              <w:t>(1)</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88,164</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Edward Spehar</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11,699</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Eric Steigerwalt </w:t>
            </w:r>
            <w:r>
              <w:rPr>
                <w:rFonts w:ascii="Arial" w:cs="Arial" w:eastAsia="Arial" w:hAnsi="Arial"/>
                <w:sz w:val="15"/>
                <w:szCs w:val="15"/>
                <w:color w:val="4C4C4C"/>
              </w:rPr>
              <w:t>(1, 2)</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270,880</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6"/>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Irene Chang Britt </w:t>
            </w:r>
            <w:r>
              <w:rPr>
                <w:rFonts w:ascii="Arial" w:cs="Arial" w:eastAsia="Arial" w:hAnsi="Arial"/>
                <w:sz w:val="15"/>
                <w:szCs w:val="15"/>
                <w:color w:val="4C4C4C"/>
              </w:rPr>
              <w:t>(3)</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11,268</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Chuck Chaplin </w:t>
            </w:r>
            <w:r>
              <w:rPr>
                <w:rFonts w:ascii="Arial" w:cs="Arial" w:eastAsia="Arial" w:hAnsi="Arial"/>
                <w:sz w:val="15"/>
                <w:szCs w:val="15"/>
                <w:color w:val="4C4C4C"/>
              </w:rPr>
              <w:t>(3)</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26,564</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Steve Hooley </w:t>
            </w:r>
            <w:r>
              <w:rPr>
                <w:rFonts w:ascii="Arial" w:cs="Arial" w:eastAsia="Arial" w:hAnsi="Arial"/>
                <w:sz w:val="15"/>
                <w:szCs w:val="15"/>
                <w:color w:val="4C4C4C"/>
              </w:rPr>
              <w:t>(3)</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3,350</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Eileen Mallesch </w:t>
            </w:r>
            <w:r>
              <w:rPr>
                <w:rFonts w:ascii="Arial" w:cs="Arial" w:eastAsia="Arial" w:hAnsi="Arial"/>
                <w:sz w:val="15"/>
                <w:szCs w:val="15"/>
                <w:color w:val="4C4C4C"/>
              </w:rPr>
              <w:t>(3)</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8,056</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Meg McCarthy </w:t>
            </w:r>
            <w:r>
              <w:rPr>
                <w:rFonts w:ascii="Arial" w:cs="Arial" w:eastAsia="Arial" w:hAnsi="Arial"/>
                <w:sz w:val="15"/>
                <w:szCs w:val="15"/>
                <w:color w:val="4C4C4C"/>
              </w:rPr>
              <w:t>(3)</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10,997</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6"/>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Diane Offereins </w:t>
            </w:r>
            <w:r>
              <w:rPr>
                <w:rFonts w:ascii="Arial" w:cs="Arial" w:eastAsia="Arial" w:hAnsi="Arial"/>
                <w:sz w:val="15"/>
                <w:szCs w:val="15"/>
                <w:color w:val="4C4C4C"/>
              </w:rPr>
              <w:t>(3)</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11,268</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shd w:val="clear" w:color="auto" w:fill="E5F6F8"/>
          </w:tcPr>
          <w:p>
            <w:pPr>
              <w:ind w:left="100"/>
              <w:spacing w:after="0"/>
              <w:rPr>
                <w:sz w:val="20"/>
                <w:szCs w:val="20"/>
                <w:color w:val="auto"/>
              </w:rPr>
            </w:pPr>
            <w:r>
              <w:rPr>
                <w:rFonts w:ascii="Arial" w:cs="Arial" w:eastAsia="Arial" w:hAnsi="Arial"/>
                <w:sz w:val="18"/>
                <w:szCs w:val="18"/>
                <w:color w:val="4C4C4C"/>
              </w:rPr>
              <w:t xml:space="preserve">Pat Shouvlin </w:t>
            </w:r>
            <w:r>
              <w:rPr>
                <w:rFonts w:ascii="Arial" w:cs="Arial" w:eastAsia="Arial" w:hAnsi="Arial"/>
                <w:sz w:val="15"/>
                <w:szCs w:val="15"/>
                <w:color w:val="4C4C4C"/>
              </w:rPr>
              <w:t>(3)</w:t>
            </w:r>
          </w:p>
        </w:tc>
        <w:tc>
          <w:tcPr>
            <w:tcW w:w="2820" w:type="dxa"/>
            <w:vAlign w:val="bottom"/>
            <w:tcBorders>
              <w:bottom w:val="single" w:sz="8" w:color="4C4C4C"/>
            </w:tcBorders>
            <w:shd w:val="clear" w:color="auto" w:fill="E5F6F8"/>
          </w:tcPr>
          <w:p>
            <w:pPr>
              <w:jc w:val="right"/>
              <w:ind w:right="1210"/>
              <w:spacing w:after="0"/>
              <w:rPr>
                <w:sz w:val="20"/>
                <w:szCs w:val="20"/>
                <w:color w:val="auto"/>
              </w:rPr>
            </w:pPr>
            <w:r>
              <w:rPr>
                <w:rFonts w:ascii="Arial" w:cs="Arial" w:eastAsia="Arial" w:hAnsi="Arial"/>
                <w:sz w:val="18"/>
                <w:szCs w:val="18"/>
                <w:color w:val="4C4C4C"/>
              </w:rPr>
              <w:t>16,268</w:t>
            </w:r>
          </w:p>
        </w:tc>
        <w:tc>
          <w:tcPr>
            <w:tcW w:w="3640" w:type="dxa"/>
            <w:vAlign w:val="bottom"/>
            <w:tcBorders>
              <w:bottom w:val="single" w:sz="8" w:color="4C4C4C"/>
            </w:tcBorders>
            <w:shd w:val="clear" w:color="auto" w:fill="E5F6F8"/>
          </w:tcPr>
          <w:p>
            <w:pPr>
              <w:jc w:val="right"/>
              <w:ind w:right="1770"/>
              <w:spacing w:after="0"/>
              <w:rPr>
                <w:sz w:val="20"/>
                <w:szCs w:val="20"/>
                <w:color w:val="auto"/>
              </w:rPr>
            </w:pPr>
            <w:r>
              <w:rPr>
                <w:rFonts w:ascii="Arial" w:cs="Arial" w:eastAsia="Arial" w:hAnsi="Arial"/>
                <w:sz w:val="18"/>
                <w:szCs w:val="18"/>
                <w:color w:val="4C4C4C"/>
              </w:rPr>
              <w:t>*</w:t>
            </w:r>
          </w:p>
        </w:tc>
      </w:tr>
      <w:tr>
        <w:trPr>
          <w:trHeight w:val="237"/>
        </w:trPr>
        <w:tc>
          <w:tcPr>
            <w:tcW w:w="4220" w:type="dxa"/>
            <w:vAlign w:val="bottom"/>
            <w:tcBorders>
              <w:bottom w:val="single" w:sz="8" w:color="4C4C4C"/>
            </w:tcBorders>
          </w:tcPr>
          <w:p>
            <w:pPr>
              <w:ind w:left="100"/>
              <w:spacing w:after="0"/>
              <w:rPr>
                <w:sz w:val="20"/>
                <w:szCs w:val="20"/>
                <w:color w:val="auto"/>
              </w:rPr>
            </w:pPr>
            <w:r>
              <w:rPr>
                <w:rFonts w:ascii="Arial" w:cs="Arial" w:eastAsia="Arial" w:hAnsi="Arial"/>
                <w:sz w:val="18"/>
                <w:szCs w:val="18"/>
                <w:color w:val="4C4C4C"/>
              </w:rPr>
              <w:t xml:space="preserve">Paul Wetzel </w:t>
            </w:r>
            <w:r>
              <w:rPr>
                <w:rFonts w:ascii="Arial" w:cs="Arial" w:eastAsia="Arial" w:hAnsi="Arial"/>
                <w:sz w:val="15"/>
                <w:szCs w:val="15"/>
                <w:color w:val="4C4C4C"/>
              </w:rPr>
              <w:t>(3, 4)</w:t>
            </w:r>
          </w:p>
        </w:tc>
        <w:tc>
          <w:tcPr>
            <w:tcW w:w="2820" w:type="dxa"/>
            <w:vAlign w:val="bottom"/>
            <w:tcBorders>
              <w:bottom w:val="single" w:sz="8" w:color="4C4C4C"/>
            </w:tcBorders>
          </w:tcPr>
          <w:p>
            <w:pPr>
              <w:jc w:val="right"/>
              <w:ind w:right="1210"/>
              <w:spacing w:after="0"/>
              <w:rPr>
                <w:sz w:val="20"/>
                <w:szCs w:val="20"/>
                <w:color w:val="auto"/>
              </w:rPr>
            </w:pPr>
            <w:r>
              <w:rPr>
                <w:rFonts w:ascii="Arial" w:cs="Arial" w:eastAsia="Arial" w:hAnsi="Arial"/>
                <w:sz w:val="18"/>
                <w:szCs w:val="18"/>
                <w:color w:val="4C4C4C"/>
              </w:rPr>
              <w:t>11,277</w:t>
            </w:r>
          </w:p>
        </w:tc>
        <w:tc>
          <w:tcPr>
            <w:tcW w:w="3640" w:type="dxa"/>
            <w:vAlign w:val="bottom"/>
            <w:tcBorders>
              <w:bottom w:val="single" w:sz="8" w:color="4C4C4C"/>
            </w:tcBorders>
          </w:tcPr>
          <w:p>
            <w:pPr>
              <w:jc w:val="right"/>
              <w:ind w:right="1770"/>
              <w:spacing w:after="0"/>
              <w:rPr>
                <w:sz w:val="20"/>
                <w:szCs w:val="20"/>
                <w:color w:val="auto"/>
              </w:rPr>
            </w:pPr>
            <w:r>
              <w:rPr>
                <w:rFonts w:ascii="Arial" w:cs="Arial" w:eastAsia="Arial" w:hAnsi="Arial"/>
                <w:sz w:val="18"/>
                <w:szCs w:val="18"/>
                <w:color w:val="4C4C4C"/>
              </w:rPr>
              <w:t>*</w:t>
            </w:r>
          </w:p>
        </w:tc>
      </w:tr>
      <w:tr>
        <w:trPr>
          <w:trHeight w:val="202"/>
        </w:trPr>
        <w:tc>
          <w:tcPr>
            <w:tcW w:w="4220" w:type="dxa"/>
            <w:vAlign w:val="bottom"/>
            <w:shd w:val="clear" w:color="auto" w:fill="E5F6F8"/>
          </w:tcPr>
          <w:p>
            <w:pPr>
              <w:ind w:left="100"/>
              <w:spacing w:after="0" w:line="201" w:lineRule="exact"/>
              <w:rPr>
                <w:sz w:val="20"/>
                <w:szCs w:val="20"/>
                <w:color w:val="auto"/>
              </w:rPr>
            </w:pPr>
            <w:r>
              <w:rPr>
                <w:rFonts w:ascii="Arial" w:cs="Arial" w:eastAsia="Arial" w:hAnsi="Arial"/>
                <w:sz w:val="18"/>
                <w:szCs w:val="18"/>
                <w:color w:val="4C4C4C"/>
              </w:rPr>
              <w:t>All Directors, Director nominees and executive</w:t>
            </w:r>
          </w:p>
        </w:tc>
        <w:tc>
          <w:tcPr>
            <w:tcW w:w="2820" w:type="dxa"/>
            <w:vAlign w:val="bottom"/>
            <w:shd w:val="clear" w:color="auto" w:fill="E5F6F8"/>
          </w:tcPr>
          <w:p>
            <w:pPr>
              <w:spacing w:after="0"/>
              <w:rPr>
                <w:sz w:val="17"/>
                <w:szCs w:val="17"/>
                <w:color w:val="auto"/>
              </w:rPr>
            </w:pPr>
          </w:p>
        </w:tc>
        <w:tc>
          <w:tcPr>
            <w:tcW w:w="3640" w:type="dxa"/>
            <w:vAlign w:val="bottom"/>
            <w:shd w:val="clear" w:color="auto" w:fill="E5F6F8"/>
          </w:tcPr>
          <w:p>
            <w:pPr>
              <w:spacing w:after="0"/>
              <w:rPr>
                <w:sz w:val="17"/>
                <w:szCs w:val="17"/>
                <w:color w:val="auto"/>
              </w:rPr>
            </w:pPr>
          </w:p>
        </w:tc>
      </w:tr>
      <w:tr>
        <w:trPr>
          <w:trHeight w:val="203"/>
        </w:trPr>
        <w:tc>
          <w:tcPr>
            <w:tcW w:w="4220" w:type="dxa"/>
            <w:vAlign w:val="bottom"/>
            <w:tcBorders>
              <w:bottom w:val="single" w:sz="8" w:color="4C4C4C"/>
            </w:tcBorders>
            <w:shd w:val="clear" w:color="auto" w:fill="E5F6F8"/>
          </w:tcPr>
          <w:p>
            <w:pPr>
              <w:ind w:left="100"/>
              <w:spacing w:after="0" w:line="203" w:lineRule="exact"/>
              <w:rPr>
                <w:sz w:val="20"/>
                <w:szCs w:val="20"/>
                <w:color w:val="auto"/>
              </w:rPr>
            </w:pPr>
            <w:r>
              <w:rPr>
                <w:rFonts w:ascii="Arial" w:cs="Arial" w:eastAsia="Arial" w:hAnsi="Arial"/>
                <w:sz w:val="18"/>
                <w:szCs w:val="18"/>
                <w:color w:val="4C4C4C"/>
              </w:rPr>
              <w:t>officers as a group (15 persons)</w:t>
            </w:r>
          </w:p>
        </w:tc>
        <w:tc>
          <w:tcPr>
            <w:tcW w:w="2820" w:type="dxa"/>
            <w:vAlign w:val="bottom"/>
            <w:tcBorders>
              <w:bottom w:val="single" w:sz="8" w:color="4C4C4C"/>
            </w:tcBorders>
            <w:shd w:val="clear" w:color="auto" w:fill="E5F6F8"/>
          </w:tcPr>
          <w:p>
            <w:pPr>
              <w:jc w:val="right"/>
              <w:ind w:right="1210"/>
              <w:spacing w:after="0" w:line="203" w:lineRule="exact"/>
              <w:rPr>
                <w:sz w:val="20"/>
                <w:szCs w:val="20"/>
                <w:color w:val="auto"/>
              </w:rPr>
            </w:pPr>
            <w:r>
              <w:rPr>
                <w:rFonts w:ascii="Arial" w:cs="Arial" w:eastAsia="Arial" w:hAnsi="Arial"/>
                <w:sz w:val="18"/>
                <w:szCs w:val="18"/>
                <w:color w:val="4C4C4C"/>
              </w:rPr>
              <w:t>649,644</w:t>
            </w:r>
          </w:p>
        </w:tc>
        <w:tc>
          <w:tcPr>
            <w:tcW w:w="3640" w:type="dxa"/>
            <w:vAlign w:val="bottom"/>
            <w:tcBorders>
              <w:bottom w:val="single" w:sz="8" w:color="4C4C4C"/>
            </w:tcBorders>
            <w:shd w:val="clear" w:color="auto" w:fill="E5F6F8"/>
          </w:tcPr>
          <w:p>
            <w:pPr>
              <w:jc w:val="right"/>
              <w:ind w:right="1730"/>
              <w:spacing w:after="0" w:line="203" w:lineRule="exact"/>
              <w:rPr>
                <w:sz w:val="20"/>
                <w:szCs w:val="20"/>
                <w:color w:val="auto"/>
              </w:rPr>
            </w:pPr>
            <w:r>
              <w:rPr>
                <w:rFonts w:ascii="Arial" w:cs="Arial" w:eastAsia="Arial" w:hAnsi="Arial"/>
                <w:sz w:val="18"/>
                <w:szCs w:val="18"/>
                <w:color w:val="4C4C4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-2956560</wp:posOffset>
            </wp:positionV>
            <wp:extent cx="8255" cy="5740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57404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-2956560</wp:posOffset>
            </wp:positionV>
            <wp:extent cx="8890" cy="5740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574040"/>
                    </a:xfrm>
                    <a:prstGeom prst="rect">
                      <a:avLst/>
                    </a:prstGeom>
                    <a:noFill/>
                  </pic:spPr>
                </pic:pic>
              </a:graphicData>
            </a:graphic>
          </wp:anchor>
        </w:drawing>
      </w:r>
    </w:p>
    <w:p>
      <w:pPr>
        <w:spacing w:after="0" w:line="101" w:lineRule="exact"/>
        <w:rPr>
          <w:sz w:val="20"/>
          <w:szCs w:val="20"/>
          <w:color w:val="auto"/>
        </w:rPr>
      </w:pPr>
    </w:p>
    <w:p>
      <w:pPr>
        <w:ind w:left="700" w:hanging="419"/>
        <w:spacing w:after="0"/>
        <w:tabs>
          <w:tab w:leader="none" w:pos="700" w:val="left"/>
        </w:tabs>
        <w:numPr>
          <w:ilvl w:val="0"/>
          <w:numId w:val="154"/>
        </w:numPr>
        <w:rPr>
          <w:rFonts w:ascii="Arial" w:cs="Arial" w:eastAsia="Arial" w:hAnsi="Arial"/>
          <w:sz w:val="18"/>
          <w:szCs w:val="18"/>
          <w:color w:val="4C4C4C"/>
        </w:rPr>
      </w:pPr>
      <w:r>
        <w:rPr>
          <w:rFonts w:ascii="Arial" w:cs="Arial" w:eastAsia="Arial" w:hAnsi="Arial"/>
          <w:sz w:val="18"/>
          <w:szCs w:val="18"/>
          <w:color w:val="4C4C4C"/>
        </w:rPr>
        <w:t>Indicates that the percentage of beneficial ownership does not exceed 1%.</w:t>
      </w:r>
    </w:p>
    <w:p>
      <w:pPr>
        <w:spacing w:after="0" w:line="77" w:lineRule="exact"/>
        <w:rPr>
          <w:sz w:val="20"/>
          <w:szCs w:val="20"/>
          <w:color w:val="auto"/>
        </w:rPr>
      </w:pPr>
    </w:p>
    <w:p>
      <w:pPr>
        <w:ind w:left="700" w:right="260" w:hanging="419"/>
        <w:spacing w:after="0" w:line="248" w:lineRule="auto"/>
        <w:tabs>
          <w:tab w:leader="none" w:pos="700" w:val="left"/>
        </w:tabs>
        <w:numPr>
          <w:ilvl w:val="0"/>
          <w:numId w:val="155"/>
        </w:numPr>
        <w:rPr>
          <w:rFonts w:ascii="Arial" w:cs="Arial" w:eastAsia="Arial" w:hAnsi="Arial"/>
          <w:sz w:val="17"/>
          <w:szCs w:val="17"/>
          <w:color w:val="4C4C4C"/>
        </w:rPr>
      </w:pPr>
      <w:r>
        <w:rPr>
          <w:rFonts w:ascii="Arial" w:cs="Arial" w:eastAsia="Arial" w:hAnsi="Arial"/>
          <w:sz w:val="17"/>
          <w:szCs w:val="17"/>
          <w:color w:val="4C4C4C"/>
        </w:rPr>
        <w:t>Includes Shares that the current executive officers have the right to acquire within 60 days of April 13, 2021 through the exercise of underlying options as follows: Ms. DeBiase, 13,735 Shares; Myles Lambert, 10,544 Shares; Mr. Murphy, 10,544 Shares;</w:t>
      </w:r>
    </w:p>
    <w:p>
      <w:pPr>
        <w:spacing w:after="0" w:line="1" w:lineRule="exact"/>
        <w:rPr>
          <w:rFonts w:ascii="Arial" w:cs="Arial" w:eastAsia="Arial" w:hAnsi="Arial"/>
          <w:sz w:val="17"/>
          <w:szCs w:val="17"/>
          <w:color w:val="4C4C4C"/>
        </w:rPr>
      </w:pPr>
    </w:p>
    <w:p>
      <w:pPr>
        <w:ind w:left="700"/>
        <w:spacing w:after="0"/>
        <w:rPr>
          <w:rFonts w:ascii="Arial" w:cs="Arial" w:eastAsia="Arial" w:hAnsi="Arial"/>
          <w:sz w:val="17"/>
          <w:szCs w:val="17"/>
          <w:color w:val="4C4C4C"/>
        </w:rPr>
      </w:pPr>
      <w:r>
        <w:rPr>
          <w:rFonts w:ascii="Arial" w:cs="Arial" w:eastAsia="Arial" w:hAnsi="Arial"/>
          <w:sz w:val="18"/>
          <w:szCs w:val="18"/>
          <w:color w:val="4C4C4C"/>
        </w:rPr>
        <w:t>Mr. Rosenthal, 15,015 Shares; and Mr. Steigerwalt, 61,425 Shares.</w:t>
      </w:r>
    </w:p>
    <w:p>
      <w:pPr>
        <w:spacing w:after="0" w:line="76" w:lineRule="exact"/>
        <w:rPr>
          <w:rFonts w:ascii="Arial" w:cs="Arial" w:eastAsia="Arial" w:hAnsi="Arial"/>
          <w:sz w:val="17"/>
          <w:szCs w:val="17"/>
          <w:color w:val="4C4C4C"/>
        </w:rPr>
      </w:pPr>
    </w:p>
    <w:p>
      <w:pPr>
        <w:ind w:left="700" w:hanging="419"/>
        <w:spacing w:after="0"/>
        <w:tabs>
          <w:tab w:leader="none" w:pos="700" w:val="left"/>
        </w:tabs>
        <w:numPr>
          <w:ilvl w:val="0"/>
          <w:numId w:val="155"/>
        </w:numPr>
        <w:rPr>
          <w:rFonts w:ascii="Arial" w:cs="Arial" w:eastAsia="Arial" w:hAnsi="Arial"/>
          <w:sz w:val="18"/>
          <w:szCs w:val="18"/>
          <w:color w:val="4C4C4C"/>
        </w:rPr>
      </w:pPr>
      <w:r>
        <w:rPr>
          <w:rFonts w:ascii="Arial" w:cs="Arial" w:eastAsia="Arial" w:hAnsi="Arial"/>
          <w:sz w:val="18"/>
          <w:szCs w:val="18"/>
          <w:color w:val="4C4C4C"/>
        </w:rPr>
        <w:t>Includes 1,801 Shares held in a joint tenancy account.</w:t>
      </w:r>
    </w:p>
    <w:p>
      <w:pPr>
        <w:spacing w:after="0" w:line="72" w:lineRule="exact"/>
        <w:rPr>
          <w:rFonts w:ascii="Arial" w:cs="Arial" w:eastAsia="Arial" w:hAnsi="Arial"/>
          <w:sz w:val="18"/>
          <w:szCs w:val="18"/>
          <w:color w:val="4C4C4C"/>
        </w:rPr>
      </w:pPr>
    </w:p>
    <w:p>
      <w:pPr>
        <w:ind w:left="700" w:hanging="419"/>
        <w:spacing w:after="0"/>
        <w:tabs>
          <w:tab w:leader="none" w:pos="700" w:val="left"/>
        </w:tabs>
        <w:numPr>
          <w:ilvl w:val="0"/>
          <w:numId w:val="155"/>
        </w:numPr>
        <w:rPr>
          <w:rFonts w:ascii="Arial" w:cs="Arial" w:eastAsia="Arial" w:hAnsi="Arial"/>
          <w:sz w:val="18"/>
          <w:szCs w:val="18"/>
          <w:color w:val="4C4C4C"/>
        </w:rPr>
      </w:pPr>
      <w:r>
        <w:rPr>
          <w:rFonts w:ascii="Arial" w:cs="Arial" w:eastAsia="Arial" w:hAnsi="Arial"/>
          <w:sz w:val="18"/>
          <w:szCs w:val="18"/>
          <w:color w:val="4C4C4C"/>
        </w:rPr>
        <w:t>Includes RSUs granted to current directors that will vest within 60 days of April 13, 2021 as follows: Ms. Britt, 3,454 RSUs;</w:t>
      </w:r>
    </w:p>
    <w:p>
      <w:pPr>
        <w:ind w:left="700" w:right="240"/>
        <w:spacing w:after="0" w:line="246" w:lineRule="auto"/>
        <w:rPr>
          <w:rFonts w:ascii="Arial" w:cs="Arial" w:eastAsia="Arial" w:hAnsi="Arial"/>
          <w:sz w:val="18"/>
          <w:szCs w:val="18"/>
          <w:color w:val="4C4C4C"/>
        </w:rPr>
      </w:pPr>
      <w:r>
        <w:rPr>
          <w:rFonts w:ascii="Arial" w:cs="Arial" w:eastAsia="Arial" w:hAnsi="Arial"/>
          <w:sz w:val="18"/>
          <w:szCs w:val="18"/>
          <w:color w:val="4C4C4C"/>
        </w:rPr>
        <w:t>Mr. Chaplin, 6,332 RSUs; Mr. Hooley, 3,350 RSUs; Ms. Mallesch, 3,454 RSUs; Ms. McCarthy, 3,454 RSUs; Ms. Offereins, 3,454 RSUs; Mr. Shouvlin, 3,454 RSUs; and Mr. Wetzel, 3,454 RSUs.</w:t>
      </w:r>
    </w:p>
    <w:p>
      <w:pPr>
        <w:spacing w:after="0" w:line="61" w:lineRule="exact"/>
        <w:rPr>
          <w:rFonts w:ascii="Arial" w:cs="Arial" w:eastAsia="Arial" w:hAnsi="Arial"/>
          <w:sz w:val="18"/>
          <w:szCs w:val="18"/>
          <w:color w:val="4C4C4C"/>
        </w:rPr>
      </w:pPr>
    </w:p>
    <w:p>
      <w:pPr>
        <w:ind w:left="700" w:hanging="419"/>
        <w:spacing w:after="0"/>
        <w:tabs>
          <w:tab w:leader="none" w:pos="700" w:val="left"/>
        </w:tabs>
        <w:numPr>
          <w:ilvl w:val="0"/>
          <w:numId w:val="155"/>
        </w:numPr>
        <w:rPr>
          <w:rFonts w:ascii="Arial" w:cs="Arial" w:eastAsia="Arial" w:hAnsi="Arial"/>
          <w:sz w:val="18"/>
          <w:szCs w:val="18"/>
          <w:color w:val="4C4C4C"/>
        </w:rPr>
      </w:pPr>
      <w:r>
        <w:rPr>
          <w:rFonts w:ascii="Arial" w:cs="Arial" w:eastAsia="Arial" w:hAnsi="Arial"/>
          <w:sz w:val="18"/>
          <w:szCs w:val="18"/>
          <w:color w:val="4C4C4C"/>
        </w:rPr>
        <w:t>Includes 9 Shares held by Mr. Wetzel’s spouse.</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Following are the only persons known to us to be the beneficial owners of more than five percent of any class of our voting securities.</w:t>
      </w:r>
    </w:p>
    <w:p>
      <w:pPr>
        <w:ind w:left="280"/>
        <w:spacing w:after="0"/>
        <w:rPr>
          <w:sz w:val="20"/>
          <w:szCs w:val="20"/>
          <w:color w:val="auto"/>
        </w:rPr>
      </w:pPr>
      <w:r>
        <w:rPr>
          <w:rFonts w:ascii="Arial" w:cs="Arial" w:eastAsia="Arial" w:hAnsi="Arial"/>
          <w:sz w:val="18"/>
          <w:szCs w:val="18"/>
          <w:color w:val="4C4C4C"/>
        </w:rPr>
        <w:t>The percentages owned are based on 86,523,619 shares outstanding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229235</wp:posOffset>
            </wp:positionV>
            <wp:extent cx="6780530"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780530" cy="25400"/>
                    </a:xfrm>
                    <a:prstGeom prst="rect">
                      <a:avLst/>
                    </a:prstGeom>
                    <a:noFill/>
                  </pic:spPr>
                </pic:pic>
              </a:graphicData>
            </a:graphic>
          </wp:anchor>
        </w:drawing>
      </w:r>
    </w:p>
    <w:p>
      <w:pPr>
        <w:spacing w:after="0" w:line="395"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b w:val="1"/>
                <w:bCs w:val="1"/>
                <w:color w:val="00ADBB"/>
              </w:rPr>
              <w:t>Name and Address of Beneficial</w:t>
            </w:r>
          </w:p>
        </w:tc>
        <w:tc>
          <w:tcPr>
            <w:tcW w:w="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00ADBB"/>
              </w:rPr>
              <w:t>Number of Shares of Our</w:t>
            </w:r>
          </w:p>
        </w:tc>
        <w:tc>
          <w:tcPr>
            <w:tcW w:w="26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color w:val="00ADBB"/>
              </w:rPr>
              <w:t>Percentage of Our Common Stock</w:t>
            </w:r>
          </w:p>
        </w:tc>
      </w:tr>
      <w:tr>
        <w:trPr>
          <w:trHeight w:val="239"/>
        </w:trPr>
        <w:tc>
          <w:tcPr>
            <w:tcW w:w="3500" w:type="dxa"/>
            <w:vAlign w:val="bottom"/>
          </w:tcPr>
          <w:p>
            <w:pPr>
              <w:spacing w:after="0"/>
              <w:rPr>
                <w:sz w:val="20"/>
                <w:szCs w:val="20"/>
                <w:color w:val="auto"/>
              </w:rPr>
            </w:pPr>
            <w:r>
              <w:rPr>
                <w:rFonts w:ascii="Arial" w:cs="Arial" w:eastAsia="Arial" w:hAnsi="Arial"/>
                <w:sz w:val="18"/>
                <w:szCs w:val="18"/>
                <w:b w:val="1"/>
                <w:bCs w:val="1"/>
                <w:color w:val="00ADBB"/>
              </w:rPr>
              <w:t>Owner</w:t>
            </w: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00ADBB"/>
              </w:rPr>
              <w:t>Common Stock Beneficially Owned</w:t>
            </w:r>
          </w:p>
        </w:tc>
        <w:tc>
          <w:tcPr>
            <w:tcW w:w="2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color w:val="00ADBB"/>
              </w:rPr>
              <w:t>Outstanding</w:t>
            </w:r>
          </w:p>
        </w:tc>
      </w:tr>
      <w:tr>
        <w:trPr>
          <w:trHeight w:val="121"/>
        </w:trPr>
        <w:tc>
          <w:tcPr>
            <w:tcW w:w="3500" w:type="dxa"/>
            <w:vAlign w:val="bottom"/>
            <w:tcBorders>
              <w:bottom w:val="single" w:sz="8" w:color="7F7F7F"/>
            </w:tcBorders>
          </w:tcPr>
          <w:p>
            <w:pPr>
              <w:spacing w:after="0"/>
              <w:rPr>
                <w:sz w:val="10"/>
                <w:szCs w:val="10"/>
                <w:color w:val="auto"/>
              </w:rPr>
            </w:pPr>
          </w:p>
        </w:tc>
        <w:tc>
          <w:tcPr>
            <w:tcW w:w="300" w:type="dxa"/>
            <w:vAlign w:val="bottom"/>
          </w:tcPr>
          <w:p>
            <w:pPr>
              <w:spacing w:after="0"/>
              <w:rPr>
                <w:sz w:val="10"/>
                <w:szCs w:val="10"/>
                <w:color w:val="auto"/>
              </w:rPr>
            </w:pPr>
          </w:p>
        </w:tc>
        <w:tc>
          <w:tcPr>
            <w:tcW w:w="3300" w:type="dxa"/>
            <w:vAlign w:val="bottom"/>
            <w:tcBorders>
              <w:bottom w:val="single" w:sz="8" w:color="7F7F7F"/>
            </w:tcBorders>
          </w:tcPr>
          <w:p>
            <w:pPr>
              <w:spacing w:after="0"/>
              <w:rPr>
                <w:sz w:val="10"/>
                <w:szCs w:val="10"/>
                <w:color w:val="auto"/>
              </w:rPr>
            </w:pPr>
          </w:p>
        </w:tc>
        <w:tc>
          <w:tcPr>
            <w:tcW w:w="260" w:type="dxa"/>
            <w:vAlign w:val="bottom"/>
          </w:tcPr>
          <w:p>
            <w:pPr>
              <w:spacing w:after="0"/>
              <w:rPr>
                <w:sz w:val="10"/>
                <w:szCs w:val="10"/>
                <w:color w:val="auto"/>
              </w:rPr>
            </w:pPr>
          </w:p>
        </w:tc>
        <w:tc>
          <w:tcPr>
            <w:tcW w:w="3320" w:type="dxa"/>
            <w:vAlign w:val="bottom"/>
            <w:tcBorders>
              <w:bottom w:val="single" w:sz="8" w:color="7F7F7F"/>
            </w:tcBorders>
          </w:tcPr>
          <w:p>
            <w:pPr>
              <w:spacing w:after="0"/>
              <w:rPr>
                <w:sz w:val="10"/>
                <w:szCs w:val="10"/>
                <w:color w:val="auto"/>
              </w:rPr>
            </w:pPr>
          </w:p>
        </w:tc>
      </w:tr>
      <w:tr>
        <w:trPr>
          <w:trHeight w:val="265"/>
        </w:trPr>
        <w:tc>
          <w:tcPr>
            <w:tcW w:w="3500" w:type="dxa"/>
            <w:vAlign w:val="bottom"/>
          </w:tcPr>
          <w:p>
            <w:pPr>
              <w:spacing w:after="0" w:line="266" w:lineRule="exact"/>
              <w:rPr>
                <w:sz w:val="20"/>
                <w:szCs w:val="20"/>
                <w:color w:val="auto"/>
              </w:rPr>
            </w:pPr>
            <w:r>
              <w:rPr>
                <w:rFonts w:ascii="Arial" w:cs="Arial" w:eastAsia="Arial" w:hAnsi="Arial"/>
                <w:sz w:val="16"/>
                <w:szCs w:val="16"/>
                <w:color w:val="4C4C4C"/>
              </w:rPr>
              <w:t xml:space="preserve">Dodge &amp; Cox </w:t>
            </w:r>
            <w:r>
              <w:rPr>
                <w:rFonts w:ascii="Arial" w:cs="Arial" w:eastAsia="Arial" w:hAnsi="Arial"/>
                <w:sz w:val="27"/>
                <w:szCs w:val="27"/>
                <w:color w:val="4C4C4C"/>
                <w:vertAlign w:val="superscript"/>
              </w:rPr>
              <w:t>(1)</w:t>
            </w:r>
          </w:p>
        </w:tc>
        <w:tc>
          <w:tcPr>
            <w:tcW w:w="3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189"/>
        </w:trPr>
        <w:tc>
          <w:tcPr>
            <w:tcW w:w="3500" w:type="dxa"/>
            <w:vAlign w:val="bottom"/>
          </w:tcPr>
          <w:p>
            <w:pPr>
              <w:spacing w:after="0"/>
              <w:rPr>
                <w:sz w:val="20"/>
                <w:szCs w:val="20"/>
                <w:color w:val="auto"/>
              </w:rPr>
            </w:pPr>
            <w:r>
              <w:rPr>
                <w:rFonts w:ascii="Arial" w:cs="Arial" w:eastAsia="Arial" w:hAnsi="Arial"/>
                <w:sz w:val="16"/>
                <w:szCs w:val="16"/>
                <w:color w:val="4C4C4C"/>
              </w:rPr>
              <w:t>555 California Street</w:t>
            </w:r>
          </w:p>
        </w:tc>
        <w:tc>
          <w:tcPr>
            <w:tcW w:w="3600" w:type="dxa"/>
            <w:vAlign w:val="bottom"/>
            <w:gridSpan w:val="2"/>
          </w:tcPr>
          <w:p>
            <w:pPr>
              <w:jc w:val="right"/>
              <w:ind w:right="1190"/>
              <w:spacing w:after="0"/>
              <w:rPr>
                <w:sz w:val="20"/>
                <w:szCs w:val="20"/>
                <w:color w:val="auto"/>
              </w:rPr>
            </w:pPr>
            <w:r>
              <w:rPr>
                <w:rFonts w:ascii="Arial" w:cs="Arial" w:eastAsia="Arial" w:hAnsi="Arial"/>
                <w:sz w:val="16"/>
                <w:szCs w:val="16"/>
                <w:color w:val="4C4C4C"/>
              </w:rPr>
              <w:t>9,907,961</w:t>
            </w:r>
          </w:p>
        </w:tc>
        <w:tc>
          <w:tcPr>
            <w:tcW w:w="3580" w:type="dxa"/>
            <w:vAlign w:val="bottom"/>
            <w:gridSpan w:val="2"/>
          </w:tcPr>
          <w:p>
            <w:pPr>
              <w:jc w:val="right"/>
              <w:ind w:right="1330"/>
              <w:spacing w:after="0"/>
              <w:rPr>
                <w:sz w:val="20"/>
                <w:szCs w:val="20"/>
                <w:color w:val="auto"/>
              </w:rPr>
            </w:pPr>
            <w:r>
              <w:rPr>
                <w:rFonts w:ascii="Arial" w:cs="Arial" w:eastAsia="Arial" w:hAnsi="Arial"/>
                <w:sz w:val="16"/>
                <w:szCs w:val="16"/>
                <w:color w:val="4C4C4C"/>
              </w:rPr>
              <w:t>11.5%</w:t>
            </w:r>
          </w:p>
        </w:tc>
      </w:tr>
      <w:tr>
        <w:trPr>
          <w:trHeight w:val="195"/>
        </w:trPr>
        <w:tc>
          <w:tcPr>
            <w:tcW w:w="3500" w:type="dxa"/>
            <w:vAlign w:val="bottom"/>
          </w:tcPr>
          <w:p>
            <w:pPr>
              <w:spacing w:after="0"/>
              <w:rPr>
                <w:sz w:val="20"/>
                <w:szCs w:val="20"/>
                <w:color w:val="auto"/>
              </w:rPr>
            </w:pPr>
            <w:r>
              <w:rPr>
                <w:rFonts w:ascii="Arial" w:cs="Arial" w:eastAsia="Arial" w:hAnsi="Arial"/>
                <w:sz w:val="16"/>
                <w:szCs w:val="16"/>
                <w:color w:val="4C4C4C"/>
              </w:rPr>
              <w:t>San Francisco, CA 94104</w:t>
            </w:r>
          </w:p>
        </w:tc>
        <w:tc>
          <w:tcPr>
            <w:tcW w:w="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114"/>
        </w:trPr>
        <w:tc>
          <w:tcPr>
            <w:tcW w:w="3500" w:type="dxa"/>
            <w:vAlign w:val="bottom"/>
            <w:tcBorders>
              <w:bottom w:val="single" w:sz="8" w:color="7F7F7F"/>
            </w:tcBorders>
          </w:tcPr>
          <w:p>
            <w:pPr>
              <w:spacing w:after="0"/>
              <w:rPr>
                <w:sz w:val="9"/>
                <w:szCs w:val="9"/>
                <w:color w:val="auto"/>
              </w:rPr>
            </w:pPr>
          </w:p>
        </w:tc>
        <w:tc>
          <w:tcPr>
            <w:tcW w:w="300" w:type="dxa"/>
            <w:vAlign w:val="bottom"/>
          </w:tcPr>
          <w:p>
            <w:pPr>
              <w:spacing w:after="0"/>
              <w:rPr>
                <w:sz w:val="9"/>
                <w:szCs w:val="9"/>
                <w:color w:val="auto"/>
              </w:rPr>
            </w:pPr>
          </w:p>
        </w:tc>
        <w:tc>
          <w:tcPr>
            <w:tcW w:w="3300" w:type="dxa"/>
            <w:vAlign w:val="bottom"/>
            <w:tcBorders>
              <w:bottom w:val="single" w:sz="8" w:color="7F7F7F"/>
            </w:tcBorders>
          </w:tcPr>
          <w:p>
            <w:pPr>
              <w:spacing w:after="0"/>
              <w:rPr>
                <w:sz w:val="9"/>
                <w:szCs w:val="9"/>
                <w:color w:val="auto"/>
              </w:rPr>
            </w:pPr>
          </w:p>
        </w:tc>
        <w:tc>
          <w:tcPr>
            <w:tcW w:w="260" w:type="dxa"/>
            <w:vAlign w:val="bottom"/>
          </w:tcPr>
          <w:p>
            <w:pPr>
              <w:spacing w:after="0"/>
              <w:rPr>
                <w:sz w:val="9"/>
                <w:szCs w:val="9"/>
                <w:color w:val="auto"/>
              </w:rPr>
            </w:pPr>
          </w:p>
        </w:tc>
        <w:tc>
          <w:tcPr>
            <w:tcW w:w="3320" w:type="dxa"/>
            <w:vAlign w:val="bottom"/>
            <w:tcBorders>
              <w:bottom w:val="single" w:sz="8" w:color="7F7F7F"/>
            </w:tcBorders>
          </w:tcPr>
          <w:p>
            <w:pPr>
              <w:spacing w:after="0"/>
              <w:rPr>
                <w:sz w:val="9"/>
                <w:szCs w:val="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45"/>
        </w:trPr>
        <w:tc>
          <w:tcPr>
            <w:tcW w:w="3500" w:type="dxa"/>
            <w:vAlign w:val="bottom"/>
            <w:shd w:val="clear" w:color="auto" w:fill="E5F6F8"/>
          </w:tcPr>
          <w:p>
            <w:pPr>
              <w:spacing w:after="0" w:line="245" w:lineRule="exact"/>
              <w:rPr>
                <w:sz w:val="20"/>
                <w:szCs w:val="20"/>
                <w:color w:val="auto"/>
              </w:rPr>
            </w:pPr>
            <w:r>
              <w:rPr>
                <w:rFonts w:ascii="Arial" w:cs="Arial" w:eastAsia="Arial" w:hAnsi="Arial"/>
                <w:sz w:val="16"/>
                <w:szCs w:val="16"/>
                <w:color w:val="4C4C4C"/>
              </w:rPr>
              <w:t xml:space="preserve">BlackRock, Inc. </w:t>
            </w:r>
            <w:r>
              <w:rPr>
                <w:rFonts w:ascii="Arial" w:cs="Arial" w:eastAsia="Arial" w:hAnsi="Arial"/>
                <w:sz w:val="27"/>
                <w:szCs w:val="27"/>
                <w:color w:val="4C4C4C"/>
                <w:vertAlign w:val="superscript"/>
              </w:rPr>
              <w:t>(2)</w:t>
            </w:r>
          </w:p>
        </w:tc>
        <w:tc>
          <w:tcPr>
            <w:tcW w:w="300" w:type="dxa"/>
            <w:vAlign w:val="bottom"/>
            <w:shd w:val="clear" w:color="auto" w:fill="E5F6F8"/>
          </w:tcPr>
          <w:p>
            <w:pPr>
              <w:spacing w:after="0"/>
              <w:rPr>
                <w:sz w:val="21"/>
                <w:szCs w:val="21"/>
                <w:color w:val="auto"/>
              </w:rPr>
            </w:pPr>
          </w:p>
        </w:tc>
        <w:tc>
          <w:tcPr>
            <w:tcW w:w="3300" w:type="dxa"/>
            <w:vAlign w:val="bottom"/>
            <w:shd w:val="clear" w:color="auto" w:fill="E5F6F8"/>
          </w:tcPr>
          <w:p>
            <w:pPr>
              <w:spacing w:after="0"/>
              <w:rPr>
                <w:sz w:val="21"/>
                <w:szCs w:val="21"/>
                <w:color w:val="auto"/>
              </w:rPr>
            </w:pPr>
          </w:p>
        </w:tc>
        <w:tc>
          <w:tcPr>
            <w:tcW w:w="260" w:type="dxa"/>
            <w:vAlign w:val="bottom"/>
            <w:shd w:val="clear" w:color="auto" w:fill="E5F6F8"/>
          </w:tcPr>
          <w:p>
            <w:pPr>
              <w:spacing w:after="0"/>
              <w:rPr>
                <w:sz w:val="21"/>
                <w:szCs w:val="21"/>
                <w:color w:val="auto"/>
              </w:rPr>
            </w:pPr>
          </w:p>
        </w:tc>
        <w:tc>
          <w:tcPr>
            <w:tcW w:w="3320" w:type="dxa"/>
            <w:vAlign w:val="bottom"/>
            <w:shd w:val="clear" w:color="auto" w:fill="E5F6F8"/>
          </w:tcPr>
          <w:p>
            <w:pPr>
              <w:spacing w:after="0"/>
              <w:rPr>
                <w:sz w:val="21"/>
                <w:szCs w:val="21"/>
                <w:color w:val="auto"/>
              </w:rPr>
            </w:pPr>
          </w:p>
        </w:tc>
      </w:tr>
      <w:tr>
        <w:trPr>
          <w:trHeight w:val="189"/>
        </w:trPr>
        <w:tc>
          <w:tcPr>
            <w:tcW w:w="3500" w:type="dxa"/>
            <w:vAlign w:val="bottom"/>
            <w:shd w:val="clear" w:color="auto" w:fill="E5F6F8"/>
          </w:tcPr>
          <w:p>
            <w:pPr>
              <w:spacing w:after="0"/>
              <w:rPr>
                <w:sz w:val="20"/>
                <w:szCs w:val="20"/>
                <w:color w:val="auto"/>
              </w:rPr>
            </w:pPr>
            <w:r>
              <w:rPr>
                <w:rFonts w:ascii="Arial" w:cs="Arial" w:eastAsia="Arial" w:hAnsi="Arial"/>
                <w:sz w:val="16"/>
                <w:szCs w:val="16"/>
                <w:color w:val="4C4C4C"/>
              </w:rPr>
              <w:t>55 East 52nd Street</w:t>
            </w:r>
          </w:p>
        </w:tc>
        <w:tc>
          <w:tcPr>
            <w:tcW w:w="3600" w:type="dxa"/>
            <w:vAlign w:val="bottom"/>
            <w:gridSpan w:val="2"/>
            <w:shd w:val="clear" w:color="auto" w:fill="E5F6F8"/>
          </w:tcPr>
          <w:p>
            <w:pPr>
              <w:jc w:val="right"/>
              <w:ind w:right="1190"/>
              <w:spacing w:after="0"/>
              <w:rPr>
                <w:sz w:val="20"/>
                <w:szCs w:val="20"/>
                <w:color w:val="auto"/>
              </w:rPr>
            </w:pPr>
            <w:r>
              <w:rPr>
                <w:rFonts w:ascii="Arial" w:cs="Arial" w:eastAsia="Arial" w:hAnsi="Arial"/>
                <w:sz w:val="16"/>
                <w:szCs w:val="16"/>
                <w:color w:val="4C4C4C"/>
              </w:rPr>
              <w:t>8,979,315</w:t>
            </w:r>
          </w:p>
        </w:tc>
        <w:tc>
          <w:tcPr>
            <w:tcW w:w="3580" w:type="dxa"/>
            <w:vAlign w:val="bottom"/>
            <w:gridSpan w:val="2"/>
            <w:shd w:val="clear" w:color="auto" w:fill="E5F6F8"/>
          </w:tcPr>
          <w:p>
            <w:pPr>
              <w:jc w:val="right"/>
              <w:ind w:right="1330"/>
              <w:spacing w:after="0"/>
              <w:rPr>
                <w:sz w:val="20"/>
                <w:szCs w:val="20"/>
                <w:color w:val="auto"/>
              </w:rPr>
            </w:pPr>
            <w:r>
              <w:rPr>
                <w:rFonts w:ascii="Arial" w:cs="Arial" w:eastAsia="Arial" w:hAnsi="Arial"/>
                <w:sz w:val="16"/>
                <w:szCs w:val="16"/>
                <w:color w:val="4C4C4C"/>
              </w:rPr>
              <w:t>10.4%</w:t>
            </w:r>
          </w:p>
        </w:tc>
      </w:tr>
      <w:tr>
        <w:trPr>
          <w:trHeight w:val="201"/>
        </w:trPr>
        <w:tc>
          <w:tcPr>
            <w:tcW w:w="3500" w:type="dxa"/>
            <w:vAlign w:val="bottom"/>
            <w:shd w:val="clear" w:color="auto" w:fill="E5F6F8"/>
          </w:tcPr>
          <w:p>
            <w:pPr>
              <w:spacing w:after="0"/>
              <w:rPr>
                <w:sz w:val="20"/>
                <w:szCs w:val="20"/>
                <w:color w:val="auto"/>
              </w:rPr>
            </w:pPr>
            <w:r>
              <w:rPr>
                <w:rFonts w:ascii="Arial" w:cs="Arial" w:eastAsia="Arial" w:hAnsi="Arial"/>
                <w:sz w:val="16"/>
                <w:szCs w:val="16"/>
                <w:color w:val="4C4C4C"/>
              </w:rPr>
              <w:t>New York, NY 10055</w:t>
            </w:r>
          </w:p>
        </w:tc>
        <w:tc>
          <w:tcPr>
            <w:tcW w:w="300" w:type="dxa"/>
            <w:vAlign w:val="bottom"/>
            <w:shd w:val="clear" w:color="auto" w:fill="E5F6F8"/>
          </w:tcPr>
          <w:p>
            <w:pPr>
              <w:spacing w:after="0"/>
              <w:rPr>
                <w:sz w:val="17"/>
                <w:szCs w:val="17"/>
                <w:color w:val="auto"/>
              </w:rPr>
            </w:pPr>
          </w:p>
        </w:tc>
        <w:tc>
          <w:tcPr>
            <w:tcW w:w="3300" w:type="dxa"/>
            <w:vAlign w:val="bottom"/>
            <w:shd w:val="clear" w:color="auto" w:fill="E5F6F8"/>
          </w:tcPr>
          <w:p>
            <w:pPr>
              <w:spacing w:after="0"/>
              <w:rPr>
                <w:sz w:val="17"/>
                <w:szCs w:val="17"/>
                <w:color w:val="auto"/>
              </w:rPr>
            </w:pPr>
          </w:p>
        </w:tc>
        <w:tc>
          <w:tcPr>
            <w:tcW w:w="260" w:type="dxa"/>
            <w:vAlign w:val="bottom"/>
            <w:shd w:val="clear" w:color="auto" w:fill="E5F6F8"/>
          </w:tcPr>
          <w:p>
            <w:pPr>
              <w:spacing w:after="0"/>
              <w:rPr>
                <w:sz w:val="17"/>
                <w:szCs w:val="17"/>
                <w:color w:val="auto"/>
              </w:rPr>
            </w:pPr>
          </w:p>
        </w:tc>
        <w:tc>
          <w:tcPr>
            <w:tcW w:w="3320" w:type="dxa"/>
            <w:vAlign w:val="bottom"/>
            <w:shd w:val="clear" w:color="auto" w:fill="E5F6F8"/>
          </w:tcPr>
          <w:p>
            <w:pPr>
              <w:spacing w:after="0"/>
              <w:rPr>
                <w:sz w:val="17"/>
                <w:szCs w:val="17"/>
                <w:color w:val="auto"/>
              </w:rPr>
            </w:pPr>
          </w:p>
        </w:tc>
      </w:tr>
    </w:tbl>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78 | 2021 Proxy Statement</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78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253365</wp:posOffset>
            </wp:positionV>
            <wp:extent cx="6995160"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b w:val="1"/>
                <w:bCs w:val="1"/>
                <w:color w:val="00ADBB"/>
              </w:rPr>
              <w:t>Name and Address of Beneficial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00ADBB"/>
              </w:rPr>
              <w:t>Number of Shares of Our</w:t>
            </w:r>
          </w:p>
        </w:tc>
        <w:tc>
          <w:tcPr>
            <w:tcW w:w="26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color w:val="00ADBB"/>
              </w:rPr>
              <w:t>Percentage of Our Common Stock</w:t>
            </w:r>
          </w:p>
        </w:tc>
      </w:tr>
      <w:tr>
        <w:trPr>
          <w:trHeight w:val="239"/>
        </w:trPr>
        <w:tc>
          <w:tcPr>
            <w:tcW w:w="3620" w:type="dxa"/>
            <w:vAlign w:val="bottom"/>
          </w:tcPr>
          <w:p>
            <w:pPr>
              <w:spacing w:after="0"/>
              <w:rPr>
                <w:sz w:val="20"/>
                <w:szCs w:val="20"/>
                <w:color w:val="auto"/>
              </w:rPr>
            </w:pPr>
            <w:r>
              <w:rPr>
                <w:rFonts w:ascii="Arial" w:cs="Arial" w:eastAsia="Arial" w:hAnsi="Arial"/>
                <w:sz w:val="18"/>
                <w:szCs w:val="18"/>
                <w:b w:val="1"/>
                <w:bCs w:val="1"/>
                <w:color w:val="00ADBB"/>
              </w:rPr>
              <w:t>Owner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00ADBB"/>
              </w:rPr>
              <w:t>Common Stock Beneficially Owned</w:t>
            </w:r>
          </w:p>
        </w:tc>
        <w:tc>
          <w:tcPr>
            <w:tcW w:w="2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color w:val="00ADBB"/>
              </w:rPr>
              <w:t>Outstanding</w:t>
            </w:r>
          </w:p>
        </w:tc>
      </w:tr>
      <w:tr>
        <w:trPr>
          <w:trHeight w:val="128"/>
        </w:trPr>
        <w:tc>
          <w:tcPr>
            <w:tcW w:w="3620" w:type="dxa"/>
            <w:vAlign w:val="bottom"/>
            <w:tcBorders>
              <w:bottom w:val="single" w:sz="8" w:color="7F7F7F"/>
            </w:tcBorders>
          </w:tcPr>
          <w:p>
            <w:pPr>
              <w:spacing w:after="0"/>
              <w:rPr>
                <w:sz w:val="11"/>
                <w:szCs w:val="11"/>
                <w:color w:val="auto"/>
              </w:rPr>
            </w:pPr>
          </w:p>
        </w:tc>
        <w:tc>
          <w:tcPr>
            <w:tcW w:w="200" w:type="dxa"/>
            <w:vAlign w:val="bottom"/>
            <w:tcBorders>
              <w:bottom w:val="single" w:sz="8" w:color="E5F6F8"/>
            </w:tcBorders>
            <w:shd w:val="clear" w:color="auto" w:fill="E5F6F8"/>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bottom w:val="single" w:sz="8" w:color="7F7F7F"/>
            </w:tcBorders>
          </w:tcPr>
          <w:p>
            <w:pPr>
              <w:spacing w:after="0"/>
              <w:rPr>
                <w:sz w:val="11"/>
                <w:szCs w:val="11"/>
                <w:color w:val="auto"/>
              </w:rPr>
            </w:pPr>
          </w:p>
        </w:tc>
        <w:tc>
          <w:tcPr>
            <w:tcW w:w="260" w:type="dxa"/>
            <w:vAlign w:val="bottom"/>
          </w:tcPr>
          <w:p>
            <w:pPr>
              <w:spacing w:after="0"/>
              <w:rPr>
                <w:sz w:val="11"/>
                <w:szCs w:val="11"/>
                <w:color w:val="auto"/>
              </w:rPr>
            </w:pPr>
          </w:p>
        </w:tc>
        <w:tc>
          <w:tcPr>
            <w:tcW w:w="3420" w:type="dxa"/>
            <w:vAlign w:val="bottom"/>
            <w:tcBorders>
              <w:bottom w:val="single" w:sz="8" w:color="7F7F7F"/>
            </w:tcBorders>
          </w:tcPr>
          <w:p>
            <w:pPr>
              <w:spacing w:after="0"/>
              <w:rPr>
                <w:sz w:val="11"/>
                <w:szCs w:val="11"/>
                <w:color w:val="auto"/>
              </w:rPr>
            </w:pPr>
          </w:p>
        </w:tc>
      </w:tr>
      <w:tr>
        <w:trPr>
          <w:trHeight w:val="245"/>
        </w:trPr>
        <w:tc>
          <w:tcPr>
            <w:tcW w:w="3620" w:type="dxa"/>
            <w:vAlign w:val="bottom"/>
          </w:tcPr>
          <w:p>
            <w:pPr>
              <w:spacing w:after="0" w:line="245" w:lineRule="exact"/>
              <w:rPr>
                <w:sz w:val="20"/>
                <w:szCs w:val="20"/>
                <w:color w:val="auto"/>
              </w:rPr>
            </w:pPr>
            <w:r>
              <w:rPr>
                <w:rFonts w:ascii="Arial" w:cs="Arial" w:eastAsia="Arial" w:hAnsi="Arial"/>
                <w:sz w:val="16"/>
                <w:szCs w:val="16"/>
                <w:color w:val="4C4C4C"/>
              </w:rPr>
              <w:t xml:space="preserve">The Vanguard Group </w:t>
            </w:r>
            <w:r>
              <w:rPr>
                <w:rFonts w:ascii="Arial" w:cs="Arial" w:eastAsia="Arial" w:hAnsi="Arial"/>
                <w:sz w:val="27"/>
                <w:szCs w:val="27"/>
                <w:color w:val="4C4C4C"/>
                <w:vertAlign w:val="superscript"/>
              </w:rPr>
              <w:t>(3)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4C4C4C"/>
              </w:rPr>
              <w:t>100 Vanguard Boulevard</w:t>
            </w:r>
          </w:p>
        </w:tc>
        <w:tc>
          <w:tcPr>
            <w:tcW w:w="3720" w:type="dxa"/>
            <w:vAlign w:val="bottom"/>
            <w:gridSpan w:val="3"/>
          </w:tcPr>
          <w:p>
            <w:pPr>
              <w:jc w:val="right"/>
              <w:ind w:right="1250"/>
              <w:spacing w:after="0"/>
              <w:rPr>
                <w:sz w:val="20"/>
                <w:szCs w:val="20"/>
                <w:color w:val="auto"/>
              </w:rPr>
            </w:pPr>
            <w:r>
              <w:rPr>
                <w:rFonts w:ascii="Arial" w:cs="Arial" w:eastAsia="Arial" w:hAnsi="Arial"/>
                <w:sz w:val="16"/>
                <w:szCs w:val="16"/>
                <w:color w:val="4C4C4C"/>
              </w:rPr>
              <w:t>8,418,347</w:t>
            </w:r>
          </w:p>
        </w:tc>
        <w:tc>
          <w:tcPr>
            <w:tcW w:w="3680" w:type="dxa"/>
            <w:vAlign w:val="bottom"/>
            <w:gridSpan w:val="2"/>
          </w:tcPr>
          <w:p>
            <w:pPr>
              <w:jc w:val="right"/>
              <w:ind w:right="1430"/>
              <w:spacing w:after="0"/>
              <w:rPr>
                <w:sz w:val="20"/>
                <w:szCs w:val="20"/>
                <w:color w:val="auto"/>
              </w:rPr>
            </w:pPr>
            <w:r>
              <w:rPr>
                <w:rFonts w:ascii="Arial" w:cs="Arial" w:eastAsia="Arial" w:hAnsi="Arial"/>
                <w:sz w:val="16"/>
                <w:szCs w:val="16"/>
                <w:color w:val="4C4C4C"/>
              </w:rPr>
              <w:t>9.7%</w:t>
            </w:r>
          </w:p>
        </w:tc>
      </w:tr>
      <w:tr>
        <w:trPr>
          <w:trHeight w:val="195"/>
        </w:trPr>
        <w:tc>
          <w:tcPr>
            <w:tcW w:w="3620" w:type="dxa"/>
            <w:vAlign w:val="bottom"/>
          </w:tcPr>
          <w:p>
            <w:pPr>
              <w:spacing w:after="0"/>
              <w:rPr>
                <w:sz w:val="20"/>
                <w:szCs w:val="20"/>
                <w:color w:val="auto"/>
              </w:rPr>
            </w:pPr>
            <w:r>
              <w:rPr>
                <w:rFonts w:ascii="Arial" w:cs="Arial" w:eastAsia="Arial" w:hAnsi="Arial"/>
                <w:sz w:val="16"/>
                <w:szCs w:val="16"/>
                <w:color w:val="4C4C4C"/>
              </w:rPr>
              <w:t>Malvern, PA 19355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14"/>
        </w:trPr>
        <w:tc>
          <w:tcPr>
            <w:tcW w:w="3620" w:type="dxa"/>
            <w:vAlign w:val="bottom"/>
            <w:tcBorders>
              <w:bottom w:val="single" w:sz="8" w:color="7F7F7F"/>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tcBorders>
              <w:bottom w:val="single" w:sz="8" w:color="7F7F7F"/>
            </w:tcBorders>
          </w:tcPr>
          <w:p>
            <w:pPr>
              <w:spacing w:after="0"/>
              <w:rPr>
                <w:sz w:val="9"/>
                <w:szCs w:val="9"/>
                <w:color w:val="auto"/>
              </w:rPr>
            </w:pPr>
          </w:p>
        </w:tc>
        <w:tc>
          <w:tcPr>
            <w:tcW w:w="260" w:type="dxa"/>
            <w:vAlign w:val="bottom"/>
          </w:tcPr>
          <w:p>
            <w:pPr>
              <w:spacing w:after="0"/>
              <w:rPr>
                <w:sz w:val="9"/>
                <w:szCs w:val="9"/>
                <w:color w:val="auto"/>
              </w:rPr>
            </w:pPr>
          </w:p>
        </w:tc>
        <w:tc>
          <w:tcPr>
            <w:tcW w:w="3420" w:type="dxa"/>
            <w:vAlign w:val="bottom"/>
            <w:tcBorders>
              <w:bottom w:val="single" w:sz="8" w:color="7F7F7F"/>
            </w:tcBorders>
          </w:tcPr>
          <w:p>
            <w:pPr>
              <w:spacing w:after="0"/>
              <w:rPr>
                <w:sz w:val="9"/>
                <w:szCs w:val="9"/>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45"/>
        </w:trPr>
        <w:tc>
          <w:tcPr>
            <w:tcW w:w="3620" w:type="dxa"/>
            <w:vAlign w:val="bottom"/>
            <w:shd w:val="clear" w:color="auto" w:fill="E5F6F8"/>
          </w:tcPr>
          <w:p>
            <w:pPr>
              <w:spacing w:after="0" w:line="245" w:lineRule="exact"/>
              <w:rPr>
                <w:sz w:val="20"/>
                <w:szCs w:val="20"/>
                <w:color w:val="auto"/>
              </w:rPr>
            </w:pPr>
            <w:r>
              <w:rPr>
                <w:rFonts w:ascii="Arial" w:cs="Arial" w:eastAsia="Arial" w:hAnsi="Arial"/>
                <w:sz w:val="16"/>
                <w:szCs w:val="16"/>
                <w:color w:val="4C4C4C"/>
              </w:rPr>
              <w:t xml:space="preserve">T. Rowe Price Associates, Inc. </w:t>
            </w:r>
            <w:r>
              <w:rPr>
                <w:rFonts w:ascii="Arial" w:cs="Arial" w:eastAsia="Arial" w:hAnsi="Arial"/>
                <w:sz w:val="27"/>
                <w:szCs w:val="27"/>
                <w:color w:val="4C4C4C"/>
                <w:vertAlign w:val="superscript"/>
              </w:rPr>
              <w:t>(4)</w:t>
            </w:r>
          </w:p>
        </w:tc>
        <w:tc>
          <w:tcPr>
            <w:tcW w:w="200" w:type="dxa"/>
            <w:vAlign w:val="bottom"/>
            <w:shd w:val="clear" w:color="auto" w:fill="E5F6F8"/>
          </w:tcPr>
          <w:p>
            <w:pPr>
              <w:spacing w:after="0"/>
              <w:rPr>
                <w:sz w:val="21"/>
                <w:szCs w:val="21"/>
                <w:color w:val="auto"/>
              </w:rPr>
            </w:pPr>
          </w:p>
        </w:tc>
        <w:tc>
          <w:tcPr>
            <w:tcW w:w="120" w:type="dxa"/>
            <w:vAlign w:val="bottom"/>
            <w:shd w:val="clear" w:color="auto" w:fill="E5F6F8"/>
          </w:tcPr>
          <w:p>
            <w:pPr>
              <w:spacing w:after="0"/>
              <w:rPr>
                <w:sz w:val="21"/>
                <w:szCs w:val="21"/>
                <w:color w:val="auto"/>
              </w:rPr>
            </w:pPr>
          </w:p>
        </w:tc>
        <w:tc>
          <w:tcPr>
            <w:tcW w:w="3400" w:type="dxa"/>
            <w:vAlign w:val="bottom"/>
            <w:shd w:val="clear" w:color="auto" w:fill="E5F6F8"/>
          </w:tcPr>
          <w:p>
            <w:pPr>
              <w:spacing w:after="0"/>
              <w:rPr>
                <w:sz w:val="21"/>
                <w:szCs w:val="21"/>
                <w:color w:val="auto"/>
              </w:rPr>
            </w:pPr>
          </w:p>
        </w:tc>
        <w:tc>
          <w:tcPr>
            <w:tcW w:w="260" w:type="dxa"/>
            <w:vAlign w:val="bottom"/>
            <w:shd w:val="clear" w:color="auto" w:fill="E5F6F8"/>
          </w:tcPr>
          <w:p>
            <w:pPr>
              <w:spacing w:after="0"/>
              <w:rPr>
                <w:sz w:val="21"/>
                <w:szCs w:val="21"/>
                <w:color w:val="auto"/>
              </w:rPr>
            </w:pPr>
          </w:p>
        </w:tc>
        <w:tc>
          <w:tcPr>
            <w:tcW w:w="3420" w:type="dxa"/>
            <w:vAlign w:val="bottom"/>
            <w:shd w:val="clear" w:color="auto" w:fill="E5F6F8"/>
          </w:tcPr>
          <w:p>
            <w:pPr>
              <w:spacing w:after="0"/>
              <w:rPr>
                <w:sz w:val="21"/>
                <w:szCs w:val="21"/>
                <w:color w:val="auto"/>
              </w:rPr>
            </w:pPr>
          </w:p>
        </w:tc>
      </w:tr>
      <w:tr>
        <w:trPr>
          <w:trHeight w:val="189"/>
        </w:trPr>
        <w:tc>
          <w:tcPr>
            <w:tcW w:w="3620" w:type="dxa"/>
            <w:vAlign w:val="bottom"/>
            <w:shd w:val="clear" w:color="auto" w:fill="E5F6F8"/>
          </w:tcPr>
          <w:p>
            <w:pPr>
              <w:spacing w:after="0"/>
              <w:rPr>
                <w:sz w:val="20"/>
                <w:szCs w:val="20"/>
                <w:color w:val="auto"/>
              </w:rPr>
            </w:pPr>
            <w:r>
              <w:rPr>
                <w:rFonts w:ascii="Arial" w:cs="Arial" w:eastAsia="Arial" w:hAnsi="Arial"/>
                <w:sz w:val="16"/>
                <w:szCs w:val="16"/>
                <w:color w:val="4C4C4C"/>
              </w:rPr>
              <w:t>100 E. Pratt Street</w:t>
            </w:r>
          </w:p>
        </w:tc>
        <w:tc>
          <w:tcPr>
            <w:tcW w:w="200" w:type="dxa"/>
            <w:vAlign w:val="bottom"/>
            <w:shd w:val="clear" w:color="auto" w:fill="E5F6F8"/>
          </w:tcPr>
          <w:p>
            <w:pPr>
              <w:spacing w:after="0"/>
              <w:rPr>
                <w:sz w:val="16"/>
                <w:szCs w:val="16"/>
                <w:color w:val="auto"/>
              </w:rPr>
            </w:pPr>
          </w:p>
        </w:tc>
        <w:tc>
          <w:tcPr>
            <w:tcW w:w="3520" w:type="dxa"/>
            <w:vAlign w:val="bottom"/>
            <w:gridSpan w:val="2"/>
            <w:shd w:val="clear" w:color="auto" w:fill="E5F6F8"/>
          </w:tcPr>
          <w:p>
            <w:pPr>
              <w:jc w:val="right"/>
              <w:ind w:right="1250"/>
              <w:spacing w:after="0"/>
              <w:rPr>
                <w:sz w:val="20"/>
                <w:szCs w:val="20"/>
                <w:color w:val="auto"/>
              </w:rPr>
            </w:pPr>
            <w:r>
              <w:rPr>
                <w:rFonts w:ascii="Arial" w:cs="Arial" w:eastAsia="Arial" w:hAnsi="Arial"/>
                <w:sz w:val="16"/>
                <w:szCs w:val="16"/>
                <w:color w:val="4C4C4C"/>
              </w:rPr>
              <w:t>4,635,166</w:t>
            </w:r>
          </w:p>
        </w:tc>
        <w:tc>
          <w:tcPr>
            <w:tcW w:w="3680" w:type="dxa"/>
            <w:vAlign w:val="bottom"/>
            <w:gridSpan w:val="2"/>
            <w:shd w:val="clear" w:color="auto" w:fill="E5F6F8"/>
          </w:tcPr>
          <w:p>
            <w:pPr>
              <w:jc w:val="right"/>
              <w:ind w:right="1430"/>
              <w:spacing w:after="0"/>
              <w:rPr>
                <w:sz w:val="20"/>
                <w:szCs w:val="20"/>
                <w:color w:val="auto"/>
              </w:rPr>
            </w:pPr>
            <w:r>
              <w:rPr>
                <w:rFonts w:ascii="Arial" w:cs="Arial" w:eastAsia="Arial" w:hAnsi="Arial"/>
                <w:sz w:val="16"/>
                <w:szCs w:val="16"/>
                <w:color w:val="4C4C4C"/>
              </w:rPr>
              <w:t>5.4%</w:t>
            </w:r>
          </w:p>
        </w:tc>
      </w:tr>
      <w:tr>
        <w:trPr>
          <w:trHeight w:val="195"/>
        </w:trPr>
        <w:tc>
          <w:tcPr>
            <w:tcW w:w="3620" w:type="dxa"/>
            <w:vAlign w:val="bottom"/>
            <w:shd w:val="clear" w:color="auto" w:fill="E5F6F8"/>
          </w:tcPr>
          <w:p>
            <w:pPr>
              <w:spacing w:after="0"/>
              <w:rPr>
                <w:sz w:val="20"/>
                <w:szCs w:val="20"/>
                <w:color w:val="auto"/>
              </w:rPr>
            </w:pPr>
            <w:r>
              <w:rPr>
                <w:rFonts w:ascii="Arial" w:cs="Arial" w:eastAsia="Arial" w:hAnsi="Arial"/>
                <w:sz w:val="16"/>
                <w:szCs w:val="16"/>
                <w:color w:val="4C4C4C"/>
              </w:rPr>
              <w:t>Baltimore, MD 21202</w:t>
            </w:r>
          </w:p>
        </w:tc>
        <w:tc>
          <w:tcPr>
            <w:tcW w:w="200" w:type="dxa"/>
            <w:vAlign w:val="bottom"/>
            <w:shd w:val="clear" w:color="auto" w:fill="E5F6F8"/>
          </w:tcPr>
          <w:p>
            <w:pPr>
              <w:spacing w:after="0"/>
              <w:rPr>
                <w:sz w:val="16"/>
                <w:szCs w:val="16"/>
                <w:color w:val="auto"/>
              </w:rPr>
            </w:pPr>
          </w:p>
        </w:tc>
        <w:tc>
          <w:tcPr>
            <w:tcW w:w="120" w:type="dxa"/>
            <w:vAlign w:val="bottom"/>
            <w:shd w:val="clear" w:color="auto" w:fill="E5F6F8"/>
          </w:tcPr>
          <w:p>
            <w:pPr>
              <w:spacing w:after="0"/>
              <w:rPr>
                <w:sz w:val="16"/>
                <w:szCs w:val="16"/>
                <w:color w:val="auto"/>
              </w:rPr>
            </w:pPr>
          </w:p>
        </w:tc>
        <w:tc>
          <w:tcPr>
            <w:tcW w:w="3400" w:type="dxa"/>
            <w:vAlign w:val="bottom"/>
            <w:shd w:val="clear" w:color="auto" w:fill="E5F6F8"/>
          </w:tcPr>
          <w:p>
            <w:pPr>
              <w:spacing w:after="0"/>
              <w:rPr>
                <w:sz w:val="16"/>
                <w:szCs w:val="16"/>
                <w:color w:val="auto"/>
              </w:rPr>
            </w:pPr>
          </w:p>
        </w:tc>
        <w:tc>
          <w:tcPr>
            <w:tcW w:w="260" w:type="dxa"/>
            <w:vAlign w:val="bottom"/>
            <w:shd w:val="clear" w:color="auto" w:fill="E5F6F8"/>
          </w:tcPr>
          <w:p>
            <w:pPr>
              <w:spacing w:after="0"/>
              <w:rPr>
                <w:sz w:val="16"/>
                <w:szCs w:val="16"/>
                <w:color w:val="auto"/>
              </w:rPr>
            </w:pPr>
          </w:p>
        </w:tc>
        <w:tc>
          <w:tcPr>
            <w:tcW w:w="3420" w:type="dxa"/>
            <w:vAlign w:val="bottom"/>
            <w:shd w:val="clear" w:color="auto" w:fill="E5F6F8"/>
          </w:tcPr>
          <w:p>
            <w:pPr>
              <w:spacing w:after="0"/>
              <w:rPr>
                <w:sz w:val="16"/>
                <w:szCs w:val="16"/>
                <w:color w:val="auto"/>
              </w:rPr>
            </w:pPr>
          </w:p>
        </w:tc>
      </w:tr>
      <w:tr>
        <w:trPr>
          <w:trHeight w:val="121"/>
        </w:trPr>
        <w:tc>
          <w:tcPr>
            <w:tcW w:w="3620" w:type="dxa"/>
            <w:vAlign w:val="bottom"/>
            <w:tcBorders>
              <w:bottom w:val="single" w:sz="8" w:color="7F7F7F"/>
            </w:tcBorders>
            <w:shd w:val="clear" w:color="auto" w:fill="E5F6F8"/>
          </w:tcPr>
          <w:p>
            <w:pPr>
              <w:spacing w:after="0"/>
              <w:rPr>
                <w:sz w:val="10"/>
                <w:szCs w:val="10"/>
                <w:color w:val="auto"/>
              </w:rPr>
            </w:pPr>
          </w:p>
        </w:tc>
        <w:tc>
          <w:tcPr>
            <w:tcW w:w="200" w:type="dxa"/>
            <w:vAlign w:val="bottom"/>
            <w:tcBorders>
              <w:bottom w:val="single" w:sz="8" w:color="E5F6F8"/>
            </w:tcBorders>
            <w:shd w:val="clear" w:color="auto" w:fill="E5F6F8"/>
          </w:tcPr>
          <w:p>
            <w:pPr>
              <w:spacing w:after="0"/>
              <w:rPr>
                <w:sz w:val="10"/>
                <w:szCs w:val="10"/>
                <w:color w:val="auto"/>
              </w:rPr>
            </w:pPr>
          </w:p>
        </w:tc>
        <w:tc>
          <w:tcPr>
            <w:tcW w:w="120" w:type="dxa"/>
            <w:vAlign w:val="bottom"/>
            <w:tcBorders>
              <w:bottom w:val="single" w:sz="8" w:color="E5F6F8"/>
            </w:tcBorders>
            <w:shd w:val="clear" w:color="auto" w:fill="E5F6F8"/>
          </w:tcPr>
          <w:p>
            <w:pPr>
              <w:spacing w:after="0"/>
              <w:rPr>
                <w:sz w:val="10"/>
                <w:szCs w:val="10"/>
                <w:color w:val="auto"/>
              </w:rPr>
            </w:pPr>
          </w:p>
        </w:tc>
        <w:tc>
          <w:tcPr>
            <w:tcW w:w="3400" w:type="dxa"/>
            <w:vAlign w:val="bottom"/>
            <w:tcBorders>
              <w:bottom w:val="single" w:sz="8" w:color="7F7F7F"/>
            </w:tcBorders>
            <w:shd w:val="clear" w:color="auto" w:fill="E5F6F8"/>
          </w:tcPr>
          <w:p>
            <w:pPr>
              <w:spacing w:after="0"/>
              <w:rPr>
                <w:sz w:val="10"/>
                <w:szCs w:val="10"/>
                <w:color w:val="auto"/>
              </w:rPr>
            </w:pPr>
          </w:p>
        </w:tc>
        <w:tc>
          <w:tcPr>
            <w:tcW w:w="260" w:type="dxa"/>
            <w:vAlign w:val="bottom"/>
            <w:tcBorders>
              <w:bottom w:val="single" w:sz="8" w:color="E5F6F8"/>
            </w:tcBorders>
            <w:shd w:val="clear" w:color="auto" w:fill="E5F6F8"/>
          </w:tcPr>
          <w:p>
            <w:pPr>
              <w:spacing w:after="0"/>
              <w:rPr>
                <w:sz w:val="10"/>
                <w:szCs w:val="10"/>
                <w:color w:val="auto"/>
              </w:rPr>
            </w:pPr>
          </w:p>
        </w:tc>
        <w:tc>
          <w:tcPr>
            <w:tcW w:w="3420" w:type="dxa"/>
            <w:vAlign w:val="bottom"/>
            <w:tcBorders>
              <w:bottom w:val="single" w:sz="8" w:color="7F7F7F"/>
            </w:tcBorders>
            <w:shd w:val="clear" w:color="auto" w:fill="E5F6F8"/>
          </w:tcPr>
          <w:p>
            <w:pPr>
              <w:spacing w:after="0"/>
              <w:rPr>
                <w:sz w:val="10"/>
                <w:szCs w:val="10"/>
                <w:color w:val="auto"/>
              </w:rPr>
            </w:pPr>
          </w:p>
        </w:tc>
      </w:tr>
    </w:tbl>
    <w:p>
      <w:pPr>
        <w:spacing w:after="0" w:line="121" w:lineRule="exact"/>
        <w:rPr>
          <w:sz w:val="20"/>
          <w:szCs w:val="20"/>
          <w:color w:val="auto"/>
        </w:rPr>
      </w:pPr>
    </w:p>
    <w:p>
      <w:pPr>
        <w:ind w:left="540" w:right="60" w:hanging="424"/>
        <w:spacing w:after="0"/>
        <w:tabs>
          <w:tab w:leader="none" w:pos="540" w:val="left"/>
        </w:tabs>
        <w:numPr>
          <w:ilvl w:val="0"/>
          <w:numId w:val="156"/>
        </w:numPr>
        <w:rPr>
          <w:rFonts w:ascii="Arial" w:cs="Arial" w:eastAsia="Arial" w:hAnsi="Arial"/>
          <w:sz w:val="18"/>
          <w:szCs w:val="18"/>
          <w:color w:val="4C4C4C"/>
        </w:rPr>
      </w:pPr>
      <w:r>
        <w:rPr>
          <w:rFonts w:ascii="Arial" w:cs="Arial" w:eastAsia="Arial" w:hAnsi="Arial"/>
          <w:sz w:val="18"/>
          <w:szCs w:val="18"/>
          <w:color w:val="4C4C4C"/>
        </w:rPr>
        <w:t>Based on a Schedule 13G filed with the SEC on February 11, 2021, by Dodge &amp; Cox, reporting beneficial ownership as of December 31, 2020, with sole voting power with respect to 9,414,431 of the shares, sole dispositive power with respect to 9,907,961 of the shares, and no shared voting power and no shared dispositive power with respect to any of the shares.</w:t>
      </w:r>
    </w:p>
    <w:p>
      <w:pPr>
        <w:spacing w:after="0" w:line="67" w:lineRule="exact"/>
        <w:rPr>
          <w:rFonts w:ascii="Arial" w:cs="Arial" w:eastAsia="Arial" w:hAnsi="Arial"/>
          <w:sz w:val="18"/>
          <w:szCs w:val="18"/>
          <w:color w:val="4C4C4C"/>
        </w:rPr>
      </w:pPr>
    </w:p>
    <w:p>
      <w:pPr>
        <w:ind w:left="540" w:right="100" w:hanging="424"/>
        <w:spacing w:after="0"/>
        <w:tabs>
          <w:tab w:leader="none" w:pos="540" w:val="left"/>
        </w:tabs>
        <w:numPr>
          <w:ilvl w:val="0"/>
          <w:numId w:val="156"/>
        </w:numPr>
        <w:rPr>
          <w:rFonts w:ascii="Arial" w:cs="Arial" w:eastAsia="Arial" w:hAnsi="Arial"/>
          <w:sz w:val="18"/>
          <w:szCs w:val="18"/>
          <w:color w:val="4C4C4C"/>
        </w:rPr>
      </w:pPr>
      <w:r>
        <w:rPr>
          <w:rFonts w:ascii="Arial" w:cs="Arial" w:eastAsia="Arial" w:hAnsi="Arial"/>
          <w:sz w:val="18"/>
          <w:szCs w:val="18"/>
          <w:color w:val="4C4C4C"/>
        </w:rPr>
        <w:t>Based on a Schedule 13G filed with the SEC on April 12, 2021, by BlackRock, Inc., reporting beneficial ownership as of March 31, 2021, with sole voting power with respect to 8,458,138 of the shares, sole dispositive power with respect to 8,979,315 of the shares, and no shared voting power and no shared dispositive power with respect to any of the shares.</w:t>
      </w:r>
    </w:p>
    <w:p>
      <w:pPr>
        <w:spacing w:after="0" w:line="67" w:lineRule="exact"/>
        <w:rPr>
          <w:rFonts w:ascii="Arial" w:cs="Arial" w:eastAsia="Arial" w:hAnsi="Arial"/>
          <w:sz w:val="18"/>
          <w:szCs w:val="18"/>
          <w:color w:val="4C4C4C"/>
        </w:rPr>
      </w:pPr>
    </w:p>
    <w:p>
      <w:pPr>
        <w:ind w:left="540" w:right="100" w:hanging="424"/>
        <w:spacing w:after="0" w:line="238" w:lineRule="auto"/>
        <w:tabs>
          <w:tab w:leader="none" w:pos="540" w:val="left"/>
        </w:tabs>
        <w:numPr>
          <w:ilvl w:val="0"/>
          <w:numId w:val="156"/>
        </w:numPr>
        <w:rPr>
          <w:rFonts w:ascii="Arial" w:cs="Arial" w:eastAsia="Arial" w:hAnsi="Arial"/>
          <w:sz w:val="18"/>
          <w:szCs w:val="18"/>
          <w:color w:val="4C4C4C"/>
        </w:rPr>
      </w:pPr>
      <w:r>
        <w:rPr>
          <w:rFonts w:ascii="Arial" w:cs="Arial" w:eastAsia="Arial" w:hAnsi="Arial"/>
          <w:sz w:val="18"/>
          <w:szCs w:val="18"/>
          <w:color w:val="4C4C4C"/>
        </w:rPr>
        <w:t>Based on a Schedule 13G/A filed with the SEC on February 10, 2021, by The Vanguard Group, reporting beneficial ownership as of December 31, 2020, with shared voting power with respect to 65,134 of the shares, sole dispositive power with respect to 8,275,733 of the shares, shared dispositive power with respect to 142,614 of the shares and no sole voting power with respect to any of the shares.</w:t>
      </w:r>
    </w:p>
    <w:p>
      <w:pPr>
        <w:spacing w:after="0" w:line="69" w:lineRule="exact"/>
        <w:rPr>
          <w:rFonts w:ascii="Arial" w:cs="Arial" w:eastAsia="Arial" w:hAnsi="Arial"/>
          <w:sz w:val="18"/>
          <w:szCs w:val="18"/>
          <w:color w:val="4C4C4C"/>
        </w:rPr>
      </w:pPr>
    </w:p>
    <w:p>
      <w:pPr>
        <w:ind w:left="540" w:right="220" w:hanging="424"/>
        <w:spacing w:after="0"/>
        <w:tabs>
          <w:tab w:leader="none" w:pos="540" w:val="left"/>
        </w:tabs>
        <w:numPr>
          <w:ilvl w:val="0"/>
          <w:numId w:val="156"/>
        </w:numPr>
        <w:rPr>
          <w:rFonts w:ascii="Arial" w:cs="Arial" w:eastAsia="Arial" w:hAnsi="Arial"/>
          <w:sz w:val="18"/>
          <w:szCs w:val="18"/>
          <w:color w:val="4C4C4C"/>
        </w:rPr>
      </w:pPr>
      <w:r>
        <w:rPr>
          <w:rFonts w:ascii="Arial" w:cs="Arial" w:eastAsia="Arial" w:hAnsi="Arial"/>
          <w:sz w:val="18"/>
          <w:szCs w:val="18"/>
          <w:color w:val="4C4C4C"/>
        </w:rPr>
        <w:t>Based on a Schedule 13G filed with the SEC on February 16, 2021, by T. Rowe Price Associates, Inc., reporting beneficial ownership as of December 31, 2020, with sole voting power with respect to 1,655,730 of the shares, sole dispositive power with respect to 4,635,166 of the shares, and no shared voting power and no shared dispositive power with respect to any of the shares.</w:t>
      </w:r>
    </w:p>
    <w:p>
      <w:pPr>
        <w:spacing w:after="0" w:line="9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4C4C4C"/>
        </w:rPr>
        <w:t>From time to time, we engage in ordinary course transactions with entities or affiliates of entities that are the beneficial owner of more than 5% of our outstanding common stock. For example, we have engaged a select group of experienced external asset management firms, including BlackRock, Vanguard, and T. Rowe Price, pursuant to several investment management agreements, to manage the investment of the assets comprising our general account portfolio and certain separate account assets of our insurance subsidiaries, as well as assets of the Company and our reinsurance subsidiary, Brighthouse Reinsurance Company of Delaware. In addition, we use BlackRock’s portfolio management software to manage certain of our investment activities. All of our transactions with these 5% holders and their affiliates were arms-length transactions entered into in the ordinary course of business, with management and other fees based on the prevailing rates for non-related persons. In addition, on May 27, 2020, we announced that BlackRock selected Brighthouse as one of two insurers to help deliver LifePath Paycheck</w:t>
      </w:r>
      <w:r>
        <w:rPr>
          <w:rFonts w:ascii="Arial" w:cs="Arial" w:eastAsia="Arial" w:hAnsi="Arial"/>
          <w:sz w:val="15"/>
          <w:szCs w:val="15"/>
          <w:color w:val="4C4C4C"/>
        </w:rPr>
        <w:t>™</w:t>
      </w:r>
      <w:r>
        <w:rPr>
          <w:rFonts w:ascii="Arial" w:cs="Arial" w:eastAsia="Arial" w:hAnsi="Arial"/>
          <w:sz w:val="18"/>
          <w:szCs w:val="18"/>
          <w:color w:val="4C4C4C"/>
        </w:rPr>
        <w:t>, an investment solution being developed by BlackRock.</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79</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Annual Meeting, Voting, and Other Information</w:t>
      </w:r>
      <w:r>
        <w:rPr>
          <w:sz w:val="20"/>
          <w:szCs w:val="20"/>
          <w:color w:val="auto"/>
        </w:rPr>
        <w:tab/>
      </w:r>
      <w:r>
        <w:rPr>
          <w:rFonts w:ascii="Arial" w:cs="Arial" w:eastAsia="Arial" w:hAnsi="Arial"/>
          <w:sz w:val="12"/>
          <w:szCs w:val="12"/>
          <w:b w:val="1"/>
          <w:bCs w:val="1"/>
          <w:color w:val="00ADBB"/>
        </w:rPr>
        <w:t>Brighthouse Financial, Inc.</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ADBB"/>
        </w:rPr>
        <w:t>The Annual Meeting, Voting, and Other Information</w:t>
      </w:r>
    </w:p>
    <w:p>
      <w:pPr>
        <w:spacing w:after="0" w:line="35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Overview</w:t>
      </w:r>
    </w:p>
    <w:p>
      <w:pPr>
        <w:spacing w:after="0" w:line="125" w:lineRule="exact"/>
        <w:rPr>
          <w:sz w:val="20"/>
          <w:szCs w:val="20"/>
          <w:color w:val="auto"/>
        </w:rPr>
      </w:pPr>
    </w:p>
    <w:p>
      <w:pPr>
        <w:jc w:val="both"/>
        <w:ind w:left="280" w:right="500"/>
        <w:spacing w:after="0"/>
        <w:rPr>
          <w:sz w:val="20"/>
          <w:szCs w:val="20"/>
          <w:color w:val="auto"/>
        </w:rPr>
      </w:pPr>
      <w:r>
        <w:rPr>
          <w:rFonts w:ascii="Arial" w:cs="Arial" w:eastAsia="Arial" w:hAnsi="Arial"/>
          <w:sz w:val="18"/>
          <w:szCs w:val="18"/>
          <w:color w:val="4C4C4C"/>
        </w:rPr>
        <w:t>Our Board is soliciting proxies in connection with our Annual Meeting. Under SEC rules, when the Board asks you for your proxy, it must provide you with a proxy statement and certain other materials (including an annual report to stockholders) containing certain required information. These materials will be first made available, sent, or given to stockholders on April 28, 2021.</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The “</w:t>
      </w:r>
      <w:r>
        <w:rPr>
          <w:rFonts w:ascii="Arial" w:cs="Arial" w:eastAsia="Arial" w:hAnsi="Arial"/>
          <w:sz w:val="18"/>
          <w:szCs w:val="18"/>
          <w:b w:val="1"/>
          <w:bCs w:val="1"/>
          <w:color w:val="00ADBB"/>
        </w:rPr>
        <w:t>Proxy Materials</w:t>
      </w:r>
      <w:r>
        <w:rPr>
          <w:rFonts w:ascii="Arial" w:cs="Arial" w:eastAsia="Arial" w:hAnsi="Arial"/>
          <w:sz w:val="18"/>
          <w:szCs w:val="18"/>
          <w:color w:val="4C4C4C"/>
        </w:rPr>
        <w:t>” include:</w:t>
      </w:r>
    </w:p>
    <w:p>
      <w:pPr>
        <w:spacing w:after="0" w:line="13" w:lineRule="exact"/>
        <w:rPr>
          <w:sz w:val="20"/>
          <w:szCs w:val="20"/>
          <w:color w:val="auto"/>
        </w:rPr>
      </w:pPr>
    </w:p>
    <w:p>
      <w:pPr>
        <w:ind w:left="480" w:hanging="199"/>
        <w:spacing w:after="0"/>
        <w:tabs>
          <w:tab w:leader="none" w:pos="480" w:val="left"/>
        </w:tabs>
        <w:numPr>
          <w:ilvl w:val="0"/>
          <w:numId w:val="157"/>
        </w:numPr>
        <w:rPr>
          <w:rFonts w:ascii="Arial" w:cs="Arial" w:eastAsia="Arial" w:hAnsi="Arial"/>
          <w:sz w:val="18"/>
          <w:szCs w:val="18"/>
          <w:color w:val="4C4C4C"/>
        </w:rPr>
      </w:pPr>
      <w:r>
        <w:rPr>
          <w:rFonts w:ascii="Arial" w:cs="Arial" w:eastAsia="Arial" w:hAnsi="Arial"/>
          <w:sz w:val="18"/>
          <w:szCs w:val="18"/>
          <w:color w:val="4C4C4C"/>
        </w:rPr>
        <w:t>this Proxy Statement;</w:t>
      </w:r>
    </w:p>
    <w:p>
      <w:pPr>
        <w:ind w:left="480" w:hanging="199"/>
        <w:spacing w:after="0" w:line="234" w:lineRule="auto"/>
        <w:tabs>
          <w:tab w:leader="none" w:pos="480" w:val="left"/>
        </w:tabs>
        <w:numPr>
          <w:ilvl w:val="0"/>
          <w:numId w:val="157"/>
        </w:numPr>
        <w:rPr>
          <w:rFonts w:ascii="Arial" w:cs="Arial" w:eastAsia="Arial" w:hAnsi="Arial"/>
          <w:sz w:val="18"/>
          <w:szCs w:val="18"/>
          <w:color w:val="4C4C4C"/>
        </w:rPr>
      </w:pPr>
      <w:r>
        <w:rPr>
          <w:rFonts w:ascii="Arial" w:cs="Arial" w:eastAsia="Arial" w:hAnsi="Arial"/>
          <w:sz w:val="18"/>
          <w:szCs w:val="18"/>
          <w:color w:val="4C4C4C"/>
        </w:rPr>
        <w:t>a notice of our 2021 Annual Meeting of Stockholders (which is attached to this Proxy Statement); and</w:t>
      </w:r>
    </w:p>
    <w:p>
      <w:pPr>
        <w:ind w:left="480" w:hanging="199"/>
        <w:spacing w:after="0"/>
        <w:tabs>
          <w:tab w:leader="none" w:pos="480" w:val="left"/>
        </w:tabs>
        <w:numPr>
          <w:ilvl w:val="0"/>
          <w:numId w:val="157"/>
        </w:numPr>
        <w:rPr>
          <w:rFonts w:ascii="Arial" w:cs="Arial" w:eastAsia="Arial" w:hAnsi="Arial"/>
          <w:sz w:val="18"/>
          <w:szCs w:val="18"/>
          <w:color w:val="4C4C4C"/>
        </w:rPr>
      </w:pPr>
      <w:r>
        <w:rPr>
          <w:rFonts w:ascii="Arial" w:cs="Arial" w:eastAsia="Arial" w:hAnsi="Arial"/>
          <w:sz w:val="18"/>
          <w:szCs w:val="18"/>
          <w:color w:val="4C4C4C"/>
        </w:rPr>
        <w:t>our 2020 Annual Report to Stockholders.</w:t>
      </w:r>
    </w:p>
    <w:p>
      <w:pPr>
        <w:spacing w:after="0" w:line="104" w:lineRule="exact"/>
        <w:rPr>
          <w:sz w:val="20"/>
          <w:szCs w:val="20"/>
          <w:color w:val="auto"/>
        </w:rPr>
      </w:pPr>
    </w:p>
    <w:p>
      <w:pPr>
        <w:ind w:left="280" w:right="240"/>
        <w:spacing w:after="0"/>
        <w:rPr>
          <w:sz w:val="20"/>
          <w:szCs w:val="20"/>
          <w:color w:val="auto"/>
        </w:rPr>
      </w:pPr>
      <w:r>
        <w:rPr>
          <w:rFonts w:ascii="Arial" w:cs="Arial" w:eastAsia="Arial" w:hAnsi="Arial"/>
          <w:sz w:val="18"/>
          <w:szCs w:val="18"/>
          <w:color w:val="4C4C4C"/>
        </w:rPr>
        <w:t>If you received printed versions of these materials by mail (rather than through electronic delivery), these materials also include a proxy card or voting instruction form. If you received or accessed these materials via the Internet, your proxy card or voting instruction form is available to be filled out and executed electronically.</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88265</wp:posOffset>
            </wp:positionV>
            <wp:extent cx="6789420" cy="5918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789420" cy="591820"/>
                    </a:xfrm>
                    <a:prstGeom prst="rect">
                      <a:avLst/>
                    </a:prstGeom>
                    <a:noFill/>
                  </pic:spPr>
                </pic:pic>
              </a:graphicData>
            </a:graphic>
          </wp:anchor>
        </w:drawing>
      </w:r>
    </w:p>
    <w:p>
      <w:pPr>
        <w:spacing w:after="0" w:line="150" w:lineRule="exact"/>
        <w:rPr>
          <w:sz w:val="20"/>
          <w:szCs w:val="20"/>
          <w:color w:val="auto"/>
        </w:rPr>
      </w:pPr>
    </w:p>
    <w:p>
      <w:pPr>
        <w:ind w:left="540" w:right="380"/>
        <w:spacing w:after="0" w:line="247" w:lineRule="auto"/>
        <w:rPr>
          <w:sz w:val="20"/>
          <w:szCs w:val="20"/>
          <w:color w:val="auto"/>
        </w:rPr>
      </w:pPr>
      <w:r>
        <w:rPr>
          <w:rFonts w:ascii="Arial" w:cs="Arial" w:eastAsia="Arial" w:hAnsi="Arial"/>
          <w:sz w:val="18"/>
          <w:szCs w:val="18"/>
          <w:color w:val="4C4C4C"/>
        </w:rPr>
        <w:t>Brighthouse will hold its Annual Meeting solely by means of remote communication via the internet (a “</w:t>
      </w:r>
      <w:r>
        <w:rPr>
          <w:rFonts w:ascii="Arial" w:cs="Arial" w:eastAsia="Arial" w:hAnsi="Arial"/>
          <w:sz w:val="18"/>
          <w:szCs w:val="18"/>
          <w:b w:val="1"/>
          <w:bCs w:val="1"/>
          <w:color w:val="00ADBB"/>
        </w:rPr>
        <w:t>virtual meeting</w:t>
      </w:r>
      <w:r>
        <w:rPr>
          <w:rFonts w:ascii="Arial" w:cs="Arial" w:eastAsia="Arial" w:hAnsi="Arial"/>
          <w:sz w:val="18"/>
          <w:szCs w:val="18"/>
          <w:color w:val="4C4C4C"/>
        </w:rPr>
        <w:t>”). We are sensitive to our stockholders’ health concerns and restrictions on travel and gatherings, and therefore have determined that it is advisable to hold our Annual Meeting as a virtual meeting. All stockholders as of April 13, 2021 (the “</w:t>
      </w:r>
      <w:r>
        <w:rPr>
          <w:rFonts w:ascii="Arial" w:cs="Arial" w:eastAsia="Arial" w:hAnsi="Arial"/>
          <w:sz w:val="18"/>
          <w:szCs w:val="18"/>
          <w:b w:val="1"/>
          <w:bCs w:val="1"/>
          <w:color w:val="00ADBB"/>
        </w:rPr>
        <w:t>Record Date</w:t>
      </w:r>
      <w:r>
        <w:rPr>
          <w:rFonts w:ascii="Arial" w:cs="Arial" w:eastAsia="Arial" w:hAnsi="Arial"/>
          <w:sz w:val="18"/>
          <w:szCs w:val="18"/>
          <w:color w:val="4C4C4C"/>
        </w:rPr>
        <w:t>”) will be able to attend, vote, and participate in the meeting by remote communication.</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Date and Time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Thursday, June 10, 2021 at 8:00 a.m., Eastern Time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Annual Meeting Website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 xml:space="preserve">For admission to the Annual Meeting, please log on to our annual meeting website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Who May Attend</w:t>
      </w:r>
    </w:p>
    <w:p>
      <w:pPr>
        <w:spacing w:after="0" w:line="13" w:lineRule="exact"/>
        <w:rPr>
          <w:sz w:val="20"/>
          <w:szCs w:val="20"/>
          <w:color w:val="auto"/>
        </w:rPr>
      </w:pPr>
    </w:p>
    <w:p>
      <w:pPr>
        <w:jc w:val="both"/>
        <w:ind w:left="280" w:right="240"/>
        <w:spacing w:after="0"/>
        <w:rPr>
          <w:sz w:val="20"/>
          <w:szCs w:val="20"/>
          <w:color w:val="auto"/>
        </w:rPr>
      </w:pPr>
      <w:r>
        <w:rPr>
          <w:rFonts w:ascii="Arial" w:cs="Arial" w:eastAsia="Arial" w:hAnsi="Arial"/>
          <w:sz w:val="18"/>
          <w:szCs w:val="18"/>
          <w:color w:val="4C4C4C"/>
        </w:rPr>
        <w:t>Only holders of Shares as of the Record Date, or their authorized representatives or proxies, may attend and participate in the Annual Meeting. Any person who was not a stockholder as of the Record Date may attend the Annual Meeting as an observer, but will not be able to vote or ask questions.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How to Attend the Annual Meeting</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 xml:space="preserve">For admission to the Annual Meeting, please log on to our annual meeting website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104" w:lineRule="exact"/>
        <w:rPr>
          <w:sz w:val="20"/>
          <w:szCs w:val="20"/>
          <w:color w:val="auto"/>
        </w:rPr>
      </w:pPr>
    </w:p>
    <w:p>
      <w:pPr>
        <w:ind w:left="280" w:right="500"/>
        <w:spacing w:after="0" w:line="246" w:lineRule="auto"/>
        <w:rPr>
          <w:sz w:val="20"/>
          <w:szCs w:val="20"/>
          <w:color w:val="auto"/>
        </w:rPr>
      </w:pPr>
      <w:r>
        <w:rPr>
          <w:rFonts w:ascii="Arial" w:cs="Arial" w:eastAsia="Arial" w:hAnsi="Arial"/>
          <w:sz w:val="18"/>
          <w:szCs w:val="18"/>
          <w:color w:val="4C4C4C"/>
        </w:rPr>
        <w:t>The virtual meeting platform is supported across various browsers and devices. Participants should ensure that they have a strong WiFi connection wherever they intend to participate in the Annual Meeting.</w:t>
      </w:r>
    </w:p>
    <w:p>
      <w:pPr>
        <w:spacing w:after="0" w:line="89" w:lineRule="exact"/>
        <w:rPr>
          <w:sz w:val="20"/>
          <w:szCs w:val="20"/>
          <w:color w:val="auto"/>
        </w:rPr>
      </w:pPr>
    </w:p>
    <w:p>
      <w:pPr>
        <w:ind w:left="280" w:right="520"/>
        <w:spacing w:after="0" w:line="246" w:lineRule="auto"/>
        <w:rPr>
          <w:sz w:val="20"/>
          <w:szCs w:val="20"/>
          <w:color w:val="auto"/>
        </w:rPr>
      </w:pPr>
      <w:r>
        <w:rPr>
          <w:rFonts w:ascii="Arial" w:cs="Arial" w:eastAsia="Arial" w:hAnsi="Arial"/>
          <w:sz w:val="18"/>
          <w:szCs w:val="18"/>
          <w:color w:val="4C4C4C"/>
        </w:rPr>
        <w:t>We encourage you to access the Annual Meeting prior to the start time to allow ample time for online check-in. The website will be open for check-in beginning at 7:30 a.m. on the date of the Annual Meeting.</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80 | 2021 Proxy Statement</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08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Annual Meeting, Voting, and Other Information</w:t>
      </w:r>
    </w:p>
    <w:p>
      <w:pPr>
        <w:spacing w:after="0" w:line="26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4C4C4C"/>
        </w:rPr>
        <w:t xml:space="preserve">If you experience any difficulties accessing the Annual Meeting website or at any time during the Annual Meeting, please call the technical support number posted on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67"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color w:val="3F3F3F"/>
        </w:rPr>
        <w:t>To attend and participate in the Annual Meeting online, you will need your “</w:t>
      </w:r>
      <w:r>
        <w:rPr>
          <w:rFonts w:ascii="Arial" w:cs="Arial" w:eastAsia="Arial" w:hAnsi="Arial"/>
          <w:sz w:val="18"/>
          <w:szCs w:val="18"/>
          <w:b w:val="1"/>
          <w:bCs w:val="1"/>
          <w:color w:val="00ADBB"/>
        </w:rPr>
        <w:t>Control Number</w:t>
      </w:r>
      <w:r>
        <w:rPr>
          <w:rFonts w:ascii="Arial" w:cs="Arial" w:eastAsia="Arial" w:hAnsi="Arial"/>
          <w:sz w:val="18"/>
          <w:szCs w:val="18"/>
          <w:b w:val="1"/>
          <w:bCs w:val="1"/>
          <w:color w:val="3F3F3F"/>
        </w:rPr>
        <w:t xml:space="preserve">.” </w:t>
      </w:r>
      <w:r>
        <w:rPr>
          <w:rFonts w:ascii="Arial" w:cs="Arial" w:eastAsia="Arial" w:hAnsi="Arial"/>
          <w:sz w:val="18"/>
          <w:szCs w:val="18"/>
          <w:color w:val="4C4C4C"/>
        </w:rPr>
        <w:t>The Control Number is a 16-digit</w:t>
      </w:r>
      <w:r>
        <w:rPr>
          <w:rFonts w:ascii="Arial" w:cs="Arial" w:eastAsia="Arial" w:hAnsi="Arial"/>
          <w:sz w:val="18"/>
          <w:szCs w:val="18"/>
          <w:b w:val="1"/>
          <w:bCs w:val="1"/>
          <w:color w:val="3F3F3F"/>
        </w:rPr>
        <w:t xml:space="preserve"> </w:t>
      </w:r>
      <w:r>
        <w:rPr>
          <w:rFonts w:ascii="Arial" w:cs="Arial" w:eastAsia="Arial" w:hAnsi="Arial"/>
          <w:sz w:val="18"/>
          <w:szCs w:val="18"/>
          <w:color w:val="4C4C4C"/>
        </w:rPr>
        <w:t>number that you can find in the Notice of Internet Availability (if you received proxy materials via electronic delivery), proxy card (if you are a stockholder of record who received proxy materials by mail) or voting instruction form (if you are a beneficial owner who received proxy materials by mail). Beneficial owners who do not have a control number should follow the instructions provided on the voting instruction card or otherwise provided by your bank, broker, or other nominee.</w:t>
      </w:r>
    </w:p>
    <w:p>
      <w:pPr>
        <w:spacing w:after="0" w:line="90"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4C4C4C"/>
        </w:rPr>
        <w:t>If you do not have your Control Number, you will not be able to participate in the Annual Meeting, but you may listen to the webcast as an observer.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How to Participate in the Annual Meeting</w:t>
      </w:r>
    </w:p>
    <w:p>
      <w:pPr>
        <w:spacing w:after="0" w:line="13" w:lineRule="exact"/>
        <w:rPr>
          <w:sz w:val="20"/>
          <w:szCs w:val="20"/>
          <w:color w:val="auto"/>
        </w:rPr>
      </w:pPr>
    </w:p>
    <w:p>
      <w:pPr>
        <w:ind w:left="120" w:right="500"/>
        <w:spacing w:after="0"/>
        <w:rPr>
          <w:sz w:val="20"/>
          <w:szCs w:val="20"/>
          <w:color w:val="auto"/>
        </w:rPr>
      </w:pPr>
      <w:r>
        <w:rPr>
          <w:rFonts w:ascii="Arial" w:cs="Arial" w:eastAsia="Arial" w:hAnsi="Arial"/>
          <w:sz w:val="18"/>
          <w:szCs w:val="18"/>
          <w:color w:val="4C4C4C"/>
        </w:rPr>
        <w:t>By using a virtual meeting format, we will be able protect our stockholders’ and employees’ health during the ongoing COVID-19 pandemic, while allowing stockholders to participate by remote communication. To encourage stockholder participation in the Annual Meeting, we have adopted the following practices.</w:t>
      </w:r>
    </w:p>
    <w:p>
      <w:pPr>
        <w:spacing w:after="0" w:line="95"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4CC5CF"/>
        </w:rPr>
        <w:t xml:space="preserve">Rules of Conduct. </w:t>
      </w:r>
      <w:r>
        <w:rPr>
          <w:rFonts w:ascii="Arial" w:cs="Arial" w:eastAsia="Arial" w:hAnsi="Arial"/>
          <w:sz w:val="18"/>
          <w:szCs w:val="18"/>
          <w:color w:val="4C4C4C"/>
        </w:rPr>
        <w:t>We will post to the Annual Meeting website the “Rules of Conduct,” which will address the rules for participating in the</w:t>
      </w:r>
      <w:r>
        <w:rPr>
          <w:rFonts w:ascii="Arial" w:cs="Arial" w:eastAsia="Arial" w:hAnsi="Arial"/>
          <w:sz w:val="18"/>
          <w:szCs w:val="18"/>
          <w:color w:val="4CC5CF"/>
        </w:rPr>
        <w:t xml:space="preserve"> </w:t>
      </w:r>
      <w:r>
        <w:rPr>
          <w:rFonts w:ascii="Arial" w:cs="Arial" w:eastAsia="Arial" w:hAnsi="Arial"/>
          <w:sz w:val="18"/>
          <w:szCs w:val="18"/>
          <w:color w:val="4C4C4C"/>
        </w:rPr>
        <w:t>Annual Meeting, including the types of questions that will be allowed, how we will respond to the questions, and the number of questions allowed per stockholder.</w:t>
      </w:r>
    </w:p>
    <w:p>
      <w:pPr>
        <w:spacing w:after="0" w:line="9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4CC5CF"/>
        </w:rPr>
        <w:t xml:space="preserve">Stockholders are encouraged to ask questions. </w:t>
      </w:r>
      <w:r>
        <w:rPr>
          <w:rFonts w:ascii="Arial" w:cs="Arial" w:eastAsia="Arial" w:hAnsi="Arial"/>
          <w:sz w:val="18"/>
          <w:szCs w:val="18"/>
          <w:color w:val="4C4C4C"/>
        </w:rPr>
        <w:t>Stockholders who wish to submit a question in advance may do so from April 29, 2021 to</w:t>
      </w:r>
      <w:r>
        <w:rPr>
          <w:rFonts w:ascii="Arial" w:cs="Arial" w:eastAsia="Arial" w:hAnsi="Arial"/>
          <w:sz w:val="18"/>
          <w:szCs w:val="18"/>
          <w:color w:val="4CC5CF"/>
        </w:rPr>
        <w:t xml:space="preserve"> </w:t>
      </w:r>
      <w:r>
        <w:rPr>
          <w:rFonts w:ascii="Arial" w:cs="Arial" w:eastAsia="Arial" w:hAnsi="Arial"/>
          <w:sz w:val="18"/>
          <w:szCs w:val="18"/>
          <w:color w:val="4C4C4C"/>
        </w:rPr>
        <w:t xml:space="preserve">June 9, 2021 at </w:t>
      </w:r>
      <w:r>
        <w:rPr>
          <w:rFonts w:ascii="Arial" w:cs="Arial" w:eastAsia="Arial" w:hAnsi="Arial"/>
          <w:sz w:val="18"/>
          <w:szCs w:val="18"/>
          <w:u w:val="single" w:color="auto"/>
          <w:color w:val="4C4C4C"/>
        </w:rPr>
        <w:t>www.proxyvote.com</w:t>
      </w:r>
      <w:r>
        <w:rPr>
          <w:rFonts w:ascii="Arial" w:cs="Arial" w:eastAsia="Arial" w:hAnsi="Arial"/>
          <w:sz w:val="18"/>
          <w:szCs w:val="18"/>
          <w:color w:val="4C4C4C"/>
        </w:rPr>
        <w:t xml:space="preserve">, by entering your Control Number and clicking on “Question for Management.” Stockholders also may submit questions live during the Annual Meeting by logging in to the Annual Meeting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 xml:space="preserve"> with your Control Number and typing your question into the “Ask a Question” field.</w:t>
      </w:r>
    </w:p>
    <w:p>
      <w:pPr>
        <w:spacing w:after="0" w:line="97"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4C4C4C"/>
        </w:rPr>
        <w:t xml:space="preserve">During the meeting, we will answer as many appropriate stockholder-submitted questions as we are able. As soon as practicable, we will post responses to appropriate questions that we were not able to address during the Annual Meeting on </w:t>
      </w:r>
      <w:r>
        <w:rPr>
          <w:rFonts w:ascii="Arial" w:cs="Arial" w:eastAsia="Arial" w:hAnsi="Arial"/>
          <w:sz w:val="17"/>
          <w:szCs w:val="17"/>
          <w:u w:val="single" w:color="auto"/>
          <w:color w:val="4C4C4C"/>
        </w:rPr>
        <w:t>investor.brighthousefinancial.com</w:t>
      </w:r>
      <w:r>
        <w:rPr>
          <w:rFonts w:ascii="Arial" w:cs="Arial" w:eastAsia="Arial" w:hAnsi="Arial"/>
          <w:sz w:val="17"/>
          <w:szCs w:val="17"/>
          <w:color w:val="4C4C4C"/>
        </w:rPr>
        <w:t>.</w:t>
      </w:r>
    </w:p>
    <w:p>
      <w:pPr>
        <w:spacing w:after="0" w:line="67" w:lineRule="exact"/>
        <w:rPr>
          <w:sz w:val="20"/>
          <w:szCs w:val="20"/>
          <w:color w:val="auto"/>
        </w:rPr>
      </w:pPr>
    </w:p>
    <w:p>
      <w:pPr>
        <w:ind w:left="120" w:right="1240"/>
        <w:spacing w:after="0" w:line="246" w:lineRule="auto"/>
        <w:rPr>
          <w:sz w:val="20"/>
          <w:szCs w:val="20"/>
          <w:color w:val="auto"/>
        </w:rPr>
      </w:pPr>
      <w:r>
        <w:rPr>
          <w:rFonts w:ascii="Arial" w:cs="Arial" w:eastAsia="Arial" w:hAnsi="Arial"/>
          <w:sz w:val="18"/>
          <w:szCs w:val="18"/>
          <w:color w:val="4CC5CF"/>
        </w:rPr>
        <w:t xml:space="preserve">Availability of Recording. </w:t>
      </w:r>
      <w:r>
        <w:rPr>
          <w:rFonts w:ascii="Arial" w:cs="Arial" w:eastAsia="Arial" w:hAnsi="Arial"/>
          <w:sz w:val="18"/>
          <w:szCs w:val="18"/>
          <w:color w:val="4C4C4C"/>
        </w:rPr>
        <w:t>A recording of the Annual Meeting will be available to the public on our Annual Meeting website at</w:t>
      </w:r>
      <w:r>
        <w:rPr>
          <w:rFonts w:ascii="Arial" w:cs="Arial" w:eastAsia="Arial" w:hAnsi="Arial"/>
          <w:sz w:val="18"/>
          <w:szCs w:val="18"/>
          <w:color w:val="4CC5CF"/>
        </w:rPr>
        <w:t xml:space="preserve">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 xml:space="preserve"> until our 2022 annual meeting of stockholders.</w:t>
      </w:r>
    </w:p>
    <w:p>
      <w:pPr>
        <w:spacing w:after="0" w:line="89"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4CC5CF"/>
        </w:rPr>
        <w:t xml:space="preserve">Technical Support. </w:t>
      </w:r>
      <w:r>
        <w:rPr>
          <w:rFonts w:ascii="Arial" w:cs="Arial" w:eastAsia="Arial" w:hAnsi="Arial"/>
          <w:sz w:val="18"/>
          <w:szCs w:val="18"/>
          <w:color w:val="4C4C4C"/>
        </w:rPr>
        <w:t>If you experience any technical difficulties accessing the Annual Meeting website or at any time during the Annual</w:t>
      </w:r>
      <w:r>
        <w:rPr>
          <w:rFonts w:ascii="Arial" w:cs="Arial" w:eastAsia="Arial" w:hAnsi="Arial"/>
          <w:sz w:val="18"/>
          <w:szCs w:val="18"/>
          <w:color w:val="4CC5CF"/>
        </w:rPr>
        <w:t xml:space="preserve"> </w:t>
      </w:r>
      <w:r>
        <w:rPr>
          <w:rFonts w:ascii="Arial" w:cs="Arial" w:eastAsia="Arial" w:hAnsi="Arial"/>
          <w:sz w:val="18"/>
          <w:szCs w:val="18"/>
          <w:color w:val="4C4C4C"/>
        </w:rPr>
        <w:t xml:space="preserve">Meeting, please call the technical support number posted on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Directors’ Attendance at the Annual Meeting</w:t>
      </w:r>
    </w:p>
    <w:p>
      <w:pPr>
        <w:spacing w:after="0" w:line="125"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4C4C4C"/>
        </w:rPr>
        <w:t>Directors are expected to attend all annual meetings of stockholders (this year, our Directors will participate in our virtual meeting via remote communication). All Directors serving at that time attended our 2020 Annual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Shares Outstanding and Holders of Record Entitled to Vote at the Annual Meeting</w:t>
      </w:r>
    </w:p>
    <w:p>
      <w:pPr>
        <w:spacing w:after="0" w:line="125"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4C4C4C"/>
        </w:rPr>
        <w:t>There were 86,523,619 Shares outstanding as of the close of business on the Record Date of April 13, 2021. All stockholders of record of Shares at the close of business on the Record Date are entitled to vote at the Annual Meeting. Each Share outstanding as of the Record Date is entitled to one vote on each matter to be voted upon at the Annual Meeting.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81</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Annual Meeting, Voting, and Other Information</w:t>
      </w:r>
      <w:r>
        <w:rPr>
          <w:sz w:val="20"/>
          <w:szCs w:val="20"/>
          <w:color w:val="auto"/>
        </w:rPr>
        <w:tab/>
      </w:r>
      <w:r>
        <w:rPr>
          <w:rFonts w:ascii="Arial" w:cs="Arial" w:eastAsia="Arial" w:hAnsi="Arial"/>
          <w:sz w:val="12"/>
          <w:szCs w:val="12"/>
          <w:b w:val="1"/>
          <w:bCs w:val="1"/>
          <w:color w:val="00ADBB"/>
        </w:rPr>
        <w:t>Brighthouse Financial, Inc.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Your Vote is Important</w:t>
      </w:r>
    </w:p>
    <w:p>
      <w:pPr>
        <w:spacing w:after="0" w:line="125" w:lineRule="exact"/>
        <w:rPr>
          <w:sz w:val="20"/>
          <w:szCs w:val="20"/>
          <w:color w:val="auto"/>
        </w:rPr>
      </w:pPr>
    </w:p>
    <w:p>
      <w:pPr>
        <w:ind w:left="280" w:right="260"/>
        <w:spacing w:after="0"/>
        <w:rPr>
          <w:sz w:val="20"/>
          <w:szCs w:val="20"/>
          <w:color w:val="auto"/>
        </w:rPr>
      </w:pPr>
      <w:r>
        <w:rPr>
          <w:rFonts w:ascii="Arial" w:cs="Arial" w:eastAsia="Arial" w:hAnsi="Arial"/>
          <w:sz w:val="18"/>
          <w:szCs w:val="18"/>
          <w:color w:val="4C4C4C"/>
        </w:rPr>
        <w:t>The Board requests that you submit a proxy to vote your Shares as soon as possible. Your voting instructions are confidential and will not be disclosed to persons other than those recording the vote, except if you make a written comment on the proxy card, otherwise communicate your vote to management or authorize such disclosure.</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Quorum Requirement</w:t>
      </w:r>
    </w:p>
    <w:p>
      <w:pPr>
        <w:spacing w:after="0" w:line="125" w:lineRule="exact"/>
        <w:rPr>
          <w:sz w:val="20"/>
          <w:szCs w:val="20"/>
          <w:color w:val="auto"/>
        </w:rPr>
      </w:pPr>
    </w:p>
    <w:p>
      <w:pPr>
        <w:ind w:left="280" w:right="240"/>
        <w:spacing w:after="0" w:line="237" w:lineRule="auto"/>
        <w:rPr>
          <w:sz w:val="20"/>
          <w:szCs w:val="20"/>
          <w:color w:val="auto"/>
        </w:rPr>
      </w:pPr>
      <w:r>
        <w:rPr>
          <w:rFonts w:ascii="Arial" w:cs="Arial" w:eastAsia="Arial" w:hAnsi="Arial"/>
          <w:sz w:val="18"/>
          <w:szCs w:val="18"/>
          <w:color w:val="4C4C4C"/>
        </w:rPr>
        <w:t>The holders of a majority of the Shares outstanding as of the Record Date must be present in person or by proxy to constitute a quorum to conduct the Annual Meeting. Shares for which valid proxies are delivered or that are held by a stockholder who attends the Annual Meeting in person will be considered part of the quorum. Once a Share is represented for any purpose at the meeting, it is deemed present for quorum purposes for the remainder of the meeting and for any adjourned meeting. Shares for which abstentions and “broker non-votes” (explained below) occur are counted as present and entitled to vote for purposes of determining whether a quorum is present.</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Voting Your Shares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Stockholders of Record</w:t>
      </w:r>
    </w:p>
    <w:p>
      <w:pPr>
        <w:spacing w:after="0" w:line="13" w:lineRule="exact"/>
        <w:rPr>
          <w:sz w:val="20"/>
          <w:szCs w:val="20"/>
          <w:color w:val="auto"/>
        </w:rPr>
      </w:pPr>
    </w:p>
    <w:p>
      <w:pPr>
        <w:jc w:val="both"/>
        <w:ind w:left="280" w:right="220"/>
        <w:spacing w:after="0"/>
        <w:rPr>
          <w:sz w:val="20"/>
          <w:szCs w:val="20"/>
          <w:color w:val="auto"/>
        </w:rPr>
      </w:pPr>
      <w:r>
        <w:rPr>
          <w:rFonts w:ascii="Arial" w:cs="Arial" w:eastAsia="Arial" w:hAnsi="Arial"/>
          <w:sz w:val="18"/>
          <w:szCs w:val="18"/>
          <w:color w:val="4C4C4C"/>
        </w:rPr>
        <w:t>If your Shares are registered in your name with our transfer agent, Computershare, you are a “stockholder of record” of those Shares. A stockholder of record may cause its Shares to be voted by submitting a proxy to vote your Shares in advance of the Annual Meeting by any off the following means: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4C4C4C"/>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0</wp:posOffset>
            </wp:positionV>
            <wp:extent cx="299720" cy="2660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99720" cy="266065"/>
                    </a:xfrm>
                    <a:prstGeom prst="rect">
                      <a:avLst/>
                    </a:prstGeom>
                    <a:noFill/>
                  </pic:spPr>
                </pic:pic>
              </a:graphicData>
            </a:graphic>
          </wp:anchor>
        </w:drawing>
      </w:r>
    </w:p>
    <w:p>
      <w:pPr>
        <w:ind w:left="1260" w:right="1160"/>
        <w:spacing w:after="0" w:line="246" w:lineRule="auto"/>
        <w:rPr>
          <w:sz w:val="20"/>
          <w:szCs w:val="20"/>
          <w:color w:val="auto"/>
        </w:rPr>
      </w:pPr>
      <w:r>
        <w:rPr>
          <w:rFonts w:ascii="Arial" w:cs="Arial" w:eastAsia="Arial" w:hAnsi="Arial"/>
          <w:sz w:val="18"/>
          <w:szCs w:val="18"/>
          <w:color w:val="4C4C4C"/>
        </w:rPr>
        <w:t xml:space="preserve">Please log on to </w:t>
      </w:r>
      <w:r>
        <w:rPr>
          <w:rFonts w:ascii="Arial" w:cs="Arial" w:eastAsia="Arial" w:hAnsi="Arial"/>
          <w:sz w:val="18"/>
          <w:szCs w:val="18"/>
          <w:u w:val="single" w:color="auto"/>
          <w:color w:val="4C4C4C"/>
        </w:rPr>
        <w:t>www.proxyvote.com</w:t>
      </w:r>
      <w:r>
        <w:rPr>
          <w:rFonts w:ascii="Arial" w:cs="Arial" w:eastAsia="Arial" w:hAnsi="Arial"/>
          <w:sz w:val="18"/>
          <w:szCs w:val="18"/>
          <w:color w:val="4C4C4C"/>
        </w:rPr>
        <w:t xml:space="preserve"> and submit a proxy to vote your Shares by 11:59 p.m., Eastern Time, on Wednesday, June 9, 2021.</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4C4C4C"/>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-144780</wp:posOffset>
            </wp:positionV>
            <wp:extent cx="299720" cy="3003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Please call 1-800-690-6903 until 11:59 p.m., Eastern Time, on Wednesday, June 9, 2021.</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4C4C4C"/>
        </w:rPr>
        <w:t>Mail</w:t>
      </w:r>
    </w:p>
    <w:p>
      <w:pPr>
        <w:spacing w:after="0" w:line="13" w:lineRule="exact"/>
        <w:rPr>
          <w:sz w:val="20"/>
          <w:szCs w:val="20"/>
          <w:color w:val="auto"/>
        </w:rPr>
      </w:pPr>
    </w:p>
    <w:p>
      <w:pPr>
        <w:ind w:left="1260" w:right="460"/>
        <w:spacing w:after="0" w:line="246" w:lineRule="auto"/>
        <w:rPr>
          <w:sz w:val="20"/>
          <w:szCs w:val="20"/>
          <w:color w:val="auto"/>
        </w:rPr>
      </w:pPr>
      <w:r>
        <w:rPr>
          <w:rFonts w:ascii="Arial" w:cs="Arial" w:eastAsia="Arial" w:hAnsi="Arial"/>
          <w:sz w:val="18"/>
          <w:szCs w:val="18"/>
          <w:color w:val="4C4C4C"/>
        </w:rPr>
        <w:t>If you received printed copies of the proxy materials, please complete, sign, date and return your proxy card by mail so that it is received by Brighthouse, c/o Broadridge Financial Solutions, Inc.,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-225425</wp:posOffset>
            </wp:positionV>
            <wp:extent cx="316865" cy="2146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16865" cy="214630"/>
                    </a:xfrm>
                    <a:prstGeom prst="rect">
                      <a:avLst/>
                    </a:prstGeom>
                    <a:noFill/>
                  </pic:spPr>
                </pic:pic>
              </a:graphicData>
            </a:graphic>
          </wp:anchor>
        </w:drawing>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You may also attend and vote at the Annual Meeting.</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4C4C4C"/>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-144780</wp:posOffset>
            </wp:positionV>
            <wp:extent cx="248285" cy="3003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48285" cy="3003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4C4C4C"/>
        </w:rPr>
        <w:t xml:space="preserve">You may attend the Annual Meeting and cast your vote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w:t>
      </w:r>
    </w:p>
    <w:p>
      <w:pPr>
        <w:spacing w:after="0" w:line="104" w:lineRule="exact"/>
        <w:rPr>
          <w:sz w:val="20"/>
          <w:szCs w:val="20"/>
          <w:color w:val="auto"/>
        </w:rPr>
      </w:pPr>
    </w:p>
    <w:p>
      <w:pPr>
        <w:ind w:left="280" w:right="260"/>
        <w:spacing w:after="0"/>
        <w:rPr>
          <w:sz w:val="20"/>
          <w:szCs w:val="20"/>
          <w:color w:val="auto"/>
        </w:rPr>
      </w:pPr>
      <w:r>
        <w:rPr>
          <w:rFonts w:ascii="Arial" w:cs="Arial" w:eastAsia="Arial" w:hAnsi="Arial"/>
          <w:sz w:val="18"/>
          <w:szCs w:val="18"/>
          <w:color w:val="4C4C4C"/>
        </w:rPr>
        <w:t>These instructions appear on your Notice or proxy card. If you submit a proxy via the internet or by telephone, please have your Notice or proxy card available for reference when you do so. If you submit a proxy via the internet or by telephone, please do not mail in your proxy card.</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For stockholders of record, proxies submitted by mail, via the internet or by telephone will be voted by the individuals named on the</w:t>
      </w:r>
    </w:p>
    <w:p>
      <w:pPr>
        <w:ind w:left="280"/>
        <w:spacing w:after="0" w:line="234" w:lineRule="auto"/>
        <w:rPr>
          <w:sz w:val="20"/>
          <w:szCs w:val="20"/>
          <w:color w:val="auto"/>
        </w:rPr>
      </w:pPr>
      <w:r>
        <w:rPr>
          <w:rFonts w:ascii="Arial" w:cs="Arial" w:eastAsia="Arial" w:hAnsi="Arial"/>
          <w:sz w:val="18"/>
          <w:szCs w:val="18"/>
          <w:color w:val="4C4C4C"/>
        </w:rPr>
        <w:t>proxy card in the manner you indicate. If you execute, date and deliver a proxy card but do not specify how your Shares are to be</w:t>
      </w:r>
    </w:p>
    <w:p>
      <w:pPr>
        <w:ind w:left="280"/>
        <w:spacing w:after="0" w:line="235" w:lineRule="auto"/>
        <w:rPr>
          <w:sz w:val="20"/>
          <w:szCs w:val="20"/>
          <w:color w:val="auto"/>
        </w:rPr>
      </w:pPr>
      <w:r>
        <w:rPr>
          <w:rFonts w:ascii="Arial" w:cs="Arial" w:eastAsia="Arial" w:hAnsi="Arial"/>
          <w:sz w:val="18"/>
          <w:szCs w:val="18"/>
          <w:color w:val="4C4C4C"/>
        </w:rPr>
        <w:t>voted, the proxies will vote as recommended by the Board of Directors on all matters on the agenda for the Annual Meeting (see</w:t>
      </w:r>
    </w:p>
    <w:p>
      <w:pPr>
        <w:ind w:left="280"/>
        <w:spacing w:after="0" w:line="235" w:lineRule="auto"/>
        <w:rPr>
          <w:sz w:val="20"/>
          <w:szCs w:val="20"/>
          <w:color w:val="auto"/>
        </w:rPr>
      </w:pPr>
      <w:r>
        <w:rPr>
          <w:rFonts w:ascii="Arial" w:cs="Arial" w:eastAsia="Arial" w:hAnsi="Arial"/>
          <w:sz w:val="18"/>
          <w:szCs w:val="18"/>
          <w:color w:val="4C4C4C"/>
        </w:rPr>
        <w:t>“</w:t>
      </w:r>
      <w:r>
        <w:rPr>
          <w:rFonts w:ascii="Arial" w:cs="Arial" w:eastAsia="Arial" w:hAnsi="Arial"/>
          <w:sz w:val="18"/>
          <w:szCs w:val="18"/>
          <w:color w:val="4CC5CF"/>
        </w:rPr>
        <w:t>Proposals for Your Vote</w:t>
      </w:r>
      <w:r>
        <w:rPr>
          <w:rFonts w:ascii="Arial" w:cs="Arial" w:eastAsia="Arial" w:hAnsi="Arial"/>
          <w:sz w:val="18"/>
          <w:szCs w:val="18"/>
          <w:color w:val="4C4C4C"/>
        </w:rPr>
        <w:t>”) and will use their discretion with respect to any other matters properly presented for a vote at our Annual</w:t>
      </w:r>
    </w:p>
    <w:p>
      <w:pPr>
        <w:ind w:left="280"/>
        <w:spacing w:after="0"/>
        <w:rPr>
          <w:sz w:val="20"/>
          <w:szCs w:val="20"/>
          <w:color w:val="auto"/>
        </w:rPr>
      </w:pPr>
      <w:r>
        <w:rPr>
          <w:rFonts w:ascii="Arial" w:cs="Arial" w:eastAsia="Arial" w:hAnsi="Arial"/>
          <w:sz w:val="18"/>
          <w:szCs w:val="18"/>
          <w:color w:val="4C4C4C"/>
        </w:rPr>
        <w:t>Meeting or any postponement or adjournment thereof.</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Beneficial Owners or Holders in Street Name</w:t>
      </w:r>
    </w:p>
    <w:p>
      <w:pPr>
        <w:spacing w:after="0" w:line="13" w:lineRule="exact"/>
        <w:rPr>
          <w:sz w:val="20"/>
          <w:szCs w:val="20"/>
          <w:color w:val="auto"/>
        </w:rPr>
      </w:pPr>
    </w:p>
    <w:p>
      <w:pPr>
        <w:ind w:left="280" w:right="240"/>
        <w:spacing w:after="0"/>
        <w:rPr>
          <w:sz w:val="20"/>
          <w:szCs w:val="20"/>
          <w:color w:val="auto"/>
        </w:rPr>
      </w:pPr>
      <w:r>
        <w:rPr>
          <w:rFonts w:ascii="Arial" w:cs="Arial" w:eastAsia="Arial" w:hAnsi="Arial"/>
          <w:sz w:val="18"/>
          <w:szCs w:val="18"/>
          <w:color w:val="4C4C4C"/>
        </w:rPr>
        <w:t>If your Shares are held in an account at a brokerage firm, bank, broker-dealer, or other similar organization, then you are a holder of Shares in “street name” or a “beneficial owner.” The organization holding your account will have provided you with proxy materials. As the beneficial owner, you have the right to direct the organization how to vote</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82 | 2021 Proxy Statement</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08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Annual Meeting, Voting, and Other Information</w:t>
      </w:r>
    </w:p>
    <w:p>
      <w:pPr>
        <w:spacing w:after="0" w:line="263" w:lineRule="exact"/>
        <w:rPr>
          <w:sz w:val="20"/>
          <w:szCs w:val="20"/>
          <w:color w:val="auto"/>
        </w:rPr>
      </w:pPr>
    </w:p>
    <w:p>
      <w:pPr>
        <w:ind w:left="120" w:right="160"/>
        <w:spacing w:after="0"/>
        <w:rPr>
          <w:sz w:val="20"/>
          <w:szCs w:val="20"/>
          <w:color w:val="auto"/>
        </w:rPr>
      </w:pPr>
      <w:r>
        <w:rPr>
          <w:rFonts w:ascii="Arial" w:cs="Arial" w:eastAsia="Arial" w:hAnsi="Arial"/>
          <w:sz w:val="18"/>
          <w:szCs w:val="18"/>
          <w:color w:val="4C4C4C"/>
        </w:rPr>
        <w:t xml:space="preserve">the Shares held in your account. You may submit voting instructions by following the instructions provided to you by your broker, bank, or nominee. You may also vote by attending the Annual Meeting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 xml:space="preserve"> and using your Control Number.</w:t>
      </w:r>
    </w:p>
    <w:p>
      <w:pPr>
        <w:spacing w:after="0" w:line="95"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4C4C4C"/>
        </w:rPr>
        <w:t>If you are a holder of Shares in street name and you do not submit voting instructions to your broker, bank or other intermediary, the intermediary generally may vote your Shares in its discretion only on routine matters. Intermediaries do not have discretion to vote their clients’ Shares on non-routine matters in the absence of voting instructions from the beneficial owner. At the Annual Meeting, only Proposal 2 (ratification of the independent auditor) is considered routine and may be voted upon by the intermediary if you do not submit voting instructions. All other proposals on the Agenda for the Annual Meeting are non-routine matters, and intermediaries may not use their discretion to vote on these proposals in the absence of voting instructions from you. These “</w:t>
      </w:r>
      <w:r>
        <w:rPr>
          <w:rFonts w:ascii="Arial" w:cs="Arial" w:eastAsia="Arial" w:hAnsi="Arial"/>
          <w:sz w:val="18"/>
          <w:szCs w:val="18"/>
          <w:color w:val="4CC5CF"/>
        </w:rPr>
        <w:t>broker non-votes</w:t>
      </w:r>
      <w:r>
        <w:rPr>
          <w:rFonts w:ascii="Arial" w:cs="Arial" w:eastAsia="Arial" w:hAnsi="Arial"/>
          <w:sz w:val="18"/>
          <w:szCs w:val="18"/>
          <w:color w:val="4C4C4C"/>
        </w:rPr>
        <w:t>” will not affect the outcome of the vote with respect to Proposals 1 and 3. There will be no broker non-votes associated with Proposal 2, as the ratification of our independent registered public accounting firm is a routine matter. As a result, if your Shares are held in street name and you do not give your bank or broker instructions on how to vote, your shares will be voted by the broker in its discretion.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Voting by Participants in Retirement Plan</w:t>
      </w:r>
    </w:p>
    <w:p>
      <w:pPr>
        <w:spacing w:after="0" w:line="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4C4C4C"/>
        </w:rPr>
        <w:t>Charles Schwab Bank is the trustee for the portion of the New England Life Insurance Company Agents’ Retirement Plan and Trust which is invested in the Brighthouse Financial Frozen Stock Fund. As trustee, Charles Schwab Bank will vote the Shares in this plan in accordance with the voting instructions given by plan participants to the trustee. Instructions on voting appear on the voting instruction form distributed to plan participants. The trustee must receive the voting instruction of a plan participant no later than 12:00 p.m., Eastern Time, on Monday, June 7, 2021. The trustee will generally vote the Shares held by the plan for which it does not receive voting instructions in the same proportion as the Shares held by the plan for which it does receive voting instructions.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Changing Your Vote or Revoking Your Proxy</w:t>
      </w:r>
    </w:p>
    <w:p>
      <w:pPr>
        <w:spacing w:after="0" w:line="12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4C4C4C"/>
        </w:rPr>
        <w:t xml:space="preserve">If you are a stockholder of record and wish to revoke your proxy instructions, you must either (1) subsequently submit a proxy via the internet or by telephone, which will be available until 11:59 p.m., Eastern Time, on Wednesday, June 9, 2021; (2) sign, date, and deliver a later-dated proxy card so that it is received before the Annual Meeting; (3) submit a written revocation; (4) send a notice of revocation via the internet at </w:t>
      </w:r>
      <w:r>
        <w:rPr>
          <w:rFonts w:ascii="Arial" w:cs="Arial" w:eastAsia="Arial" w:hAnsi="Arial"/>
          <w:sz w:val="18"/>
          <w:szCs w:val="18"/>
          <w:u w:val="single" w:color="auto"/>
          <w:color w:val="4C4C4C"/>
        </w:rPr>
        <w:t>www.proxyvote.com</w:t>
      </w:r>
      <w:r>
        <w:rPr>
          <w:rFonts w:ascii="Arial" w:cs="Arial" w:eastAsia="Arial" w:hAnsi="Arial"/>
          <w:sz w:val="18"/>
          <w:szCs w:val="18"/>
          <w:color w:val="4C4C4C"/>
        </w:rPr>
        <w:t>; or (5) attend the Annual Meeting and vote your Shares. If you hold your shares in street name, you must follow the instructions of your broker, bank, or other intermediary to revoke your voting instructions.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83</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Annual Meeting, Voting, and Other Information</w:t>
      </w:r>
      <w:r>
        <w:rPr>
          <w:sz w:val="20"/>
          <w:szCs w:val="20"/>
          <w:color w:val="auto"/>
        </w:rPr>
        <w:tab/>
      </w:r>
      <w:r>
        <w:rPr>
          <w:rFonts w:ascii="Arial" w:cs="Arial" w:eastAsia="Arial" w:hAnsi="Arial"/>
          <w:sz w:val="12"/>
          <w:szCs w:val="12"/>
          <w:b w:val="1"/>
          <w:bCs w:val="1"/>
          <w:color w:val="00ADBB"/>
        </w:rPr>
        <w:t>Brighthouse Financial, Inc.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Vote Required for Each Proposal</w:t>
      </w:r>
    </w:p>
    <w:p>
      <w:pPr>
        <w:spacing w:after="0" w:line="103" w:lineRule="exact"/>
        <w:rPr>
          <w:sz w:val="20"/>
          <w:szCs w:val="20"/>
          <w:color w:val="auto"/>
        </w:rPr>
      </w:pPr>
    </w:p>
    <w:p>
      <w:pPr>
        <w:ind w:left="280" w:right="2100"/>
        <w:spacing w:after="0" w:line="310" w:lineRule="auto"/>
        <w:rPr>
          <w:sz w:val="20"/>
          <w:szCs w:val="20"/>
          <w:color w:val="auto"/>
        </w:rPr>
      </w:pPr>
      <w:r>
        <w:rPr>
          <w:rFonts w:ascii="Arial" w:cs="Arial" w:eastAsia="Arial" w:hAnsi="Arial"/>
          <w:sz w:val="18"/>
          <w:szCs w:val="18"/>
          <w:b w:val="1"/>
          <w:bCs w:val="1"/>
          <w:color w:val="00ADBB"/>
        </w:rPr>
        <w:t xml:space="preserve">Proposal 1 – Election of eight (8) Directors to serve a one-year term ending at the 2022 Annual Meeting </w:t>
      </w:r>
      <w:r>
        <w:rPr>
          <w:rFonts w:ascii="Arial" w:cs="Arial" w:eastAsia="Arial" w:hAnsi="Arial"/>
          <w:sz w:val="18"/>
          <w:szCs w:val="18"/>
          <w:b w:val="1"/>
          <w:bCs w:val="1"/>
          <w:color w:val="3F3F3F"/>
        </w:rPr>
        <w:t xml:space="preserve">Voting Options: </w:t>
      </w:r>
      <w:r>
        <w:rPr>
          <w:rFonts w:ascii="Arial" w:cs="Arial" w:eastAsia="Arial" w:hAnsi="Arial"/>
          <w:sz w:val="18"/>
          <w:szCs w:val="18"/>
          <w:color w:val="4C4C4C"/>
        </w:rPr>
        <w:t>FOR or WITHHOLD</w:t>
      </w:r>
    </w:p>
    <w:p>
      <w:pPr>
        <w:ind w:left="280"/>
        <w:spacing w:after="0" w:line="235" w:lineRule="auto"/>
        <w:rPr>
          <w:sz w:val="20"/>
          <w:szCs w:val="20"/>
          <w:color w:val="auto"/>
        </w:rPr>
      </w:pPr>
      <w:r>
        <w:rPr>
          <w:rFonts w:ascii="Arial" w:cs="Arial" w:eastAsia="Arial" w:hAnsi="Arial"/>
          <w:sz w:val="18"/>
          <w:szCs w:val="18"/>
          <w:b w:val="1"/>
          <w:bCs w:val="1"/>
          <w:color w:val="3F3F3F"/>
        </w:rPr>
        <w:t xml:space="preserve">Board Recommendation: </w:t>
      </w:r>
      <w:r>
        <w:rPr>
          <w:rFonts w:ascii="Arial" w:cs="Arial" w:eastAsia="Arial" w:hAnsi="Arial"/>
          <w:sz w:val="18"/>
          <w:szCs w:val="18"/>
          <w:color w:val="4C4C4C"/>
        </w:rPr>
        <w:t>FOR each of the Company’s nominees</w:t>
      </w:r>
    </w:p>
    <w:p>
      <w:pPr>
        <w:ind w:left="280" w:right="380"/>
        <w:spacing w:after="0" w:line="234" w:lineRule="auto"/>
        <w:rPr>
          <w:sz w:val="20"/>
          <w:szCs w:val="20"/>
          <w:color w:val="auto"/>
        </w:rPr>
      </w:pPr>
      <w:r>
        <w:rPr>
          <w:rFonts w:ascii="Arial" w:cs="Arial" w:eastAsia="Arial" w:hAnsi="Arial"/>
          <w:sz w:val="18"/>
          <w:szCs w:val="18"/>
          <w:b w:val="1"/>
          <w:bCs w:val="1"/>
          <w:color w:val="3F3F3F"/>
        </w:rPr>
        <w:t xml:space="preserve">Vote Required: </w:t>
      </w:r>
      <w:r>
        <w:rPr>
          <w:rFonts w:ascii="Arial" w:cs="Arial" w:eastAsia="Arial" w:hAnsi="Arial"/>
          <w:sz w:val="18"/>
          <w:szCs w:val="18"/>
          <w:color w:val="4C4C4C"/>
        </w:rPr>
        <w:t>Plurality of the votes cast. Under Brighthouse’s majority vote policy, any nominee who receives a greater number of</w:t>
      </w:r>
      <w:r>
        <w:rPr>
          <w:rFonts w:ascii="Arial" w:cs="Arial" w:eastAsia="Arial" w:hAnsi="Arial"/>
          <w:sz w:val="18"/>
          <w:szCs w:val="18"/>
          <w:b w:val="1"/>
          <w:bCs w:val="1"/>
          <w:color w:val="3F3F3F"/>
        </w:rPr>
        <w:t xml:space="preserve"> </w:t>
      </w:r>
      <w:r>
        <w:rPr>
          <w:rFonts w:ascii="Arial" w:cs="Arial" w:eastAsia="Arial" w:hAnsi="Arial"/>
          <w:sz w:val="18"/>
          <w:szCs w:val="18"/>
          <w:color w:val="4C4C4C"/>
        </w:rPr>
        <w:t>votes “withheld” than votes “for” such nominee’s election must promptly tender his or her resignation to the Board following certification of the election results. Within 100 days following the certification of the election results, the Board will decide whether to accept the resignation and will publicly disclose its decision regarding the resignation within 110 days following certification of the election results.</w:t>
      </w:r>
    </w:p>
    <w:p>
      <w:pPr>
        <w:spacing w:after="0" w:line="3" w:lineRule="exact"/>
        <w:rPr>
          <w:sz w:val="20"/>
          <w:szCs w:val="20"/>
          <w:color w:val="auto"/>
        </w:rPr>
      </w:pPr>
    </w:p>
    <w:p>
      <w:pPr>
        <w:ind w:left="280" w:right="360"/>
        <w:spacing w:after="0" w:line="234" w:lineRule="auto"/>
        <w:rPr>
          <w:sz w:val="20"/>
          <w:szCs w:val="20"/>
          <w:color w:val="auto"/>
        </w:rPr>
      </w:pPr>
      <w:r>
        <w:rPr>
          <w:rFonts w:ascii="Arial" w:cs="Arial" w:eastAsia="Arial" w:hAnsi="Arial"/>
          <w:sz w:val="18"/>
          <w:szCs w:val="18"/>
          <w:b w:val="1"/>
          <w:bCs w:val="1"/>
          <w:color w:val="3F3F3F"/>
        </w:rPr>
        <w:t xml:space="preserve">Effect of Abstentions: </w:t>
      </w:r>
      <w:r>
        <w:rPr>
          <w:rFonts w:ascii="Arial" w:cs="Arial" w:eastAsia="Arial" w:hAnsi="Arial"/>
          <w:sz w:val="18"/>
          <w:szCs w:val="18"/>
          <w:color w:val="4C4C4C"/>
        </w:rPr>
        <w:t>No effect. However, except in the case of a contested election, any nominee who receives a greater number</w:t>
      </w:r>
      <w:r>
        <w:rPr>
          <w:rFonts w:ascii="Arial" w:cs="Arial" w:eastAsia="Arial" w:hAnsi="Arial"/>
          <w:sz w:val="18"/>
          <w:szCs w:val="18"/>
          <w:b w:val="1"/>
          <w:bCs w:val="1"/>
          <w:color w:val="3F3F3F"/>
        </w:rPr>
        <w:t xml:space="preserve"> </w:t>
      </w:r>
      <w:r>
        <w:rPr>
          <w:rFonts w:ascii="Arial" w:cs="Arial" w:eastAsia="Arial" w:hAnsi="Arial"/>
          <w:sz w:val="18"/>
          <w:szCs w:val="18"/>
          <w:color w:val="4C4C4C"/>
        </w:rPr>
        <w:t>of votes “withheld” than votes “for” such nominee’s election shall promptly tender his or her resignation to the Board following certification of the election results.</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F3F3F"/>
        </w:rPr>
        <w:t xml:space="preserve">Effect of Broker Non-Votes: </w:t>
      </w:r>
      <w:r>
        <w:rPr>
          <w:rFonts w:ascii="Arial" w:cs="Arial" w:eastAsia="Arial" w:hAnsi="Arial"/>
          <w:sz w:val="18"/>
          <w:szCs w:val="18"/>
          <w:color w:val="4C4C4C"/>
        </w:rPr>
        <w:t>No effect</w:t>
      </w:r>
    </w:p>
    <w:p>
      <w:pPr>
        <w:spacing w:after="0" w:line="298" w:lineRule="exact"/>
        <w:rPr>
          <w:sz w:val="20"/>
          <w:szCs w:val="20"/>
          <w:color w:val="auto"/>
        </w:rPr>
      </w:pPr>
    </w:p>
    <w:p>
      <w:pPr>
        <w:ind w:left="280" w:right="800"/>
        <w:spacing w:after="0" w:line="271" w:lineRule="auto"/>
        <w:rPr>
          <w:sz w:val="20"/>
          <w:szCs w:val="20"/>
          <w:color w:val="auto"/>
        </w:rPr>
      </w:pPr>
      <w:r>
        <w:rPr>
          <w:rFonts w:ascii="Arial" w:cs="Arial" w:eastAsia="Arial" w:hAnsi="Arial"/>
          <w:sz w:val="18"/>
          <w:szCs w:val="18"/>
          <w:b w:val="1"/>
          <w:bCs w:val="1"/>
          <w:color w:val="00ADBB"/>
        </w:rPr>
        <w:t>Proposal 2 – Ratification of the appointment of Deloitte &amp; Touche LLP as Brighthouse’s independent registered public accounting firm for fiscal year 2021</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F3F3F"/>
        </w:rPr>
        <w:t xml:space="preserve">Voting Options: </w:t>
      </w:r>
      <w:r>
        <w:rPr>
          <w:rFonts w:ascii="Arial" w:cs="Arial" w:eastAsia="Arial" w:hAnsi="Arial"/>
          <w:sz w:val="18"/>
          <w:szCs w:val="18"/>
          <w:color w:val="4C4C4C"/>
        </w:rPr>
        <w:t>FOR, AGAINST, or ABSTAIN</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F3F3F"/>
        </w:rPr>
        <w:t xml:space="preserve">Board Recommendation: </w:t>
      </w:r>
      <w:r>
        <w:rPr>
          <w:rFonts w:ascii="Arial" w:cs="Arial" w:eastAsia="Arial" w:hAnsi="Arial"/>
          <w:sz w:val="18"/>
          <w:szCs w:val="18"/>
          <w:color w:val="4C4C4C"/>
        </w:rPr>
        <w:t>FOR</w:t>
      </w:r>
    </w:p>
    <w:p>
      <w:pPr>
        <w:ind w:left="280" w:right="240"/>
        <w:spacing w:after="0" w:line="234" w:lineRule="auto"/>
        <w:rPr>
          <w:sz w:val="20"/>
          <w:szCs w:val="20"/>
          <w:color w:val="auto"/>
        </w:rPr>
      </w:pPr>
      <w:r>
        <w:rPr>
          <w:rFonts w:ascii="Arial" w:cs="Arial" w:eastAsia="Arial" w:hAnsi="Arial"/>
          <w:sz w:val="18"/>
          <w:szCs w:val="18"/>
          <w:b w:val="1"/>
          <w:bCs w:val="1"/>
          <w:color w:val="3F3F3F"/>
        </w:rPr>
        <w:t xml:space="preserve">Vote Required: </w:t>
      </w:r>
      <w:r>
        <w:rPr>
          <w:rFonts w:ascii="Arial" w:cs="Arial" w:eastAsia="Arial" w:hAnsi="Arial"/>
          <w:sz w:val="18"/>
          <w:szCs w:val="18"/>
          <w:color w:val="4C4C4C"/>
        </w:rPr>
        <w:t>Affirmative vote of the majority in voting power of the Shares present in person or represented by proxy at the Annual</w:t>
      </w:r>
      <w:r>
        <w:rPr>
          <w:rFonts w:ascii="Arial" w:cs="Arial" w:eastAsia="Arial" w:hAnsi="Arial"/>
          <w:sz w:val="18"/>
          <w:szCs w:val="18"/>
          <w:b w:val="1"/>
          <w:bCs w:val="1"/>
          <w:color w:val="3F3F3F"/>
        </w:rPr>
        <w:t xml:space="preserve"> </w:t>
      </w:r>
      <w:r>
        <w:rPr>
          <w:rFonts w:ascii="Arial" w:cs="Arial" w:eastAsia="Arial" w:hAnsi="Arial"/>
          <w:sz w:val="18"/>
          <w:szCs w:val="18"/>
          <w:color w:val="4C4C4C"/>
        </w:rPr>
        <w:t>Meeting and entitled to vote on the subject matter</w:t>
      </w:r>
    </w:p>
    <w:p>
      <w:pPr>
        <w:ind w:left="280"/>
        <w:spacing w:after="0" w:line="236" w:lineRule="auto"/>
        <w:rPr>
          <w:sz w:val="20"/>
          <w:szCs w:val="20"/>
          <w:color w:val="auto"/>
        </w:rPr>
      </w:pPr>
      <w:r>
        <w:rPr>
          <w:rFonts w:ascii="Arial" w:cs="Arial" w:eastAsia="Arial" w:hAnsi="Arial"/>
          <w:sz w:val="18"/>
          <w:szCs w:val="18"/>
          <w:b w:val="1"/>
          <w:bCs w:val="1"/>
          <w:color w:val="3F3F3F"/>
        </w:rPr>
        <w:t xml:space="preserve">Effect of Abstentions: </w:t>
      </w:r>
      <w:r>
        <w:rPr>
          <w:rFonts w:ascii="Arial" w:cs="Arial" w:eastAsia="Arial" w:hAnsi="Arial"/>
          <w:sz w:val="18"/>
          <w:szCs w:val="18"/>
          <w:color w:val="4C4C4C"/>
        </w:rPr>
        <w:t>Same effect as a vote AGAINST the proposal</w:t>
      </w:r>
    </w:p>
    <w:p>
      <w:pPr>
        <w:ind w:left="280" w:right="440"/>
        <w:spacing w:after="0"/>
        <w:rPr>
          <w:sz w:val="20"/>
          <w:szCs w:val="20"/>
          <w:color w:val="auto"/>
        </w:rPr>
      </w:pPr>
      <w:r>
        <w:rPr>
          <w:rFonts w:ascii="Arial" w:cs="Arial" w:eastAsia="Arial" w:hAnsi="Arial"/>
          <w:sz w:val="18"/>
          <w:szCs w:val="18"/>
          <w:b w:val="1"/>
          <w:bCs w:val="1"/>
          <w:color w:val="3F3F3F"/>
        </w:rPr>
        <w:t xml:space="preserve">Effect of Broker Non-Votes: </w:t>
      </w:r>
      <w:r>
        <w:rPr>
          <w:rFonts w:ascii="Arial" w:cs="Arial" w:eastAsia="Arial" w:hAnsi="Arial"/>
          <w:sz w:val="18"/>
          <w:szCs w:val="18"/>
          <w:color w:val="4C4C4C"/>
        </w:rPr>
        <w:t>There will be no broker non-votes associated with this proposal, as the ratification of our independent</w:t>
      </w:r>
      <w:r>
        <w:rPr>
          <w:rFonts w:ascii="Arial" w:cs="Arial" w:eastAsia="Arial" w:hAnsi="Arial"/>
          <w:sz w:val="18"/>
          <w:szCs w:val="18"/>
          <w:b w:val="1"/>
          <w:bCs w:val="1"/>
          <w:color w:val="3F3F3F"/>
        </w:rPr>
        <w:t xml:space="preserve"> </w:t>
      </w:r>
      <w:r>
        <w:rPr>
          <w:rFonts w:ascii="Arial" w:cs="Arial" w:eastAsia="Arial" w:hAnsi="Arial"/>
          <w:sz w:val="18"/>
          <w:szCs w:val="18"/>
          <w:color w:val="4C4C4C"/>
        </w:rPr>
        <w:t>registered public accounting firm is a routine matter. As a result, if your Shares are held in “street name” and you do not give your bank or broker instructions on how to vote, your shares will be voted by the broker in its discretion.</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Proposal 3 – Advisory vote to approve the compensation paid to Brighthouse’s Named Executive Officers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F3F3F"/>
        </w:rPr>
        <w:t xml:space="preserve">Voting Options: </w:t>
      </w:r>
      <w:r>
        <w:rPr>
          <w:rFonts w:ascii="Arial" w:cs="Arial" w:eastAsia="Arial" w:hAnsi="Arial"/>
          <w:sz w:val="18"/>
          <w:szCs w:val="18"/>
          <w:color w:val="4C4C4C"/>
        </w:rPr>
        <w:t>FOR, AGAINST, or ABSTAIN</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3F3F3F"/>
        </w:rPr>
        <w:t xml:space="preserve">Board Recommendation: </w:t>
      </w:r>
      <w:r>
        <w:rPr>
          <w:rFonts w:ascii="Arial" w:cs="Arial" w:eastAsia="Arial" w:hAnsi="Arial"/>
          <w:sz w:val="18"/>
          <w:szCs w:val="18"/>
          <w:color w:val="4C4C4C"/>
        </w:rPr>
        <w:t>FOR</w:t>
      </w:r>
    </w:p>
    <w:p>
      <w:pPr>
        <w:ind w:left="280" w:right="240"/>
        <w:spacing w:after="0" w:line="234" w:lineRule="auto"/>
        <w:rPr>
          <w:sz w:val="20"/>
          <w:szCs w:val="20"/>
          <w:color w:val="auto"/>
        </w:rPr>
      </w:pPr>
      <w:r>
        <w:rPr>
          <w:rFonts w:ascii="Arial" w:cs="Arial" w:eastAsia="Arial" w:hAnsi="Arial"/>
          <w:sz w:val="18"/>
          <w:szCs w:val="18"/>
          <w:b w:val="1"/>
          <w:bCs w:val="1"/>
          <w:color w:val="3F3F3F"/>
        </w:rPr>
        <w:t xml:space="preserve">Vote Required: </w:t>
      </w:r>
      <w:r>
        <w:rPr>
          <w:rFonts w:ascii="Arial" w:cs="Arial" w:eastAsia="Arial" w:hAnsi="Arial"/>
          <w:sz w:val="18"/>
          <w:szCs w:val="18"/>
          <w:color w:val="4C4C4C"/>
        </w:rPr>
        <w:t>Affirmative vote of the majority in voting power of the Shares present in person or represented by proxy at the Annual</w:t>
      </w:r>
      <w:r>
        <w:rPr>
          <w:rFonts w:ascii="Arial" w:cs="Arial" w:eastAsia="Arial" w:hAnsi="Arial"/>
          <w:sz w:val="18"/>
          <w:szCs w:val="18"/>
          <w:b w:val="1"/>
          <w:bCs w:val="1"/>
          <w:color w:val="3F3F3F"/>
        </w:rPr>
        <w:t xml:space="preserve"> </w:t>
      </w:r>
      <w:r>
        <w:rPr>
          <w:rFonts w:ascii="Arial" w:cs="Arial" w:eastAsia="Arial" w:hAnsi="Arial"/>
          <w:sz w:val="18"/>
          <w:szCs w:val="18"/>
          <w:color w:val="4C4C4C"/>
        </w:rPr>
        <w:t>Meeting and entitled to vote on the subject matter</w:t>
      </w:r>
    </w:p>
    <w:p>
      <w:pPr>
        <w:ind w:left="280"/>
        <w:spacing w:after="0" w:line="236" w:lineRule="auto"/>
        <w:rPr>
          <w:sz w:val="20"/>
          <w:szCs w:val="20"/>
          <w:color w:val="auto"/>
        </w:rPr>
      </w:pPr>
      <w:r>
        <w:rPr>
          <w:rFonts w:ascii="Arial" w:cs="Arial" w:eastAsia="Arial" w:hAnsi="Arial"/>
          <w:sz w:val="18"/>
          <w:szCs w:val="18"/>
          <w:b w:val="1"/>
          <w:bCs w:val="1"/>
          <w:color w:val="3F3F3F"/>
        </w:rPr>
        <w:t xml:space="preserve">Effect of Abstentions: </w:t>
      </w:r>
      <w:r>
        <w:rPr>
          <w:rFonts w:ascii="Arial" w:cs="Arial" w:eastAsia="Arial" w:hAnsi="Arial"/>
          <w:sz w:val="18"/>
          <w:szCs w:val="18"/>
          <w:color w:val="4C4C4C"/>
        </w:rPr>
        <w:t>Same effect as a vote AGAINST the proposal</w:t>
      </w:r>
    </w:p>
    <w:p>
      <w:pPr>
        <w:ind w:left="280"/>
        <w:spacing w:after="0"/>
        <w:rPr>
          <w:sz w:val="20"/>
          <w:szCs w:val="20"/>
          <w:color w:val="auto"/>
        </w:rPr>
      </w:pPr>
      <w:r>
        <w:rPr>
          <w:rFonts w:ascii="Arial" w:cs="Arial" w:eastAsia="Arial" w:hAnsi="Arial"/>
          <w:sz w:val="18"/>
          <w:szCs w:val="18"/>
          <w:b w:val="1"/>
          <w:bCs w:val="1"/>
          <w:color w:val="3F3F3F"/>
        </w:rPr>
        <w:t xml:space="preserve">Effect of Broker Non-Votes: </w:t>
      </w:r>
      <w:r>
        <w:rPr>
          <w:rFonts w:ascii="Arial" w:cs="Arial" w:eastAsia="Arial" w:hAnsi="Arial"/>
          <w:sz w:val="18"/>
          <w:szCs w:val="18"/>
          <w:color w:val="4C4C4C"/>
        </w:rPr>
        <w:t>No effect</w:t>
      </w:r>
    </w:p>
    <w:p>
      <w:pPr>
        <w:spacing w:after="0" w:line="29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Matters to be Presented</w:t>
      </w:r>
    </w:p>
    <w:p>
      <w:pPr>
        <w:spacing w:after="0" w:line="125" w:lineRule="exact"/>
        <w:rPr>
          <w:sz w:val="20"/>
          <w:szCs w:val="20"/>
          <w:color w:val="auto"/>
        </w:rPr>
      </w:pPr>
    </w:p>
    <w:p>
      <w:pPr>
        <w:ind w:left="280" w:right="220"/>
        <w:spacing w:after="0" w:line="238" w:lineRule="auto"/>
        <w:rPr>
          <w:sz w:val="20"/>
          <w:szCs w:val="20"/>
          <w:color w:val="auto"/>
        </w:rPr>
      </w:pPr>
      <w:r>
        <w:rPr>
          <w:rFonts w:ascii="Arial" w:cs="Arial" w:eastAsia="Arial" w:hAnsi="Arial"/>
          <w:sz w:val="18"/>
          <w:szCs w:val="18"/>
          <w:color w:val="4C4C4C"/>
        </w:rPr>
        <w:t>We are not aware of any matters to be presented at the Annual Meeting other than those described in this Proxy Statement. If any matter not described in this Proxy Statement is properly presented at the Annual Meeting, unless otherwise provided, the proxies will use their own judgment to vote your Shares. If the Annual Meeting is adjourned or postponed, the proxies can vote your Shares at the adjournment or postponement as well.</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Delivery of Proxy Materials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Notice and Access</w:t>
      </w:r>
    </w:p>
    <w:p>
      <w:pPr>
        <w:spacing w:after="0" w:line="13" w:lineRule="exact"/>
        <w:rPr>
          <w:sz w:val="20"/>
          <w:szCs w:val="20"/>
          <w:color w:val="auto"/>
        </w:rPr>
      </w:pPr>
    </w:p>
    <w:p>
      <w:pPr>
        <w:ind w:left="280" w:right="300"/>
        <w:spacing w:after="0" w:line="238" w:lineRule="auto"/>
        <w:rPr>
          <w:sz w:val="20"/>
          <w:szCs w:val="20"/>
          <w:color w:val="auto"/>
        </w:rPr>
      </w:pPr>
      <w:r>
        <w:rPr>
          <w:rFonts w:ascii="Arial" w:cs="Arial" w:eastAsia="Arial" w:hAnsi="Arial"/>
          <w:sz w:val="18"/>
          <w:szCs w:val="18"/>
          <w:color w:val="4C4C4C"/>
        </w:rPr>
        <w:t>We are using “notice and access” procedures to distribute our proxy materials to our stockholders. This method reduces the cost and environmental impact of producing proxy materials and mailing them to stockholders. In accordance with “notice and access” procedures, we are mailing a Notice of Internet Availability of Proxy Materials (“</w:t>
      </w:r>
      <w:r>
        <w:rPr>
          <w:rFonts w:ascii="Arial" w:cs="Arial" w:eastAsia="Arial" w:hAnsi="Arial"/>
          <w:sz w:val="18"/>
          <w:szCs w:val="18"/>
          <w:b w:val="1"/>
          <w:bCs w:val="1"/>
          <w:color w:val="00ADBB"/>
        </w:rPr>
        <w:t>Notice</w:t>
      </w:r>
      <w:r>
        <w:rPr>
          <w:rFonts w:ascii="Arial" w:cs="Arial" w:eastAsia="Arial" w:hAnsi="Arial"/>
          <w:sz w:val="18"/>
          <w:szCs w:val="18"/>
          <w:color w:val="4C4C4C"/>
        </w:rPr>
        <w:t>”) to stockholders. The Notice includes instructions on how to access the materials over the internet and how</w:t>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84 | 2021 Proxy Statement</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08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Annual Meeting, Voting, and Other Information</w:t>
      </w:r>
    </w:p>
    <w:p>
      <w:pPr>
        <w:spacing w:after="0" w:line="26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4C4C4C"/>
        </w:rPr>
        <w:t xml:space="preserve">to request a paper or e-mail copy. The Notice further provides instructions on how stockholders may elect to receive proxy materials in the future in printed form or by electronic mail. To select a method of delivery while voting is open, stockholders of record may follow the instructions when voting online at </w:t>
      </w:r>
      <w:r>
        <w:rPr>
          <w:rFonts w:ascii="Arial" w:cs="Arial" w:eastAsia="Arial" w:hAnsi="Arial"/>
          <w:sz w:val="18"/>
          <w:szCs w:val="18"/>
          <w:u w:val="single" w:color="auto"/>
          <w:color w:val="4C4C4C"/>
        </w:rPr>
        <w:t>www.proxyvote.com</w:t>
      </w:r>
      <w:r>
        <w:rPr>
          <w:rFonts w:ascii="Arial" w:cs="Arial" w:eastAsia="Arial" w:hAnsi="Arial"/>
          <w:sz w:val="18"/>
          <w:szCs w:val="18"/>
          <w:color w:val="4C4C4C"/>
        </w:rPr>
        <w:t xml:space="preserve">. At any time, you may also choose your method of delivery of Brighthouse proxy materials by visiting </w:t>
      </w:r>
      <w:r>
        <w:rPr>
          <w:rFonts w:ascii="Arial" w:cs="Arial" w:eastAsia="Arial" w:hAnsi="Arial"/>
          <w:sz w:val="18"/>
          <w:szCs w:val="18"/>
          <w:u w:val="single" w:color="auto"/>
          <w:color w:val="4C4C4C"/>
        </w:rPr>
        <w:t>https://enroll.icsdelivery.com/BHF</w:t>
      </w:r>
      <w:r>
        <w:rPr>
          <w:rFonts w:ascii="Arial" w:cs="Arial" w:eastAsia="Arial" w:hAnsi="Arial"/>
          <w:sz w:val="18"/>
          <w:szCs w:val="18"/>
          <w:color w:val="4C4C4C"/>
        </w:rPr>
        <w:t>. If you own Shares indirectly through a broker, bank, or other intermediary, please contact the intermediary for additional information regarding delivery options.</w:t>
      </w:r>
    </w:p>
    <w:p>
      <w:pPr>
        <w:spacing w:after="0" w:line="94"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4C4C4C"/>
        </w:rPr>
        <w:t>Holders of record will have the Notice or proxy materials delivered directly to their mailing address or electronically if they have previously consented to that delivery method.</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Holders of Shares in street name will have the proxy materials or the Notice forwarded to them by the intermediary that holds the Shares.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Eliminating Duplicative Proxy Materials</w:t>
      </w:r>
    </w:p>
    <w:p>
      <w:pPr>
        <w:spacing w:after="0" w:line="1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4C4C4C"/>
        </w:rPr>
        <w:t>To reduce the expense of delivering duplicate proxy materials to stockholders, we are relying upon SEC rules that permit us to deliver only one set of proxy materials to multiple stockholders who share an address (known as “</w:t>
      </w:r>
      <w:r>
        <w:rPr>
          <w:rFonts w:ascii="Arial" w:cs="Arial" w:eastAsia="Arial" w:hAnsi="Arial"/>
          <w:sz w:val="18"/>
          <w:szCs w:val="18"/>
          <w:b w:val="1"/>
          <w:bCs w:val="1"/>
          <w:color w:val="00ADBB"/>
        </w:rPr>
        <w:t>householding</w:t>
      </w:r>
      <w:r>
        <w:rPr>
          <w:rFonts w:ascii="Arial" w:cs="Arial" w:eastAsia="Arial" w:hAnsi="Arial"/>
          <w:sz w:val="18"/>
          <w:szCs w:val="18"/>
          <w:color w:val="4C4C4C"/>
        </w:rPr>
        <w:t>”), unless we receive contrary instructions from any stockholder at that address. All stockholders sharing an address will receive one copy of the Proxy Statement and one copy of the Annual Report in a single envelope, along with individual proxy cards or individual Notices for each stockholder. If you are a stockholder who shares an address and last name with one or more other stockholders and would like to revoke your householding consent or you are a stockholder eligible for householding and would like to participate in householding, please contact Broadridge, either by calling toll-free at (866) 540-7095 or by writing to Broadridge, Householding Department, 51 Mercedes Way, Edgewood, New York 11717. You will be removed from the householding program within 30 days of receipt of the revocation of your consent.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Proxy Solicitation Costs</w:t>
      </w:r>
    </w:p>
    <w:p>
      <w:pPr>
        <w:spacing w:after="0" w:line="125" w:lineRule="exact"/>
        <w:rPr>
          <w:sz w:val="20"/>
          <w:szCs w:val="20"/>
          <w:color w:val="auto"/>
        </w:rPr>
      </w:pPr>
    </w:p>
    <w:p>
      <w:pPr>
        <w:ind w:left="120" w:right="60"/>
        <w:spacing w:after="0"/>
        <w:rPr>
          <w:sz w:val="20"/>
          <w:szCs w:val="20"/>
          <w:color w:val="auto"/>
        </w:rPr>
      </w:pPr>
      <w:r>
        <w:rPr>
          <w:rFonts w:ascii="Arial" w:cs="Arial" w:eastAsia="Arial" w:hAnsi="Arial"/>
          <w:sz w:val="18"/>
          <w:szCs w:val="18"/>
          <w:color w:val="4C4C4C"/>
        </w:rPr>
        <w:t>We have engaged Morrow Sodali, LLC to act as our proxy solicitor and have agreed to pay it approximately $12,500 plus reasonable expenses for such services. We will also reimburse brokers, banks, and other intermediaries and fiduciaries for their reasonable expenses in forwarding proxy materials to the beneficial owners.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Vote Tabulation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Votes will be tabulated by Broadridge.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Inspector of Election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The Board has appointed a representative of Broadridge as Inspector of Election for the Annual Meeting.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ADBB"/>
        </w:rPr>
        <w:t>Results of the Vote</w:t>
      </w:r>
    </w:p>
    <w:p>
      <w:pPr>
        <w:spacing w:after="0" w:line="125" w:lineRule="exact"/>
        <w:rPr>
          <w:sz w:val="20"/>
          <w:szCs w:val="20"/>
          <w:color w:val="auto"/>
        </w:rPr>
      </w:pPr>
    </w:p>
    <w:p>
      <w:pPr>
        <w:ind w:left="120" w:right="40"/>
        <w:spacing w:after="0"/>
        <w:rPr>
          <w:sz w:val="20"/>
          <w:szCs w:val="20"/>
          <w:color w:val="auto"/>
        </w:rPr>
      </w:pPr>
      <w:r>
        <w:rPr>
          <w:rFonts w:ascii="Arial" w:cs="Arial" w:eastAsia="Arial" w:hAnsi="Arial"/>
          <w:sz w:val="18"/>
          <w:szCs w:val="18"/>
          <w:color w:val="4C4C4C"/>
        </w:rPr>
        <w:t>We expect to announce preliminary voting results at the Annual Meeting and publish preliminary or final voting results in a Form 8-K within four business days following the Annual Meeting. If only preliminary voting results are available for reporting in the Form 8-K, the Company will amend the Form 8-K to report final voting results within four business days after the final voting results are known.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85</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The Annual Meeting, Voting, and Other Information</w:t>
      </w:r>
      <w:r>
        <w:rPr>
          <w:sz w:val="20"/>
          <w:szCs w:val="20"/>
          <w:color w:val="auto"/>
        </w:rPr>
        <w:tab/>
      </w:r>
      <w:r>
        <w:rPr>
          <w:rFonts w:ascii="Arial" w:cs="Arial" w:eastAsia="Arial" w:hAnsi="Arial"/>
          <w:sz w:val="12"/>
          <w:szCs w:val="12"/>
          <w:b w:val="1"/>
          <w:bCs w:val="1"/>
          <w:color w:val="00ADBB"/>
        </w:rPr>
        <w:t>Brighthouse Financial, Inc.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ADBB"/>
        </w:rPr>
        <w:t>Other Information</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Proposals for the 2022 Annual Meeting of Stockholders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Proposals for inclusion in our proxy statement</w:t>
      </w:r>
    </w:p>
    <w:p>
      <w:pPr>
        <w:spacing w:after="0" w:line="18" w:lineRule="exact"/>
        <w:rPr>
          <w:sz w:val="20"/>
          <w:szCs w:val="20"/>
          <w:color w:val="auto"/>
        </w:rPr>
      </w:pPr>
    </w:p>
    <w:p>
      <w:pPr>
        <w:ind w:left="280" w:right="360"/>
        <w:spacing w:after="0" w:line="238" w:lineRule="auto"/>
        <w:rPr>
          <w:sz w:val="20"/>
          <w:szCs w:val="20"/>
          <w:color w:val="auto"/>
        </w:rPr>
      </w:pPr>
      <w:r>
        <w:rPr>
          <w:rFonts w:ascii="Arial" w:cs="Arial" w:eastAsia="Arial" w:hAnsi="Arial"/>
          <w:sz w:val="18"/>
          <w:szCs w:val="18"/>
          <w:color w:val="4C4C4C"/>
        </w:rPr>
        <w:t>A stockholder who wishes to present a proposal for inclusion in our proxy statement for the 2022 Annual Meeting of Stockholders pursuant to Exchange Act Rule 14a-8 must submit such proposal to the Corporate Secretary at our principal executive offices. Proposals must be received no later than the close of business on December 30, 2021, or such other date that we announce in accordance with SEC rules and our Bylaws. Proposals must comply with all requirements of Exchange Act Rule 14a-8. Submitting a proposal does not guarantee its inclusion, which is governed by SEC rules and other applicable requirements.</w:t>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ADBB"/>
        </w:rPr>
        <w:t>Other stockholder proposals and director nominations</w:t>
      </w:r>
    </w:p>
    <w:p>
      <w:pPr>
        <w:spacing w:after="0" w:line="18"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4C4C4C"/>
        </w:rPr>
        <w:t>Under the notice provision of our Bylaws, for director nominations or other business to be properly brought before an annual meeting by a stockholder where such nominees or business is not to be included in our proxy statement, the stockholder must deliver notice in writing to our Corporate Secretary, at our principal executive offices, not later than the close of business on March 12, 2022, nor earlier than the close of business on February 10, 2022. The notice must contain the notice and informational requirements described under Article II, Section 11 of our Bylaws and applicable SEC rules. The chairman of the meeting may refuse to acknowledge or introduce any stockholder nomination or business if it was not timely submitted or does not otherwise comply with our Bylaws.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Incorporation by Reference</w:t>
      </w:r>
    </w:p>
    <w:p>
      <w:pPr>
        <w:spacing w:after="0" w:line="13" w:lineRule="exact"/>
        <w:rPr>
          <w:sz w:val="20"/>
          <w:szCs w:val="20"/>
          <w:color w:val="auto"/>
        </w:rPr>
      </w:pPr>
    </w:p>
    <w:p>
      <w:pPr>
        <w:ind w:left="280" w:right="380"/>
        <w:spacing w:after="0" w:line="238" w:lineRule="auto"/>
        <w:rPr>
          <w:sz w:val="20"/>
          <w:szCs w:val="20"/>
          <w:color w:val="auto"/>
        </w:rPr>
      </w:pPr>
      <w:r>
        <w:rPr>
          <w:rFonts w:ascii="Arial" w:cs="Arial" w:eastAsia="Arial" w:hAnsi="Arial"/>
          <w:sz w:val="18"/>
          <w:szCs w:val="18"/>
          <w:color w:val="4C4C4C"/>
        </w:rPr>
        <w:t>To the extent that this Proxy Statement has been or will be specifically incorporated by reference into any other filing of Brighthouse under the Securities Act or the Exchange Act, the sections of this Proxy Statement entitled “</w:t>
      </w:r>
      <w:r>
        <w:rPr>
          <w:rFonts w:ascii="Arial" w:cs="Arial" w:eastAsia="Arial" w:hAnsi="Arial"/>
          <w:sz w:val="18"/>
          <w:szCs w:val="18"/>
          <w:color w:val="00ADBB"/>
        </w:rPr>
        <w:t>Report of the Audit Committee</w:t>
      </w:r>
      <w:r>
        <w:rPr>
          <w:rFonts w:ascii="Arial" w:cs="Arial" w:eastAsia="Arial" w:hAnsi="Arial"/>
          <w:sz w:val="18"/>
          <w:szCs w:val="18"/>
          <w:color w:val="4C4C4C"/>
        </w:rPr>
        <w:t>” (to the extent permitted by the rules of the SEC) and “</w:t>
      </w:r>
      <w:r>
        <w:rPr>
          <w:rFonts w:ascii="Arial" w:cs="Arial" w:eastAsia="Arial" w:hAnsi="Arial"/>
          <w:sz w:val="18"/>
          <w:szCs w:val="18"/>
          <w:color w:val="00ADBB"/>
        </w:rPr>
        <w:t>Compensation Committee Report</w:t>
      </w:r>
      <w:r>
        <w:rPr>
          <w:rFonts w:ascii="Arial" w:cs="Arial" w:eastAsia="Arial" w:hAnsi="Arial"/>
          <w:sz w:val="18"/>
          <w:szCs w:val="18"/>
          <w:color w:val="4C4C4C"/>
        </w:rPr>
        <w:t>” shall not be deemed to be so incorporated, unless specifically provided otherwise in such filing.</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Annual Report on Form 10-K</w:t>
      </w:r>
    </w:p>
    <w:p>
      <w:pPr>
        <w:spacing w:after="0" w:line="13" w:lineRule="exact"/>
        <w:rPr>
          <w:sz w:val="20"/>
          <w:szCs w:val="20"/>
          <w:color w:val="auto"/>
        </w:rPr>
      </w:pPr>
    </w:p>
    <w:p>
      <w:pPr>
        <w:ind w:left="280" w:right="180"/>
        <w:spacing w:after="0" w:line="237" w:lineRule="auto"/>
        <w:rPr>
          <w:sz w:val="20"/>
          <w:szCs w:val="20"/>
          <w:color w:val="auto"/>
        </w:rPr>
      </w:pPr>
      <w:r>
        <w:rPr>
          <w:rFonts w:ascii="Arial" w:cs="Arial" w:eastAsia="Arial" w:hAnsi="Arial"/>
          <w:sz w:val="18"/>
          <w:szCs w:val="18"/>
          <w:color w:val="4C4C4C"/>
        </w:rPr>
        <w:t xml:space="preserve">Upon written request, we will provide to stockholders, without charge, a copy of our 2020 Annual Report on Form 10-K, including financial statements and financial statement schedules, but without exhibits. We will also furnish to requesting stockholders any exhibit to the 2020 Annual Report on Form 10-K upon the payment of reasonable expenses incurred by us in furnishing such exhibit. Requests should be directed to Brighthouse Investor Relations at our principal executive offices or by emailing your request to investor.relations@brighthousefinancial.com. Our 2020 Annual Report on Form 10-K, along with all of our other SEC filings, may also be accessed at </w:t>
      </w:r>
      <w:r>
        <w:rPr>
          <w:rFonts w:ascii="Arial" w:cs="Arial" w:eastAsia="Arial" w:hAnsi="Arial"/>
          <w:sz w:val="18"/>
          <w:szCs w:val="18"/>
          <w:u w:val="single" w:color="auto"/>
          <w:color w:val="4C4C4C"/>
        </w:rPr>
        <w:t>http://investor.brighthousefinancial.com</w:t>
      </w:r>
      <w:r>
        <w:rPr>
          <w:rFonts w:ascii="Arial" w:cs="Arial" w:eastAsia="Arial" w:hAnsi="Arial"/>
          <w:sz w:val="18"/>
          <w:szCs w:val="18"/>
          <w:color w:val="4C4C4C"/>
        </w:rPr>
        <w:t xml:space="preserve"> by selecting “Financial Information” and “SEC Filings,” or at the SEC’s website at </w:t>
      </w:r>
      <w:r>
        <w:rPr>
          <w:rFonts w:ascii="Arial" w:cs="Arial" w:eastAsia="Arial" w:hAnsi="Arial"/>
          <w:sz w:val="18"/>
          <w:szCs w:val="18"/>
          <w:u w:val="single" w:color="auto"/>
          <w:color w:val="4C4C4C"/>
        </w:rPr>
        <w:t>www.sec.gov</w:t>
      </w:r>
      <w:r>
        <w:rPr>
          <w:rFonts w:ascii="Arial" w:cs="Arial" w:eastAsia="Arial" w:hAnsi="Arial"/>
          <w:sz w:val="18"/>
          <w:szCs w:val="18"/>
          <w:color w:val="4C4C4C"/>
        </w:rPr>
        <w:t>.</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Stockholder List</w:t>
      </w:r>
    </w:p>
    <w:p>
      <w:pPr>
        <w:spacing w:after="0" w:line="13" w:lineRule="exact"/>
        <w:rPr>
          <w:sz w:val="20"/>
          <w:szCs w:val="20"/>
          <w:color w:val="auto"/>
        </w:rPr>
      </w:pPr>
    </w:p>
    <w:p>
      <w:pPr>
        <w:ind w:left="280" w:right="260"/>
        <w:spacing w:after="0" w:line="238" w:lineRule="auto"/>
        <w:rPr>
          <w:sz w:val="20"/>
          <w:szCs w:val="20"/>
          <w:color w:val="auto"/>
        </w:rPr>
      </w:pPr>
      <w:r>
        <w:rPr>
          <w:rFonts w:ascii="Arial" w:cs="Arial" w:eastAsia="Arial" w:hAnsi="Arial"/>
          <w:sz w:val="18"/>
          <w:szCs w:val="18"/>
          <w:color w:val="4C4C4C"/>
        </w:rPr>
        <w:t xml:space="preserve">A list of the stockholders as of the Record Date will be available for inspection by stockholders from May 27, 2021 to June 9, 2021 during ordinary business hours at our principal executive offices. During the Annual Meeting, any stockholder attending the Annual Meeting may access a list of the stockholders entitled to vote at the Annual Meeting at </w:t>
      </w:r>
      <w:r>
        <w:rPr>
          <w:rFonts w:ascii="Arial" w:cs="Arial" w:eastAsia="Arial" w:hAnsi="Arial"/>
          <w:sz w:val="18"/>
          <w:szCs w:val="18"/>
          <w:u w:val="single" w:color="auto"/>
          <w:color w:val="4C4C4C"/>
        </w:rPr>
        <w:t>www.virtualshareholdermeeting.com/BHF2021</w:t>
      </w:r>
      <w:r>
        <w:rPr>
          <w:rFonts w:ascii="Arial" w:cs="Arial" w:eastAsia="Arial" w:hAnsi="Arial"/>
          <w:sz w:val="18"/>
          <w:szCs w:val="18"/>
          <w:color w:val="4C4C4C"/>
        </w:rPr>
        <w:t xml:space="preserve"> by entering their Control Number.</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4C4C4C"/>
        </w:rPr>
        <w:t>Principal executive offices</w:t>
      </w:r>
    </w:p>
    <w:p>
      <w:pPr>
        <w:spacing w:after="0" w:line="13" w:lineRule="exact"/>
        <w:rPr>
          <w:sz w:val="20"/>
          <w:szCs w:val="20"/>
          <w:color w:val="auto"/>
        </w:rPr>
      </w:pPr>
    </w:p>
    <w:p>
      <w:pPr>
        <w:ind w:left="280" w:right="620"/>
        <w:spacing w:after="0" w:line="246" w:lineRule="auto"/>
        <w:rPr>
          <w:sz w:val="20"/>
          <w:szCs w:val="20"/>
          <w:color w:val="auto"/>
        </w:rPr>
      </w:pPr>
      <w:r>
        <w:rPr>
          <w:rFonts w:ascii="Arial" w:cs="Arial" w:eastAsia="Arial" w:hAnsi="Arial"/>
          <w:sz w:val="18"/>
          <w:szCs w:val="18"/>
          <w:color w:val="4C4C4C"/>
        </w:rPr>
        <w:t>The address of our principal executive offices is Brighthouse Financial, Inc., 11225 North Community House Road, Charlotte, NC 28277.</w:t>
      </w: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86 | 2021 Proxy Statement</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08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The Annual Meeting, Voting, and Other Information</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C4C4C"/>
        </w:rPr>
        <w:t>Communicating with our Board</w:t>
      </w:r>
    </w:p>
    <w:p>
      <w:pPr>
        <w:spacing w:after="0" w:line="12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4C4C4C"/>
        </w:rPr>
        <w:t>Our Corporate Governance Principles provide a process for stockholders to send communications to the Board. Stockholders may contact an individual Director, the Board as a group, or a specified Committee or group, including the Independent Directors as a group, by mailing such communications to:</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Brighthouse Financial, Inc.</w:t>
      </w:r>
    </w:p>
    <w:p>
      <w:pPr>
        <w:ind w:left="120"/>
        <w:spacing w:after="0" w:line="234" w:lineRule="auto"/>
        <w:rPr>
          <w:sz w:val="20"/>
          <w:szCs w:val="20"/>
          <w:color w:val="auto"/>
        </w:rPr>
      </w:pPr>
      <w:r>
        <w:rPr>
          <w:rFonts w:ascii="Arial" w:cs="Arial" w:eastAsia="Arial" w:hAnsi="Arial"/>
          <w:sz w:val="18"/>
          <w:szCs w:val="18"/>
          <w:color w:val="4C4C4C"/>
        </w:rPr>
        <w:t>Attn: Office of the Corporate Secretary</w:t>
      </w:r>
    </w:p>
    <w:p>
      <w:pPr>
        <w:ind w:left="120"/>
        <w:spacing w:after="0" w:line="235" w:lineRule="auto"/>
        <w:rPr>
          <w:sz w:val="20"/>
          <w:szCs w:val="20"/>
          <w:color w:val="auto"/>
        </w:rPr>
      </w:pPr>
      <w:r>
        <w:rPr>
          <w:rFonts w:ascii="Arial" w:cs="Arial" w:eastAsia="Arial" w:hAnsi="Arial"/>
          <w:sz w:val="18"/>
          <w:szCs w:val="18"/>
          <w:color w:val="4C4C4C"/>
        </w:rPr>
        <w:t>11225 North Community House Road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Charlotte, North Carolina 28277</w:t>
      </w:r>
    </w:p>
    <w:p>
      <w:pPr>
        <w:spacing w:after="0" w:line="104"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4C4C4C"/>
        </w:rPr>
        <w:t>Each communication should specify the applicable addressee or addressees to be contacted, as well as the general topic of the communication. As described in our Corporate Governance Principles, the Corporate Secretary will log and review each communication before forwarding it to the addressee. The Corporate Secretary will not forward items that are determined, in his or her sole discretion, to be unrelated to the duties and responsibilities of the Board (e.g., communications that are primarily commercial in nature, resumes and other forms of job inquiries, survey requests, invitations to conferences, personal grievances, etc.). For communications that are not forwarded to the addressee, the Corporate Secretary will determine, in his or her sole discretion, the most appropriate way to respond to such communications, if at all.</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87</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Forward-Looking Statements</w:t>
      </w:r>
      <w:r>
        <w:rPr>
          <w:sz w:val="20"/>
          <w:szCs w:val="20"/>
          <w:color w:val="auto"/>
        </w:rPr>
        <w:tab/>
      </w:r>
      <w:r>
        <w:rPr>
          <w:rFonts w:ascii="Arial" w:cs="Arial" w:eastAsia="Arial" w:hAnsi="Arial"/>
          <w:sz w:val="12"/>
          <w:szCs w:val="12"/>
          <w:b w:val="1"/>
          <w:bCs w:val="1"/>
          <w:color w:val="00ADBB"/>
        </w:rPr>
        <w:t>Brighthouse Financial, Inc.</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ADBB"/>
        </w:rPr>
        <w:t>Forward-Looking Statements</w:t>
      </w:r>
    </w:p>
    <w:p>
      <w:pPr>
        <w:spacing w:after="0" w:line="382" w:lineRule="exact"/>
        <w:rPr>
          <w:sz w:val="20"/>
          <w:szCs w:val="20"/>
          <w:color w:val="auto"/>
        </w:rPr>
      </w:pPr>
    </w:p>
    <w:p>
      <w:pPr>
        <w:ind w:left="280" w:right="340"/>
        <w:spacing w:after="0" w:line="236" w:lineRule="auto"/>
        <w:rPr>
          <w:sz w:val="20"/>
          <w:szCs w:val="20"/>
          <w:color w:val="auto"/>
        </w:rPr>
      </w:pPr>
      <w:r>
        <w:rPr>
          <w:rFonts w:ascii="Arial" w:cs="Arial" w:eastAsia="Arial" w:hAnsi="Arial"/>
          <w:sz w:val="18"/>
          <w:szCs w:val="18"/>
          <w:color w:val="4C4C4C"/>
        </w:rPr>
        <w:t>This Proxy Statement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99" w:lineRule="exact"/>
        <w:rPr>
          <w:sz w:val="20"/>
          <w:szCs w:val="20"/>
          <w:color w:val="auto"/>
        </w:rPr>
      </w:pPr>
    </w:p>
    <w:p>
      <w:pPr>
        <w:ind w:left="280" w:right="280"/>
        <w:spacing w:after="0" w:line="236" w:lineRule="auto"/>
        <w:rPr>
          <w:sz w:val="20"/>
          <w:szCs w:val="20"/>
          <w:color w:val="auto"/>
        </w:rPr>
      </w:pPr>
      <w:r>
        <w:rPr>
          <w:rFonts w:ascii="Arial" w:cs="Arial" w:eastAsia="Arial" w:hAnsi="Arial"/>
          <w:sz w:val="18"/>
          <w:szCs w:val="18"/>
          <w:color w:val="4C4C4C"/>
        </w:rPr>
        <w:t>Any or all forward-looking statements may turn out to be wrong. They can be affected by inaccurate assumptions or by known or unknown risks and uncertainties. Many such factors will be important in determining the actual future results of Brighthouse and its subsidiaries.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For the reasons described above, we caution you against relying on any forward-looking statements, which should also be read in conjunction with the risks, uncertainties, and other factors identified in Brighthouse’s most recent Annual Report on Form 10-K, particularly in the sections entitled “Note Regarding Forward-Looking Statements and Summary of Risk Factors,” “Risk Factors,” and “Quantitative and Qualitative Disclosures About Market Risk,” as well as in our other subsequent filings with the SEC. Further, any forward-looking statement speaks only as of the date on which it is made, and Brighthouse does not undertake any obligation to update or revise any forward-looking statement to reflect events or circumstances after the date on which the statement is made or to reflect the occurrence of unanticipated events, except as otherwise may be required by law.</w:t>
      </w:r>
    </w:p>
    <w:p>
      <w:pPr>
        <w:spacing w:after="0" w:line="259"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ADBB"/>
        </w:rPr>
        <w:t>Website References</w:t>
      </w:r>
    </w:p>
    <w:p>
      <w:pPr>
        <w:spacing w:after="0" w:line="382" w:lineRule="exact"/>
        <w:rPr>
          <w:sz w:val="20"/>
          <w:szCs w:val="20"/>
          <w:color w:val="auto"/>
        </w:rPr>
      </w:pPr>
    </w:p>
    <w:p>
      <w:pPr>
        <w:ind w:left="280" w:right="340"/>
        <w:spacing w:after="0" w:line="237" w:lineRule="auto"/>
        <w:rPr>
          <w:sz w:val="20"/>
          <w:szCs w:val="20"/>
          <w:color w:val="auto"/>
        </w:rPr>
      </w:pPr>
      <w:r>
        <w:rPr>
          <w:rFonts w:ascii="Arial" w:cs="Arial" w:eastAsia="Arial" w:hAnsi="Arial"/>
          <w:sz w:val="18"/>
          <w:szCs w:val="18"/>
          <w:color w:val="4C4C4C"/>
        </w:rPr>
        <w:t xml:space="preserve">Information contained on or connected to any website referenced in this Proxy Statement is not incorporated by reference in this Proxy Statement or in any other report or document we file with the SEC. We routinely use our Investor Relations website to provide presentations, press releases, and other information that may be deemed material to investors. Accordingly, we encourage investors and others interested in the Company to review the information that we share at </w:t>
      </w:r>
      <w:r>
        <w:rPr>
          <w:rFonts w:ascii="Arial" w:cs="Arial" w:eastAsia="Arial" w:hAnsi="Arial"/>
          <w:sz w:val="18"/>
          <w:szCs w:val="18"/>
          <w:u w:val="single" w:color="auto"/>
          <w:color w:val="4C4C4C"/>
        </w:rPr>
        <w:t>http://investor.brighthousefinancial.com</w:t>
      </w:r>
      <w:r>
        <w:rPr>
          <w:rFonts w:ascii="Arial" w:cs="Arial" w:eastAsia="Arial" w:hAnsi="Arial"/>
          <w:sz w:val="18"/>
          <w:szCs w:val="18"/>
          <w:color w:val="4C4C4C"/>
        </w:rPr>
        <w:t>. In addition, our Investor Relations website allows interested persons to sign up to automatically receive e-mail alerts when we post financial information.</w:t>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88 | 2021 Proxy Statement</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Non-GAAP and Other Financial Disclosures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00ADBB"/>
        </w:rPr>
        <w:t>Non-GAAP and Other Financial Disclosures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Our definitions of the non-GAAP and other financial measures may differ from those used by other companies.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4C4C4C"/>
        </w:rPr>
        <w:t>Non-GAAP Financial Disclosures</w:t>
      </w:r>
    </w:p>
    <w:p>
      <w:pPr>
        <w:spacing w:after="0" w:line="10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4C4C4C"/>
        </w:rPr>
        <w:t>We present certain measures of our performance that are not calculated in accordance with accounting principles generally accepted in the United States of America, also known as “</w:t>
      </w:r>
      <w:r>
        <w:rPr>
          <w:rFonts w:ascii="Arial" w:cs="Arial" w:eastAsia="Arial" w:hAnsi="Arial"/>
          <w:sz w:val="18"/>
          <w:szCs w:val="18"/>
          <w:b w:val="1"/>
          <w:bCs w:val="1"/>
          <w:color w:val="00ADBB"/>
        </w:rPr>
        <w:t>GAAP</w:t>
      </w:r>
      <w:r>
        <w:rPr>
          <w:rFonts w:ascii="Arial" w:cs="Arial" w:eastAsia="Arial" w:hAnsi="Arial"/>
          <w:sz w:val="18"/>
          <w:szCs w:val="18"/>
          <w:color w:val="4C4C4C"/>
        </w:rPr>
        <w:t>.” We believe that these non-GAAP financial measures highlight our results of operations and the underlying profitability drivers of our business, as well as enhance the understanding of our performance by the investor community.</w:t>
      </w:r>
    </w:p>
    <w:p>
      <w:pPr>
        <w:spacing w:after="0" w:line="97"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4C4C4C"/>
        </w:rPr>
        <w:t>The following non-GAAP financial measures should not be viewed as substitutes for the most directly comparable financial measures calculated in accordance with GAAP:</w:t>
      </w:r>
    </w:p>
    <w:p>
      <w:pPr>
        <w:sectPr>
          <w:pgSz w:w="11900" w:h="16838" w:orient="portrait"/>
          <w:cols w:equalWidth="0" w:num="1">
            <w:col w:w="11140"/>
          </w:cols>
          <w:pgMar w:left="320" w:top="459" w:right="439" w:bottom="1440" w:gutter="0" w:footer="0" w:header="0"/>
        </w:sectPr>
      </w:pP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4C4C4C"/>
        </w:rPr>
        <w:t>Non-GAAP financial measures: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4C4C4C"/>
        </w:rPr>
        <w:t>adjusted earnings</w:t>
      </w:r>
    </w:p>
    <w:p>
      <w:pPr>
        <w:ind w:left="120"/>
        <w:spacing w:after="0" w:line="234" w:lineRule="auto"/>
        <w:rPr>
          <w:sz w:val="20"/>
          <w:szCs w:val="20"/>
          <w:color w:val="auto"/>
        </w:rPr>
      </w:pPr>
      <w:r>
        <w:rPr>
          <w:rFonts w:ascii="Arial" w:cs="Arial" w:eastAsia="Arial" w:hAnsi="Arial"/>
          <w:sz w:val="18"/>
          <w:szCs w:val="18"/>
          <w:color w:val="4C4C4C"/>
        </w:rPr>
        <w:t>adjusted earnings, less notable items</w:t>
      </w:r>
    </w:p>
    <w:p>
      <w:pPr>
        <w:ind w:left="120"/>
        <w:spacing w:after="0" w:line="235" w:lineRule="auto"/>
        <w:rPr>
          <w:sz w:val="20"/>
          <w:szCs w:val="20"/>
          <w:color w:val="auto"/>
        </w:rPr>
      </w:pPr>
      <w:r>
        <w:rPr>
          <w:rFonts w:ascii="Arial" w:cs="Arial" w:eastAsia="Arial" w:hAnsi="Arial"/>
          <w:sz w:val="18"/>
          <w:szCs w:val="18"/>
          <w:color w:val="4C4C4C"/>
        </w:rPr>
        <w:t>adjusted revenues</w:t>
      </w:r>
    </w:p>
    <w:p>
      <w:pPr>
        <w:ind w:left="120"/>
        <w:spacing w:after="0" w:line="235" w:lineRule="auto"/>
        <w:rPr>
          <w:sz w:val="20"/>
          <w:szCs w:val="20"/>
          <w:color w:val="auto"/>
        </w:rPr>
      </w:pPr>
      <w:r>
        <w:rPr>
          <w:rFonts w:ascii="Arial" w:cs="Arial" w:eastAsia="Arial" w:hAnsi="Arial"/>
          <w:sz w:val="18"/>
          <w:szCs w:val="18"/>
          <w:color w:val="4C4C4C"/>
        </w:rPr>
        <w:t>adjusted expenses</w:t>
      </w:r>
    </w:p>
    <w:p>
      <w:pPr>
        <w:ind w:left="120"/>
        <w:spacing w:after="0" w:line="235" w:lineRule="auto"/>
        <w:rPr>
          <w:sz w:val="20"/>
          <w:szCs w:val="20"/>
          <w:color w:val="auto"/>
        </w:rPr>
      </w:pPr>
      <w:r>
        <w:rPr>
          <w:rFonts w:ascii="Arial" w:cs="Arial" w:eastAsia="Arial" w:hAnsi="Arial"/>
          <w:sz w:val="18"/>
          <w:szCs w:val="18"/>
          <w:color w:val="4C4C4C"/>
        </w:rPr>
        <w:t>adjusted earnings per common share</w:t>
      </w:r>
    </w:p>
    <w:p>
      <w:pPr>
        <w:ind w:left="120"/>
        <w:spacing w:after="0"/>
        <w:rPr>
          <w:sz w:val="20"/>
          <w:szCs w:val="20"/>
          <w:color w:val="auto"/>
        </w:rPr>
      </w:pPr>
      <w:r>
        <w:rPr>
          <w:rFonts w:ascii="Arial" w:cs="Arial" w:eastAsia="Arial" w:hAnsi="Arial"/>
          <w:sz w:val="17"/>
          <w:szCs w:val="17"/>
          <w:color w:val="4C4C4C"/>
        </w:rPr>
        <w:t>adjusted earnings per common share, less notable items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4C4C4C"/>
        </w:rPr>
        <w:t>Most directly comparable GAAP financial measures: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4C4C4C"/>
        </w:rPr>
        <w:t xml:space="preserve">net income (loss) available to shareholders </w:t>
      </w:r>
      <w:r>
        <w:rPr>
          <w:rFonts w:ascii="Arial" w:cs="Arial" w:eastAsia="Arial" w:hAnsi="Arial"/>
          <w:sz w:val="15"/>
          <w:szCs w:val="15"/>
          <w:color w:val="4C4C4C"/>
        </w:rPr>
        <w:t>(1)</w:t>
      </w:r>
    </w:p>
    <w:p>
      <w:pPr>
        <w:spacing w:after="0" w:line="234" w:lineRule="auto"/>
        <w:rPr>
          <w:sz w:val="20"/>
          <w:szCs w:val="20"/>
          <w:color w:val="auto"/>
        </w:rPr>
      </w:pPr>
      <w:r>
        <w:rPr>
          <w:rFonts w:ascii="Arial" w:cs="Arial" w:eastAsia="Arial" w:hAnsi="Arial"/>
          <w:sz w:val="18"/>
          <w:szCs w:val="18"/>
          <w:color w:val="4C4C4C"/>
        </w:rPr>
        <w:t xml:space="preserve">net income (loss) available to shareholders </w:t>
      </w:r>
      <w:r>
        <w:rPr>
          <w:rFonts w:ascii="Arial" w:cs="Arial" w:eastAsia="Arial" w:hAnsi="Arial"/>
          <w:sz w:val="15"/>
          <w:szCs w:val="15"/>
          <w:color w:val="4C4C4C"/>
        </w:rPr>
        <w:t>(1)</w:t>
      </w:r>
    </w:p>
    <w:p>
      <w:pPr>
        <w:spacing w:after="0" w:line="235" w:lineRule="auto"/>
        <w:rPr>
          <w:sz w:val="20"/>
          <w:szCs w:val="20"/>
          <w:color w:val="auto"/>
        </w:rPr>
      </w:pPr>
      <w:r>
        <w:rPr>
          <w:rFonts w:ascii="Arial" w:cs="Arial" w:eastAsia="Arial" w:hAnsi="Arial"/>
          <w:sz w:val="18"/>
          <w:szCs w:val="18"/>
          <w:color w:val="4C4C4C"/>
        </w:rPr>
        <w:t>revenues</w:t>
      </w:r>
    </w:p>
    <w:p>
      <w:pPr>
        <w:spacing w:after="0" w:line="232" w:lineRule="auto"/>
        <w:rPr>
          <w:sz w:val="20"/>
          <w:szCs w:val="20"/>
          <w:color w:val="auto"/>
        </w:rPr>
      </w:pPr>
      <w:r>
        <w:rPr>
          <w:rFonts w:ascii="Arial" w:cs="Arial" w:eastAsia="Arial" w:hAnsi="Arial"/>
          <w:sz w:val="18"/>
          <w:szCs w:val="18"/>
          <w:color w:val="4C4C4C"/>
        </w:rPr>
        <w:t>expenses</w:t>
      </w:r>
    </w:p>
    <w:p>
      <w:pPr>
        <w:spacing w:after="0" w:line="238" w:lineRule="auto"/>
        <w:rPr>
          <w:sz w:val="20"/>
          <w:szCs w:val="20"/>
          <w:color w:val="auto"/>
        </w:rPr>
      </w:pPr>
      <w:r>
        <w:rPr>
          <w:rFonts w:ascii="Arial" w:cs="Arial" w:eastAsia="Arial" w:hAnsi="Arial"/>
          <w:sz w:val="18"/>
          <w:szCs w:val="18"/>
          <w:color w:val="4C4C4C"/>
        </w:rPr>
        <w:t xml:space="preserve">earnings per common share, diluted </w:t>
      </w:r>
      <w:r>
        <w:rPr>
          <w:rFonts w:ascii="Arial" w:cs="Arial" w:eastAsia="Arial" w:hAnsi="Arial"/>
          <w:sz w:val="15"/>
          <w:szCs w:val="15"/>
          <w:color w:val="4C4C4C"/>
        </w:rPr>
        <w:t>(1)</w:t>
      </w:r>
    </w:p>
    <w:p>
      <w:pPr>
        <w:spacing w:after="0"/>
        <w:rPr>
          <w:sz w:val="20"/>
          <w:szCs w:val="20"/>
          <w:color w:val="auto"/>
        </w:rPr>
      </w:pPr>
      <w:r>
        <w:rPr>
          <w:rFonts w:ascii="Arial" w:cs="Arial" w:eastAsia="Arial" w:hAnsi="Arial"/>
          <w:sz w:val="18"/>
          <w:szCs w:val="18"/>
          <w:color w:val="4C4C4C"/>
        </w:rPr>
        <w:t xml:space="preserve">earnings per common share, diluted </w:t>
      </w:r>
      <w:r>
        <w:rPr>
          <w:rFonts w:ascii="Arial" w:cs="Arial" w:eastAsia="Arial" w:hAnsi="Arial"/>
          <w:sz w:val="15"/>
          <w:szCs w:val="15"/>
          <w:color w:val="4C4C4C"/>
        </w:rPr>
        <w:t>(1)</w:t>
      </w:r>
    </w:p>
    <w:p>
      <w:pPr>
        <w:spacing w:after="0" w:line="104" w:lineRule="exact"/>
        <w:rPr>
          <w:sz w:val="20"/>
          <w:szCs w:val="20"/>
          <w:color w:val="auto"/>
        </w:rPr>
      </w:pPr>
    </w:p>
    <w:p>
      <w:pPr>
        <w:sectPr>
          <w:pgSz w:w="11900" w:h="16838" w:orient="portrait"/>
          <w:cols w:equalWidth="0" w:num="2">
            <w:col w:w="5140" w:space="720"/>
            <w:col w:w="52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4C4C4C"/>
        </w:rPr>
        <w:t>Reconciliations to the most directly comparable historical GAAP measures are included for those measures which are presented herein.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C4C4C"/>
        </w:rPr>
        <w:t>Adjusted Earnings, Adjusted Revenues and Adjusted Expenses</w:t>
      </w:r>
    </w:p>
    <w:p>
      <w:pPr>
        <w:spacing w:after="0" w:line="122"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4C4C4C"/>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95" w:lineRule="exact"/>
        <w:rPr>
          <w:sz w:val="20"/>
          <w:szCs w:val="20"/>
          <w:color w:val="auto"/>
        </w:rPr>
      </w:pPr>
    </w:p>
    <w:p>
      <w:pPr>
        <w:ind w:left="120" w:right="120"/>
        <w:spacing w:after="0"/>
        <w:rPr>
          <w:sz w:val="20"/>
          <w:szCs w:val="20"/>
          <w:color w:val="auto"/>
        </w:rPr>
      </w:pPr>
      <w:r>
        <w:rPr>
          <w:rFonts w:ascii="Arial" w:cs="Arial" w:eastAsia="Arial" w:hAnsi="Arial"/>
          <w:sz w:val="18"/>
          <w:szCs w:val="18"/>
          <w:color w:val="4C4C4C"/>
        </w:rPr>
        <w:t>Adjusted earnings reflects adjusted revenues less adjusted expenses, both net of income tax, and excludes net income (loss) attributable to noncontrolling interests and preferred stock dividends. Provided below are the adjustments to GAAP revenues and GAAP expenses used to calculate adjusted revenues and adjusted expenses, respectively.</w:t>
      </w:r>
    </w:p>
    <w:p>
      <w:pPr>
        <w:spacing w:after="0" w:line="95" w:lineRule="exact"/>
        <w:rPr>
          <w:sz w:val="20"/>
          <w:szCs w:val="20"/>
          <w:color w:val="auto"/>
        </w:rPr>
      </w:pPr>
    </w:p>
    <w:p>
      <w:pPr>
        <w:ind w:left="120" w:right="400"/>
        <w:spacing w:after="0" w:line="234" w:lineRule="auto"/>
        <w:rPr>
          <w:sz w:val="20"/>
          <w:szCs w:val="20"/>
          <w:color w:val="auto"/>
        </w:rPr>
      </w:pPr>
      <w:r>
        <w:rPr>
          <w:rFonts w:ascii="Arial" w:cs="Arial" w:eastAsia="Arial" w:hAnsi="Arial"/>
          <w:sz w:val="18"/>
          <w:szCs w:val="18"/>
          <w:color w:val="4C4C4C"/>
        </w:rPr>
        <w:t>The following are significant items excluded from total revenues, net of income tax, in calculating the adjusted revenues component of adjusted earnings:</w:t>
      </w:r>
    </w:p>
    <w:p>
      <w:pPr>
        <w:ind w:left="340" w:hanging="224"/>
        <w:spacing w:after="0" w:line="236" w:lineRule="auto"/>
        <w:tabs>
          <w:tab w:leader="none" w:pos="340" w:val="left"/>
        </w:tabs>
        <w:numPr>
          <w:ilvl w:val="0"/>
          <w:numId w:val="158"/>
        </w:numPr>
        <w:rPr>
          <w:rFonts w:ascii="Arial" w:cs="Arial" w:eastAsia="Arial" w:hAnsi="Arial"/>
          <w:sz w:val="18"/>
          <w:szCs w:val="18"/>
          <w:color w:val="4C4C4C"/>
        </w:rPr>
      </w:pPr>
      <w:r>
        <w:rPr>
          <w:rFonts w:ascii="Arial" w:cs="Arial" w:eastAsia="Arial" w:hAnsi="Arial"/>
          <w:sz w:val="18"/>
          <w:szCs w:val="18"/>
          <w:color w:val="4C4C4C"/>
        </w:rPr>
        <w:t>Net investment gains (losses);</w:t>
      </w:r>
    </w:p>
    <w:p>
      <w:pPr>
        <w:ind w:left="340" w:right="700" w:hanging="224"/>
        <w:spacing w:after="0" w:line="234" w:lineRule="auto"/>
        <w:tabs>
          <w:tab w:leader="none" w:pos="340" w:val="left"/>
        </w:tabs>
        <w:numPr>
          <w:ilvl w:val="0"/>
          <w:numId w:val="158"/>
        </w:numPr>
        <w:rPr>
          <w:rFonts w:ascii="Arial" w:cs="Arial" w:eastAsia="Arial" w:hAnsi="Arial"/>
          <w:sz w:val="18"/>
          <w:szCs w:val="18"/>
          <w:color w:val="4C4C4C"/>
        </w:rPr>
      </w:pPr>
      <w:r>
        <w:rPr>
          <w:rFonts w:ascii="Arial" w:cs="Arial" w:eastAsia="Arial" w:hAnsi="Arial"/>
          <w:sz w:val="18"/>
          <w:szCs w:val="18"/>
          <w:color w:val="4C4C4C"/>
        </w:rPr>
        <w:t>Net derivative gains (losses) (“</w:t>
      </w:r>
      <w:r>
        <w:rPr>
          <w:rFonts w:ascii="Arial" w:cs="Arial" w:eastAsia="Arial" w:hAnsi="Arial"/>
          <w:sz w:val="18"/>
          <w:szCs w:val="18"/>
          <w:b w:val="1"/>
          <w:bCs w:val="1"/>
          <w:color w:val="00ADBB"/>
        </w:rPr>
        <w:t>NDGL</w:t>
      </w:r>
      <w:r>
        <w:rPr>
          <w:rFonts w:ascii="Arial" w:cs="Arial" w:eastAsia="Arial" w:hAnsi="Arial"/>
          <w:sz w:val="18"/>
          <w:szCs w:val="18"/>
          <w:color w:val="4C4C4C"/>
        </w:rPr>
        <w:t>”), except earned income on derivatives that are hedges of investments or that are used to replicate certain investments, but do not qualify for hedge accounting treatment (“</w:t>
      </w:r>
      <w:r>
        <w:rPr>
          <w:rFonts w:ascii="Arial" w:cs="Arial" w:eastAsia="Arial" w:hAnsi="Arial"/>
          <w:sz w:val="18"/>
          <w:szCs w:val="18"/>
          <w:b w:val="1"/>
          <w:bCs w:val="1"/>
          <w:color w:val="00ADBB"/>
        </w:rPr>
        <w:t>Investment Hedge Adjustments</w:t>
      </w:r>
      <w:r>
        <w:rPr>
          <w:rFonts w:ascii="Arial" w:cs="Arial" w:eastAsia="Arial" w:hAnsi="Arial"/>
          <w:sz w:val="18"/>
          <w:szCs w:val="18"/>
          <w:color w:val="4C4C4C"/>
        </w:rPr>
        <w:t>”); and</w:t>
      </w:r>
    </w:p>
    <w:p>
      <w:pPr>
        <w:spacing w:after="0" w:line="1" w:lineRule="exact"/>
        <w:rPr>
          <w:rFonts w:ascii="Arial" w:cs="Arial" w:eastAsia="Arial" w:hAnsi="Arial"/>
          <w:sz w:val="18"/>
          <w:szCs w:val="18"/>
          <w:color w:val="4C4C4C"/>
        </w:rPr>
      </w:pPr>
    </w:p>
    <w:p>
      <w:pPr>
        <w:ind w:left="340" w:right="400" w:hanging="224"/>
        <w:spacing w:after="0" w:line="246" w:lineRule="auto"/>
        <w:tabs>
          <w:tab w:leader="none" w:pos="340" w:val="left"/>
        </w:tabs>
        <w:numPr>
          <w:ilvl w:val="0"/>
          <w:numId w:val="158"/>
        </w:numPr>
        <w:rPr>
          <w:rFonts w:ascii="Arial" w:cs="Arial" w:eastAsia="Arial" w:hAnsi="Arial"/>
          <w:sz w:val="18"/>
          <w:szCs w:val="18"/>
          <w:color w:val="4C4C4C"/>
        </w:rPr>
      </w:pPr>
      <w:r>
        <w:rPr>
          <w:rFonts w:ascii="Arial" w:cs="Arial" w:eastAsia="Arial" w:hAnsi="Arial"/>
          <w:sz w:val="18"/>
          <w:szCs w:val="18"/>
          <w:color w:val="4C4C4C"/>
        </w:rPr>
        <w:t>Certain variable annuity guaranteed minimum income benefits (“</w:t>
      </w:r>
      <w:r>
        <w:rPr>
          <w:rFonts w:ascii="Arial" w:cs="Arial" w:eastAsia="Arial" w:hAnsi="Arial"/>
          <w:sz w:val="18"/>
          <w:szCs w:val="18"/>
          <w:b w:val="1"/>
          <w:bCs w:val="1"/>
          <w:color w:val="00ADBB"/>
        </w:rPr>
        <w:t>GMIB</w:t>
      </w:r>
      <w:r>
        <w:rPr>
          <w:rFonts w:ascii="Arial" w:cs="Arial" w:eastAsia="Arial" w:hAnsi="Arial"/>
          <w:sz w:val="18"/>
          <w:szCs w:val="18"/>
          <w:color w:val="4C4C4C"/>
        </w:rPr>
        <w:t>”) fees (“</w:t>
      </w:r>
      <w:r>
        <w:rPr>
          <w:rFonts w:ascii="Arial" w:cs="Arial" w:eastAsia="Arial" w:hAnsi="Arial"/>
          <w:sz w:val="18"/>
          <w:szCs w:val="18"/>
          <w:b w:val="1"/>
          <w:bCs w:val="1"/>
          <w:color w:val="00ADBB"/>
        </w:rPr>
        <w:t>GMIB Fees</w:t>
      </w:r>
      <w:r>
        <w:rPr>
          <w:rFonts w:ascii="Arial" w:cs="Arial" w:eastAsia="Arial" w:hAnsi="Arial"/>
          <w:sz w:val="18"/>
          <w:szCs w:val="18"/>
          <w:color w:val="4C4C4C"/>
        </w:rPr>
        <w:t>”) and amortization of unearned revenue related to net investment gains (losses) and net derivative gains (losses).</w:t>
      </w:r>
    </w:p>
    <w:p>
      <w:pPr>
        <w:spacing w:after="0" w:line="89"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4C4C4C"/>
        </w:rPr>
        <w:t>The following are significant items excluded from total expenses, net of income tax, in calculating the adjusted expenses component of adjusted earnings:</w:t>
      </w:r>
    </w:p>
    <w:p>
      <w:pPr>
        <w:spacing w:after="0" w:line="80" w:lineRule="exact"/>
        <w:rPr>
          <w:sz w:val="20"/>
          <w:szCs w:val="20"/>
          <w:color w:val="auto"/>
        </w:rPr>
      </w:pPr>
    </w:p>
    <w:p>
      <w:pPr>
        <w:ind w:left="340" w:hanging="224"/>
        <w:spacing w:after="0"/>
        <w:tabs>
          <w:tab w:leader="none" w:pos="340" w:val="left"/>
        </w:tabs>
        <w:numPr>
          <w:ilvl w:val="0"/>
          <w:numId w:val="159"/>
        </w:numPr>
        <w:rPr>
          <w:rFonts w:ascii="Arial" w:cs="Arial" w:eastAsia="Arial" w:hAnsi="Arial"/>
          <w:sz w:val="18"/>
          <w:szCs w:val="18"/>
          <w:color w:val="4C4C4C"/>
        </w:rPr>
      </w:pPr>
      <w:r>
        <w:rPr>
          <w:rFonts w:ascii="Arial" w:cs="Arial" w:eastAsia="Arial" w:hAnsi="Arial"/>
          <w:sz w:val="18"/>
          <w:szCs w:val="18"/>
          <w:color w:val="4C4C4C"/>
        </w:rPr>
        <w:t>Amounts associated with benefits related to GMIBs (“</w:t>
      </w:r>
      <w:r>
        <w:rPr>
          <w:rFonts w:ascii="Arial" w:cs="Arial" w:eastAsia="Arial" w:hAnsi="Arial"/>
          <w:sz w:val="18"/>
          <w:szCs w:val="18"/>
          <w:b w:val="1"/>
          <w:bCs w:val="1"/>
          <w:color w:val="00ADBB"/>
        </w:rPr>
        <w:t>GMIB Costs</w:t>
      </w:r>
      <w:r>
        <w:rPr>
          <w:rFonts w:ascii="Arial" w:cs="Arial" w:eastAsia="Arial" w:hAnsi="Arial"/>
          <w:sz w:val="18"/>
          <w:szCs w:val="18"/>
          <w:color w:val="4C4C4C"/>
        </w:rPr>
        <w:t>”);</w:t>
      </w:r>
    </w:p>
    <w:p>
      <w:pPr>
        <w:spacing w:after="0" w:line="206" w:lineRule="exact"/>
        <w:rPr>
          <w:rFonts w:ascii="Arial" w:cs="Arial" w:eastAsia="Arial" w:hAnsi="Arial"/>
          <w:sz w:val="18"/>
          <w:szCs w:val="18"/>
          <w:color w:val="4C4C4C"/>
        </w:rPr>
      </w:pPr>
    </w:p>
    <w:p>
      <w:pPr>
        <w:ind w:left="680" w:right="20" w:hanging="240"/>
        <w:spacing w:after="0"/>
        <w:tabs>
          <w:tab w:leader="none" w:pos="680" w:val="left"/>
        </w:tabs>
        <w:numPr>
          <w:ilvl w:val="1"/>
          <w:numId w:val="159"/>
        </w:numPr>
        <w:rPr>
          <w:rFonts w:ascii="Arial" w:cs="Arial" w:eastAsia="Arial" w:hAnsi="Arial"/>
          <w:sz w:val="15"/>
          <w:szCs w:val="15"/>
          <w:color w:val="4C4C4C"/>
        </w:rPr>
      </w:pPr>
      <w:r>
        <w:rPr>
          <w:rFonts w:ascii="Arial" w:cs="Arial" w:eastAsia="Arial" w:hAnsi="Arial"/>
          <w:sz w:val="18"/>
          <w:szCs w:val="18"/>
          <w:color w:val="4C4C4C"/>
        </w:rPr>
        <w:t>Brighthouse uses net income (loss) available to shareholders to refer to net income (loss) available to Brighthouse Financial, Inc.’s common shareholders, and earnings per common share, diluted to refer to net income (loss) available to shareholders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-427355</wp:posOffset>
            </wp:positionV>
            <wp:extent cx="7715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ADBB"/>
        </w:rPr>
        <w:t>2021 Proxy Statement | 89</w:t>
      </w:r>
    </w:p>
    <w:p>
      <w:pPr>
        <w:sectPr>
          <w:pgSz w:w="11900" w:h="16838" w:orient="portrait"/>
          <w:cols w:equalWidth="0" w:num="1">
            <w:col w:w="11140"/>
          </w:cols>
          <w:pgMar w:left="320" w:top="459" w:right="4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3"/>
          <w:szCs w:val="13"/>
          <w:b w:val="1"/>
          <w:bCs w:val="1"/>
          <w:color w:val="00ADBB"/>
        </w:rPr>
        <w:t>Non-GAAP and Other Financial Disclosures</w:t>
      </w:r>
      <w:r>
        <w:rPr>
          <w:sz w:val="20"/>
          <w:szCs w:val="20"/>
          <w:color w:val="auto"/>
        </w:rPr>
        <w:tab/>
      </w:r>
      <w:r>
        <w:rPr>
          <w:rFonts w:ascii="Arial" w:cs="Arial" w:eastAsia="Arial" w:hAnsi="Arial"/>
          <w:sz w:val="12"/>
          <w:szCs w:val="12"/>
          <w:b w:val="1"/>
          <w:bCs w:val="1"/>
          <w:color w:val="00ADBB"/>
        </w:rPr>
        <w:t>Brighthouse Financial, Inc.</w:t>
      </w:r>
    </w:p>
    <w:p>
      <w:pPr>
        <w:spacing w:after="0" w:line="331" w:lineRule="exact"/>
        <w:rPr>
          <w:sz w:val="20"/>
          <w:szCs w:val="20"/>
          <w:color w:val="auto"/>
        </w:rPr>
      </w:pPr>
    </w:p>
    <w:p>
      <w:pPr>
        <w:ind w:left="480" w:right="400" w:hanging="199"/>
        <w:spacing w:after="0" w:line="248" w:lineRule="auto"/>
        <w:tabs>
          <w:tab w:leader="none" w:pos="480" w:val="left"/>
        </w:tabs>
        <w:numPr>
          <w:ilvl w:val="0"/>
          <w:numId w:val="160"/>
        </w:numPr>
        <w:rPr>
          <w:rFonts w:ascii="Arial" w:cs="Arial" w:eastAsia="Arial" w:hAnsi="Arial"/>
          <w:sz w:val="17"/>
          <w:szCs w:val="17"/>
          <w:color w:val="4C4C4C"/>
        </w:rPr>
      </w:pPr>
      <w:r>
        <w:rPr>
          <w:rFonts w:ascii="Arial" w:cs="Arial" w:eastAsia="Arial" w:hAnsi="Arial"/>
          <w:sz w:val="17"/>
          <w:szCs w:val="17"/>
          <w:color w:val="4C4C4C"/>
        </w:rPr>
        <w:t>Amounts associated with periodic crediting rate adjustments based on the total return of a contractually referenced pool of assets and market value adjustments associated with surrenders or terminations of contracts (“</w:t>
      </w:r>
      <w:r>
        <w:rPr>
          <w:rFonts w:ascii="Arial" w:cs="Arial" w:eastAsia="Arial" w:hAnsi="Arial"/>
          <w:sz w:val="17"/>
          <w:szCs w:val="17"/>
          <w:b w:val="1"/>
          <w:bCs w:val="1"/>
          <w:color w:val="00ADBB"/>
        </w:rPr>
        <w:t>Market Value Adjustments</w:t>
      </w:r>
      <w:r>
        <w:rPr>
          <w:rFonts w:ascii="Arial" w:cs="Arial" w:eastAsia="Arial" w:hAnsi="Arial"/>
          <w:sz w:val="17"/>
          <w:szCs w:val="17"/>
          <w:color w:val="4C4C4C"/>
        </w:rPr>
        <w:t>”); and</w:t>
      </w:r>
    </w:p>
    <w:p>
      <w:pPr>
        <w:spacing w:after="0" w:line="1" w:lineRule="exact"/>
        <w:rPr>
          <w:rFonts w:ascii="Arial" w:cs="Arial" w:eastAsia="Arial" w:hAnsi="Arial"/>
          <w:sz w:val="17"/>
          <w:szCs w:val="17"/>
          <w:color w:val="4C4C4C"/>
        </w:rPr>
      </w:pPr>
    </w:p>
    <w:p>
      <w:pPr>
        <w:ind w:left="480" w:right="620" w:hanging="199"/>
        <w:spacing w:after="0" w:line="274" w:lineRule="auto"/>
        <w:tabs>
          <w:tab w:leader="none" w:pos="480" w:val="left"/>
        </w:tabs>
        <w:numPr>
          <w:ilvl w:val="0"/>
          <w:numId w:val="160"/>
        </w:numPr>
        <w:rPr>
          <w:rFonts w:ascii="Arial" w:cs="Arial" w:eastAsia="Arial" w:hAnsi="Arial"/>
          <w:sz w:val="17"/>
          <w:szCs w:val="17"/>
          <w:color w:val="4C4C4C"/>
        </w:rPr>
      </w:pPr>
      <w:r>
        <w:rPr>
          <w:rFonts w:ascii="Arial" w:cs="Arial" w:eastAsia="Arial" w:hAnsi="Arial"/>
          <w:sz w:val="17"/>
          <w:szCs w:val="17"/>
          <w:color w:val="4C4C4C"/>
        </w:rPr>
        <w:t>Amortization of deferred policy acquisition costs (“</w:t>
      </w:r>
      <w:r>
        <w:rPr>
          <w:rFonts w:ascii="Arial" w:cs="Arial" w:eastAsia="Arial" w:hAnsi="Arial"/>
          <w:sz w:val="17"/>
          <w:szCs w:val="17"/>
          <w:b w:val="1"/>
          <w:bCs w:val="1"/>
          <w:color w:val="00ADBB"/>
        </w:rPr>
        <w:t>DAC</w:t>
      </w:r>
      <w:r>
        <w:rPr>
          <w:rFonts w:ascii="Arial" w:cs="Arial" w:eastAsia="Arial" w:hAnsi="Arial"/>
          <w:sz w:val="17"/>
          <w:szCs w:val="17"/>
          <w:color w:val="4C4C4C"/>
        </w:rPr>
        <w:t>”) and value of business acquired (“</w:t>
      </w:r>
      <w:r>
        <w:rPr>
          <w:rFonts w:ascii="Arial" w:cs="Arial" w:eastAsia="Arial" w:hAnsi="Arial"/>
          <w:sz w:val="17"/>
          <w:szCs w:val="17"/>
          <w:b w:val="1"/>
          <w:bCs w:val="1"/>
          <w:color w:val="00ADBB"/>
        </w:rPr>
        <w:t>VOBA</w:t>
      </w:r>
      <w:r>
        <w:rPr>
          <w:rFonts w:ascii="Arial" w:cs="Arial" w:eastAsia="Arial" w:hAnsi="Arial"/>
          <w:sz w:val="17"/>
          <w:szCs w:val="17"/>
          <w:color w:val="4C4C4C"/>
        </w:rPr>
        <w:t>”) related to (i) net investment gains (losses), (ii) net derivative gains (losses), (iii) GMIB Fees and GMIB Costs and (iv) certain market value adjustments.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The tax impact of the adjustments mentioned is calculated net of the statutory tax rate, which could differ from our effective tax rate.</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4C4C4C"/>
        </w:rPr>
        <w:t>Consistent with GAAP guidance for segment reporting, adjusted earnings is also our GAAP measure of segment performance.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Adjusted Earnings per Common Share</w:t>
      </w:r>
    </w:p>
    <w:p>
      <w:pPr>
        <w:spacing w:after="0" w:line="122" w:lineRule="exact"/>
        <w:rPr>
          <w:sz w:val="20"/>
          <w:szCs w:val="20"/>
          <w:color w:val="auto"/>
        </w:rPr>
      </w:pPr>
    </w:p>
    <w:p>
      <w:pPr>
        <w:ind w:left="280" w:right="220"/>
        <w:spacing w:after="0" w:line="246" w:lineRule="auto"/>
        <w:rPr>
          <w:sz w:val="20"/>
          <w:szCs w:val="20"/>
          <w:color w:val="auto"/>
        </w:rPr>
      </w:pPr>
      <w:r>
        <w:rPr>
          <w:rFonts w:ascii="Arial" w:cs="Arial" w:eastAsia="Arial" w:hAnsi="Arial"/>
          <w:sz w:val="18"/>
          <w:szCs w:val="18"/>
          <w:color w:val="4C4C4C"/>
        </w:rPr>
        <w:t>Adjusted earnings per common share is a measure used by management to evaluate the execution of our business strategy and align such strategy with our shareholders’ interests.</w:t>
      </w:r>
    </w:p>
    <w:p>
      <w:pPr>
        <w:spacing w:after="0" w:line="89" w:lineRule="exact"/>
        <w:rPr>
          <w:sz w:val="20"/>
          <w:szCs w:val="20"/>
          <w:color w:val="auto"/>
        </w:rPr>
      </w:pPr>
    </w:p>
    <w:p>
      <w:pPr>
        <w:ind w:left="280" w:right="360"/>
        <w:spacing w:after="0" w:line="238" w:lineRule="auto"/>
        <w:rPr>
          <w:sz w:val="20"/>
          <w:szCs w:val="20"/>
          <w:color w:val="auto"/>
        </w:rPr>
      </w:pPr>
      <w:r>
        <w:rPr>
          <w:rFonts w:ascii="Arial" w:cs="Arial" w:eastAsia="Arial" w:hAnsi="Arial"/>
          <w:sz w:val="18"/>
          <w:szCs w:val="18"/>
          <w:color w:val="4C4C4C"/>
        </w:rPr>
        <w:t>Adjusted earnings per common share is defined as adjusted earnings for the period divided by the weighted average number of fully diluted shares of common stock outstanding for the period. The weighted average common shares outstanding used to calculate adjusted earnings per share will differ from such shares used to calculate diluted net income (loss) available to shareholders per common share when the inclusion of dilutive shares has an anti-dilutive effect for one calculation but not for the other.</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4C4C4C"/>
        </w:rPr>
        <w:t>Other Financial Disclosures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Corporate Expenses</w:t>
      </w:r>
    </w:p>
    <w:p>
      <w:pPr>
        <w:spacing w:after="0" w:line="122" w:lineRule="exact"/>
        <w:rPr>
          <w:sz w:val="20"/>
          <w:szCs w:val="20"/>
          <w:color w:val="auto"/>
        </w:rPr>
      </w:pPr>
    </w:p>
    <w:p>
      <w:pPr>
        <w:ind w:left="280" w:right="460"/>
        <w:spacing w:after="0" w:line="246" w:lineRule="auto"/>
        <w:rPr>
          <w:sz w:val="20"/>
          <w:szCs w:val="20"/>
          <w:color w:val="auto"/>
        </w:rPr>
      </w:pPr>
      <w:r>
        <w:rPr>
          <w:rFonts w:ascii="Arial" w:cs="Arial" w:eastAsia="Arial" w:hAnsi="Arial"/>
          <w:sz w:val="18"/>
          <w:szCs w:val="18"/>
          <w:color w:val="4C4C4C"/>
        </w:rPr>
        <w:t>Corporate expenses includes functional department expenses, public company expenses, certain investment expenses, retirement funding and incentive compensation; and excludes establishment costs.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Notable items</w:t>
      </w:r>
    </w:p>
    <w:p>
      <w:pPr>
        <w:spacing w:after="0" w:line="122" w:lineRule="exact"/>
        <w:rPr>
          <w:sz w:val="20"/>
          <w:szCs w:val="20"/>
          <w:color w:val="auto"/>
        </w:rPr>
      </w:pPr>
    </w:p>
    <w:p>
      <w:pPr>
        <w:ind w:left="280" w:right="380"/>
        <w:spacing w:after="0" w:line="238" w:lineRule="auto"/>
        <w:rPr>
          <w:sz w:val="20"/>
          <w:szCs w:val="20"/>
          <w:color w:val="auto"/>
        </w:rPr>
      </w:pPr>
      <w:r>
        <w:rPr>
          <w:rFonts w:ascii="Arial" w:cs="Arial" w:eastAsia="Arial" w:hAnsi="Arial"/>
          <w:sz w:val="18"/>
          <w:szCs w:val="18"/>
          <w:color w:val="4C4C4C"/>
        </w:rPr>
        <w:t>Certain of the non-GAAP measures described above may be presented further adjusted to exclude notable items. Notable items reflect the impact on our results of certain unanticipated items and events, as well as certain items and events that were anticipated, such as establishment costs. The presentation of notable items and non-GAAP measures, less notable items is intended to help investors better understand our results and to evaluate and forecast those results.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CTE95</w:t>
      </w:r>
    </w:p>
    <w:p>
      <w:pPr>
        <w:spacing w:after="0" w:line="122" w:lineRule="exact"/>
        <w:rPr>
          <w:sz w:val="20"/>
          <w:szCs w:val="20"/>
          <w:color w:val="auto"/>
        </w:rPr>
      </w:pPr>
    </w:p>
    <w:p>
      <w:pPr>
        <w:ind w:left="280" w:right="200"/>
        <w:spacing w:after="0" w:line="246" w:lineRule="auto"/>
        <w:rPr>
          <w:sz w:val="20"/>
          <w:szCs w:val="20"/>
          <w:color w:val="auto"/>
        </w:rPr>
      </w:pPr>
      <w:r>
        <w:rPr>
          <w:rFonts w:ascii="Arial" w:cs="Arial" w:eastAsia="Arial" w:hAnsi="Arial"/>
          <w:sz w:val="18"/>
          <w:szCs w:val="18"/>
          <w:color w:val="4C4C4C"/>
        </w:rPr>
        <w:t>CTE95 is defined as the amount of assets required to satisfy contract holder obligations across market environments in the average of the worst five percent of a set of capital market scenarios over the life of the contracts.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Total Adjusted Capital</w:t>
      </w:r>
    </w:p>
    <w:p>
      <w:pPr>
        <w:spacing w:after="0" w:line="122" w:lineRule="exact"/>
        <w:rPr>
          <w:sz w:val="20"/>
          <w:szCs w:val="20"/>
          <w:color w:val="auto"/>
        </w:rPr>
      </w:pPr>
    </w:p>
    <w:p>
      <w:pPr>
        <w:ind w:left="280" w:right="180"/>
        <w:spacing w:after="0" w:line="246" w:lineRule="auto"/>
        <w:rPr>
          <w:sz w:val="20"/>
          <w:szCs w:val="20"/>
          <w:color w:val="auto"/>
        </w:rPr>
      </w:pPr>
      <w:r>
        <w:rPr>
          <w:rFonts w:ascii="Arial" w:cs="Arial" w:eastAsia="Arial" w:hAnsi="Arial"/>
          <w:sz w:val="18"/>
          <w:szCs w:val="18"/>
          <w:color w:val="4C4C4C"/>
        </w:rPr>
        <w:t>Total adjusted capital primarily consists of statutory capital and surplus, as well as the statutory asset valuation reserve. When referred to as “combined,” represents that of our insurance subsidiaries as a whole.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4C4C4C"/>
        </w:rPr>
        <w:t>Sales</w:t>
      </w:r>
    </w:p>
    <w:p>
      <w:pPr>
        <w:spacing w:after="0" w:line="122" w:lineRule="exact"/>
        <w:rPr>
          <w:sz w:val="20"/>
          <w:szCs w:val="20"/>
          <w:color w:val="auto"/>
        </w:rPr>
      </w:pPr>
    </w:p>
    <w:p>
      <w:pPr>
        <w:ind w:left="280" w:right="260"/>
        <w:spacing w:after="0"/>
        <w:rPr>
          <w:sz w:val="20"/>
          <w:szCs w:val="20"/>
          <w:color w:val="auto"/>
        </w:rPr>
      </w:pPr>
      <w:r>
        <w:rPr>
          <w:rFonts w:ascii="Arial" w:cs="Arial" w:eastAsia="Arial" w:hAnsi="Arial"/>
          <w:sz w:val="18"/>
          <w:szCs w:val="18"/>
          <w:color w:val="4C4C4C"/>
        </w:rPr>
        <w:t>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00ADBB"/>
        </w:rPr>
        <w:t>90 | 2021 Proxy Statement</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ind w:left="120"/>
        <w:spacing w:after="0"/>
        <w:tabs>
          <w:tab w:leader="none" w:pos="8500" w:val="left"/>
        </w:tabs>
        <w:rPr>
          <w:sz w:val="20"/>
          <w:szCs w:val="20"/>
          <w:color w:val="auto"/>
        </w:rPr>
      </w:pPr>
      <w:r>
        <w:rPr>
          <w:rFonts w:ascii="Arial" w:cs="Arial" w:eastAsia="Arial" w:hAnsi="Arial"/>
          <w:sz w:val="13"/>
          <w:szCs w:val="13"/>
          <w:b w:val="1"/>
          <w:bCs w:val="1"/>
          <w:color w:val="00ADBB"/>
        </w:rPr>
        <w:t>Brighthouse Financial, Inc.</w:t>
      </w:r>
      <w:r>
        <w:rPr>
          <w:sz w:val="20"/>
          <w:szCs w:val="20"/>
          <w:color w:val="auto"/>
        </w:rPr>
        <w:tab/>
      </w:r>
      <w:r>
        <w:rPr>
          <w:rFonts w:ascii="Arial" w:cs="Arial" w:eastAsia="Arial" w:hAnsi="Arial"/>
          <w:sz w:val="12"/>
          <w:szCs w:val="12"/>
          <w:b w:val="1"/>
          <w:bCs w:val="1"/>
          <w:color w:val="00ADBB"/>
        </w:rPr>
        <w:t>Non-GAAP and Other Financial Disclosures</w:t>
      </w:r>
    </w:p>
    <w:p>
      <w:pPr>
        <w:spacing w:after="0" w:line="263" w:lineRule="exact"/>
        <w:rPr>
          <w:sz w:val="20"/>
          <w:szCs w:val="20"/>
          <w:color w:val="auto"/>
        </w:rPr>
      </w:pPr>
    </w:p>
    <w:p>
      <w:pPr>
        <w:ind w:left="120" w:right="220"/>
        <w:spacing w:after="0"/>
        <w:rPr>
          <w:sz w:val="20"/>
          <w:szCs w:val="20"/>
          <w:color w:val="auto"/>
        </w:rPr>
      </w:pPr>
      <w:r>
        <w:rPr>
          <w:rFonts w:ascii="Arial" w:cs="Arial" w:eastAsia="Arial" w:hAnsi="Arial"/>
          <w:sz w:val="18"/>
          <w:szCs w:val="18"/>
          <w:color w:val="4C4C4C"/>
        </w:rPr>
        <w:t>Annuity sales consist of 100 percent of direct statutory premiums, except for fixed indexed annuity sales distributed through MassMutual that consist of 90 percent of gross sales. Annuity sales exclude company sponsored internal exchanges. These sales statistics do not correspond to revenues under GAAP, but are used as relevant measures of business activity.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C4C4C"/>
        </w:rPr>
        <w:t>Normalized Statutory Earnings</w:t>
      </w:r>
    </w:p>
    <w:p>
      <w:pPr>
        <w:spacing w:after="0" w:line="12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4C4C4C"/>
        </w:rPr>
        <w:t>Normalized statutory earnings is used by management to measure our insurance companies’ ability to pay future distributions and are reflective of whether our hedging program functions as intended. Normalized statutory earnings is calculated as statutory pre-tax income adjusted for the favorable or unfavorable impacts of (i) net unrealized capital gains (losses), (ii) the change in both the reserve-based and capital methodology-based CTE95 calculation, net of the change in our variable annuities risk management strategy. Normalized statutory earnings may be further adjusted for certain unanticipated items that impacted our results in order to help management and investors better understand, evaluate and forecast those results.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C4C4C"/>
        </w:rPr>
        <w:t>Risk-Based Capital Ratio</w:t>
      </w:r>
    </w:p>
    <w:p>
      <w:pPr>
        <w:spacing w:after="0" w:line="122" w:lineRule="exact"/>
        <w:rPr>
          <w:sz w:val="20"/>
          <w:szCs w:val="20"/>
          <w:color w:val="auto"/>
        </w:rPr>
      </w:pPr>
    </w:p>
    <w:p>
      <w:pPr>
        <w:ind w:left="120" w:right="280"/>
        <w:spacing w:after="0"/>
        <w:rPr>
          <w:sz w:val="20"/>
          <w:szCs w:val="20"/>
          <w:color w:val="auto"/>
        </w:rPr>
      </w:pPr>
      <w:r>
        <w:rPr>
          <w:rFonts w:ascii="Arial" w:cs="Arial" w:eastAsia="Arial" w:hAnsi="Arial"/>
          <w:sz w:val="18"/>
          <w:szCs w:val="18"/>
          <w:color w:val="4C4C4C"/>
        </w:rPr>
        <w:t>The risk-based capital ratio is a method of measuring an insurance company’s capital, taking into consideration its relative size and risk profile, in order to ensure compliance with minimum regulatory capital requirements set by the National Association of Insurance Commissioners. When referred to as “combined,” represents that of our insurance subsidiaries as a whole.</w:t>
      </w:r>
    </w:p>
    <w:p>
      <w:pPr>
        <w:spacing w:after="0" w:line="18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color w:val="00ADBB"/>
        </w:rPr>
        <w:t>Reconciliation of Net Income (Loss) Available to Shareholders per Common Share to Adjusted Earnings per Common Share and Adjusted Earnings, Less Notable Items per Common Share (Unaudited, in millions except per share data)</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6820" w:type="dxa"/>
            <w:vAlign w:val="bottom"/>
            <w:tcBorders>
              <w:bottom w:val="single" w:sz="8" w:color="4C4C4C"/>
            </w:tcBorders>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Borders>
              <w:bottom w:val="single" w:sz="8" w:color="00ADBB"/>
            </w:tcBorders>
          </w:tcPr>
          <w:p>
            <w:pPr>
              <w:spacing w:after="0"/>
              <w:rPr>
                <w:sz w:val="20"/>
                <w:szCs w:val="20"/>
                <w:color w:val="auto"/>
              </w:rPr>
            </w:pPr>
          </w:p>
        </w:tc>
        <w:tc>
          <w:tcPr>
            <w:tcW w:w="120" w:type="dxa"/>
            <w:vAlign w:val="bottom"/>
            <w:tcBorders>
              <w:bottom w:val="single" w:sz="8" w:color="00ADBB"/>
            </w:tcBorders>
          </w:tcPr>
          <w:p>
            <w:pPr>
              <w:spacing w:after="0"/>
              <w:rPr>
                <w:sz w:val="20"/>
                <w:szCs w:val="20"/>
                <w:color w:val="auto"/>
              </w:rPr>
            </w:pPr>
          </w:p>
        </w:tc>
        <w:tc>
          <w:tcPr>
            <w:tcW w:w="3160" w:type="dxa"/>
            <w:vAlign w:val="bottom"/>
            <w:tcBorders>
              <w:bottom w:val="single" w:sz="8" w:color="00ADBB"/>
            </w:tcBorders>
            <w:gridSpan w:val="5"/>
          </w:tcPr>
          <w:p>
            <w:pPr>
              <w:jc w:val="right"/>
              <w:ind w:right="820"/>
              <w:spacing w:after="0"/>
              <w:rPr>
                <w:sz w:val="20"/>
                <w:szCs w:val="20"/>
                <w:color w:val="auto"/>
              </w:rPr>
            </w:pPr>
            <w:r>
              <w:rPr>
                <w:rFonts w:ascii="Arial" w:cs="Arial" w:eastAsia="Arial" w:hAnsi="Arial"/>
                <w:sz w:val="18"/>
                <w:szCs w:val="18"/>
                <w:b w:val="1"/>
                <w:bCs w:val="1"/>
                <w:color w:val="00ADBB"/>
              </w:rPr>
              <w:t>For the Year Ended</w:t>
            </w:r>
          </w:p>
        </w:tc>
      </w:tr>
      <w:tr>
        <w:trPr>
          <w:trHeight w:val="180"/>
        </w:trPr>
        <w:tc>
          <w:tcPr>
            <w:tcW w:w="6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580"/>
              <w:spacing w:after="0" w:line="180" w:lineRule="exact"/>
              <w:rPr>
                <w:sz w:val="20"/>
                <w:szCs w:val="20"/>
                <w:color w:val="auto"/>
              </w:rPr>
            </w:pPr>
            <w:r>
              <w:rPr>
                <w:rFonts w:ascii="Arial" w:cs="Arial" w:eastAsia="Arial" w:hAnsi="Arial"/>
                <w:sz w:val="18"/>
                <w:szCs w:val="18"/>
                <w:b w:val="1"/>
                <w:bCs w:val="1"/>
                <w:color w:val="00ADBB"/>
                <w:w w:val="99"/>
              </w:rPr>
              <w:t>December 31,</w:t>
            </w:r>
          </w:p>
        </w:tc>
        <w:tc>
          <w:tcPr>
            <w:tcW w:w="120" w:type="dxa"/>
            <w:vAlign w:val="bottom"/>
          </w:tcPr>
          <w:p>
            <w:pPr>
              <w:spacing w:after="0"/>
              <w:rPr>
                <w:sz w:val="15"/>
                <w:szCs w:val="15"/>
                <w:color w:val="auto"/>
              </w:rPr>
            </w:pPr>
          </w:p>
        </w:tc>
        <w:tc>
          <w:tcPr>
            <w:tcW w:w="1300" w:type="dxa"/>
            <w:vAlign w:val="bottom"/>
            <w:gridSpan w:val="2"/>
          </w:tcPr>
          <w:p>
            <w:pPr>
              <w:jc w:val="right"/>
              <w:ind w:right="140"/>
              <w:spacing w:after="0" w:line="180" w:lineRule="exact"/>
              <w:rPr>
                <w:sz w:val="20"/>
                <w:szCs w:val="20"/>
                <w:color w:val="auto"/>
              </w:rPr>
            </w:pPr>
            <w:r>
              <w:rPr>
                <w:rFonts w:ascii="Arial" w:cs="Arial" w:eastAsia="Arial" w:hAnsi="Arial"/>
                <w:sz w:val="18"/>
                <w:szCs w:val="18"/>
                <w:b w:val="1"/>
                <w:bCs w:val="1"/>
                <w:color w:val="00ADBB"/>
                <w:w w:val="97"/>
              </w:rPr>
              <w:t>December 31,</w:t>
            </w:r>
          </w:p>
        </w:tc>
      </w:tr>
      <w:tr>
        <w:trPr>
          <w:trHeight w:val="239"/>
        </w:trPr>
        <w:tc>
          <w:tcPr>
            <w:tcW w:w="6820" w:type="dxa"/>
            <w:vAlign w:val="bottom"/>
          </w:tcPr>
          <w:p>
            <w:pPr>
              <w:spacing w:after="0"/>
              <w:rPr>
                <w:sz w:val="20"/>
                <w:szCs w:val="20"/>
                <w:color w:val="auto"/>
              </w:rPr>
            </w:pPr>
            <w:r>
              <w:rPr>
                <w:rFonts w:ascii="Arial" w:cs="Arial" w:eastAsia="Arial" w:hAnsi="Arial"/>
                <w:sz w:val="18"/>
                <w:szCs w:val="18"/>
                <w:b w:val="1"/>
                <w:bCs w:val="1"/>
                <w:color w:val="4C4C4C"/>
              </w:rPr>
              <w:t xml:space="preserve">ADJUSTED EARNINGS, LESS NOTABLE ITEMS PER COMMON SHARE </w:t>
            </w:r>
            <w:r>
              <w:rPr>
                <w:rFonts w:ascii="Arial" w:cs="Arial" w:eastAsia="Arial" w:hAnsi="Arial"/>
                <w:sz w:val="15"/>
                <w:szCs w:val="15"/>
                <w:b w:val="1"/>
                <w:bCs w:val="1"/>
                <w:color w:val="4C4C4C"/>
              </w:rPr>
              <w:t>(1)</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00ADBB"/>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00ADBB"/>
              </w:rPr>
              <w:t>2019</w:t>
            </w:r>
          </w:p>
        </w:tc>
        <w:tc>
          <w:tcPr>
            <w:tcW w:w="120" w:type="dxa"/>
            <w:vAlign w:val="bottom"/>
          </w:tcPr>
          <w:p>
            <w:pPr>
              <w:spacing w:after="0"/>
              <w:rPr>
                <w:sz w:val="20"/>
                <w:szCs w:val="20"/>
                <w:color w:val="auto"/>
              </w:rPr>
            </w:pPr>
          </w:p>
        </w:tc>
      </w:tr>
      <w:tr>
        <w:trPr>
          <w:trHeight w:val="324"/>
        </w:trPr>
        <w:tc>
          <w:tcPr>
            <w:tcW w:w="6820" w:type="dxa"/>
            <w:vAlign w:val="bottom"/>
          </w:tcPr>
          <w:p>
            <w:pPr>
              <w:ind w:left="180"/>
              <w:spacing w:after="0"/>
              <w:rPr>
                <w:sz w:val="20"/>
                <w:szCs w:val="20"/>
                <w:color w:val="auto"/>
              </w:rPr>
            </w:pPr>
            <w:r>
              <w:rPr>
                <w:rFonts w:ascii="Arial" w:cs="Arial" w:eastAsia="Arial" w:hAnsi="Arial"/>
                <w:sz w:val="18"/>
                <w:szCs w:val="18"/>
                <w:color w:val="4C4C4C"/>
              </w:rPr>
              <w:t>Net income (loss) available to shareholders per common share</w:t>
            </w:r>
          </w:p>
        </w:tc>
        <w:tc>
          <w:tcPr>
            <w:tcW w:w="9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4C4C4C"/>
                <w:w w:val="79"/>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4C4C4C"/>
              </w:rPr>
              <w:t>(11.58)</w:t>
            </w:r>
          </w:p>
        </w:tc>
        <w:tc>
          <w:tcPr>
            <w:tcW w:w="120" w:type="dxa"/>
            <w:vAlign w:val="bottom"/>
          </w:tcPr>
          <w:p>
            <w:pPr>
              <w:jc w:val="right"/>
              <w:spacing w:after="0"/>
              <w:rPr>
                <w:sz w:val="20"/>
                <w:szCs w:val="20"/>
                <w:color w:val="auto"/>
              </w:rPr>
            </w:pPr>
            <w:r>
              <w:rPr>
                <w:rFonts w:ascii="Arial" w:cs="Arial" w:eastAsia="Arial" w:hAnsi="Arial"/>
                <w:sz w:val="18"/>
                <w:szCs w:val="18"/>
                <w:color w:val="4C4C4C"/>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4C4C4C"/>
              </w:rPr>
              <w:t>(6.76)</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4C4C4C"/>
              </w:rPr>
              <w:t>Less: Net investment gains (losses)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4C4C4C"/>
              </w:rPr>
              <w:t>2.92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4C4C4C"/>
              </w:rPr>
              <w:t>1.00</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820" w:type="dxa"/>
            <w:vAlign w:val="bottom"/>
          </w:tcPr>
          <w:p>
            <w:pPr>
              <w:ind w:left="180"/>
              <w:spacing w:after="0"/>
              <w:rPr>
                <w:sz w:val="20"/>
                <w:szCs w:val="20"/>
                <w:color w:val="auto"/>
              </w:rPr>
            </w:pPr>
            <w:r>
              <w:rPr>
                <w:rFonts w:ascii="Arial" w:cs="Arial" w:eastAsia="Arial" w:hAnsi="Arial"/>
                <w:sz w:val="18"/>
                <w:szCs w:val="18"/>
                <w:color w:val="4C4C4C"/>
              </w:rPr>
              <w:t>Less: Net derivative gains (losses), excluding investment hedge adjustments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4C4C4C"/>
              </w:rPr>
              <w:t>(0.38)</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4C4C4C"/>
              </w:rPr>
              <w:t>(17.72)</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4C4C4C"/>
              </w:rPr>
              <w:t>Less: GMIB Fees and GMIB Costs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4C4C4C"/>
              </w:rPr>
              <w:t>(10.61)</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4C4C4C"/>
              </w:rPr>
              <w:t>0.38</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4C4C4C"/>
              </w:rPr>
              <w:t>Less: Amortization of DAC and VOBA</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4C4C4C"/>
              </w:rPr>
              <w:t>(2.39)</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4C4C4C"/>
              </w:rPr>
              <w:t>1.36</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4C4C4C"/>
              </w:rPr>
              <w:t>Less: Market value adjustments and other</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4C4C4C"/>
              </w:rPr>
              <w:t>(0.51)</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4C4C4C"/>
              </w:rPr>
              <w:t>(0.32)</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820" w:type="dxa"/>
            <w:vAlign w:val="bottom"/>
          </w:tcPr>
          <w:p>
            <w:pPr>
              <w:ind w:left="180"/>
              <w:spacing w:after="0"/>
              <w:rPr>
                <w:sz w:val="20"/>
                <w:szCs w:val="20"/>
                <w:color w:val="auto"/>
              </w:rPr>
            </w:pPr>
            <w:r>
              <w:rPr>
                <w:rFonts w:ascii="Arial" w:cs="Arial" w:eastAsia="Arial" w:hAnsi="Arial"/>
                <w:sz w:val="18"/>
                <w:szCs w:val="18"/>
                <w:color w:val="4C4C4C"/>
              </w:rPr>
              <w:t>Less: Provision for income tax (expense) benefit on reconciling adjustments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4C4C4C"/>
              </w:rPr>
              <w:t>2.31</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4C4C4C"/>
              </w:rPr>
              <w:t>3.22</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6820" w:type="dxa"/>
            <w:vAlign w:val="bottom"/>
            <w:tcBorders>
              <w:bottom w:val="single" w:sz="8" w:color="4C4C4C"/>
            </w:tcBorders>
          </w:tcPr>
          <w:p>
            <w:pPr>
              <w:ind w:left="180"/>
              <w:spacing w:after="0"/>
              <w:rPr>
                <w:sz w:val="20"/>
                <w:szCs w:val="20"/>
                <w:color w:val="auto"/>
              </w:rPr>
            </w:pPr>
            <w:r>
              <w:rPr>
                <w:rFonts w:ascii="Arial" w:cs="Arial" w:eastAsia="Arial" w:hAnsi="Arial"/>
                <w:sz w:val="18"/>
                <w:szCs w:val="18"/>
                <w:color w:val="4C4C4C"/>
              </w:rPr>
              <w:t>Less: Impact of inclusion of dilutive shares</w:t>
            </w:r>
          </w:p>
        </w:tc>
        <w:tc>
          <w:tcPr>
            <w:tcW w:w="460" w:type="dxa"/>
            <w:vAlign w:val="bottom"/>
          </w:tcPr>
          <w:p>
            <w:pPr>
              <w:spacing w:after="0"/>
              <w:rPr>
                <w:sz w:val="18"/>
                <w:szCs w:val="18"/>
                <w:color w:val="auto"/>
              </w:rPr>
            </w:pPr>
          </w:p>
        </w:tc>
        <w:tc>
          <w:tcPr>
            <w:tcW w:w="460" w:type="dxa"/>
            <w:vAlign w:val="bottom"/>
            <w:tcBorders>
              <w:bottom w:val="single" w:sz="8" w:color="00ADBB"/>
            </w:tcBorders>
          </w:tcPr>
          <w:p>
            <w:pPr>
              <w:spacing w:after="0"/>
              <w:rPr>
                <w:sz w:val="18"/>
                <w:szCs w:val="18"/>
                <w:color w:val="auto"/>
              </w:rPr>
            </w:pPr>
          </w:p>
        </w:tc>
        <w:tc>
          <w:tcPr>
            <w:tcW w:w="120" w:type="dxa"/>
            <w:vAlign w:val="bottom"/>
            <w:tcBorders>
              <w:bottom w:val="single" w:sz="8" w:color="00ADBB"/>
            </w:tcBorders>
          </w:tcPr>
          <w:p>
            <w:pPr>
              <w:spacing w:after="0"/>
              <w:rPr>
                <w:sz w:val="18"/>
                <w:szCs w:val="18"/>
                <w:color w:val="auto"/>
              </w:rPr>
            </w:pPr>
          </w:p>
        </w:tc>
        <w:tc>
          <w:tcPr>
            <w:tcW w:w="1740" w:type="dxa"/>
            <w:vAlign w:val="bottom"/>
            <w:tcBorders>
              <w:bottom w:val="single" w:sz="8" w:color="00ADBB"/>
            </w:tcBorders>
            <w:gridSpan w:val="2"/>
          </w:tcPr>
          <w:p>
            <w:pPr>
              <w:jc w:val="right"/>
              <w:ind w:right="580"/>
              <w:spacing w:after="0"/>
              <w:rPr>
                <w:sz w:val="20"/>
                <w:szCs w:val="20"/>
                <w:color w:val="auto"/>
              </w:rPr>
            </w:pPr>
            <w:r>
              <w:rPr>
                <w:rFonts w:ascii="Arial" w:cs="Arial" w:eastAsia="Arial" w:hAnsi="Arial"/>
                <w:sz w:val="18"/>
                <w:szCs w:val="18"/>
                <w:color w:val="4C4C4C"/>
              </w:rPr>
              <w:t>—</w:t>
            </w:r>
          </w:p>
        </w:tc>
        <w:tc>
          <w:tcPr>
            <w:tcW w:w="120" w:type="dxa"/>
            <w:vAlign w:val="bottom"/>
            <w:tcBorders>
              <w:bottom w:val="single" w:sz="8" w:color="00ADBB"/>
            </w:tcBorders>
          </w:tcPr>
          <w:p>
            <w:pPr>
              <w:spacing w:after="0"/>
              <w:rPr>
                <w:sz w:val="18"/>
                <w:szCs w:val="18"/>
                <w:color w:val="auto"/>
              </w:rPr>
            </w:pPr>
          </w:p>
        </w:tc>
        <w:tc>
          <w:tcPr>
            <w:tcW w:w="1300" w:type="dxa"/>
            <w:vAlign w:val="bottom"/>
            <w:tcBorders>
              <w:bottom w:val="single" w:sz="8" w:color="00ADBB"/>
            </w:tcBorders>
            <w:gridSpan w:val="2"/>
          </w:tcPr>
          <w:p>
            <w:pPr>
              <w:jc w:val="right"/>
              <w:ind w:right="120"/>
              <w:spacing w:after="0"/>
              <w:rPr>
                <w:sz w:val="20"/>
                <w:szCs w:val="20"/>
                <w:color w:val="auto"/>
              </w:rPr>
            </w:pPr>
            <w:r>
              <w:rPr>
                <w:rFonts w:ascii="Arial" w:cs="Arial" w:eastAsia="Arial" w:hAnsi="Arial"/>
                <w:sz w:val="18"/>
                <w:szCs w:val="18"/>
                <w:color w:val="4C4C4C"/>
              </w:rPr>
              <w:t>0.01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4C4C4C"/>
              </w:rPr>
              <w:t>Adjusted earnings per common share</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4C4C4C"/>
              </w:rPr>
              <w:t>(2.92)</w:t>
            </w:r>
          </w:p>
        </w:tc>
        <w:tc>
          <w:tcPr>
            <w:tcW w:w="12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4C4C4C"/>
              </w:rPr>
              <w:t>5.31</w:t>
            </w:r>
          </w:p>
        </w:tc>
      </w:tr>
      <w:tr>
        <w:trPr>
          <w:trHeight w:val="20"/>
        </w:trPr>
        <w:tc>
          <w:tcPr>
            <w:tcW w:w="6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6820" w:type="dxa"/>
            <w:vAlign w:val="bottom"/>
            <w:tcBorders>
              <w:bottom w:val="single" w:sz="8" w:color="4C4C4C"/>
            </w:tcBorders>
          </w:tcPr>
          <w:p>
            <w:pPr>
              <w:ind w:left="180"/>
              <w:spacing w:after="0"/>
              <w:rPr>
                <w:sz w:val="20"/>
                <w:szCs w:val="20"/>
                <w:color w:val="auto"/>
              </w:rPr>
            </w:pPr>
            <w:r>
              <w:rPr>
                <w:rFonts w:ascii="Arial" w:cs="Arial" w:eastAsia="Arial" w:hAnsi="Arial"/>
                <w:sz w:val="18"/>
                <w:szCs w:val="18"/>
                <w:color w:val="4C4C4C"/>
              </w:rPr>
              <w:t>Less: Notable items</w:t>
            </w:r>
          </w:p>
        </w:tc>
        <w:tc>
          <w:tcPr>
            <w:tcW w:w="460" w:type="dxa"/>
            <w:vAlign w:val="bottom"/>
          </w:tcPr>
          <w:p>
            <w:pPr>
              <w:spacing w:after="0"/>
              <w:rPr>
                <w:sz w:val="18"/>
                <w:szCs w:val="18"/>
                <w:color w:val="auto"/>
              </w:rPr>
            </w:pPr>
          </w:p>
        </w:tc>
        <w:tc>
          <w:tcPr>
            <w:tcW w:w="460" w:type="dxa"/>
            <w:vAlign w:val="bottom"/>
            <w:tcBorders>
              <w:bottom w:val="single" w:sz="8" w:color="00ADBB"/>
            </w:tcBorders>
          </w:tcPr>
          <w:p>
            <w:pPr>
              <w:spacing w:after="0"/>
              <w:rPr>
                <w:sz w:val="18"/>
                <w:szCs w:val="18"/>
                <w:color w:val="auto"/>
              </w:rPr>
            </w:pPr>
          </w:p>
        </w:tc>
        <w:tc>
          <w:tcPr>
            <w:tcW w:w="120" w:type="dxa"/>
            <w:vAlign w:val="bottom"/>
            <w:tcBorders>
              <w:bottom w:val="single" w:sz="8" w:color="00ADBB"/>
            </w:tcBorders>
          </w:tcPr>
          <w:p>
            <w:pPr>
              <w:spacing w:after="0"/>
              <w:rPr>
                <w:sz w:val="18"/>
                <w:szCs w:val="18"/>
                <w:color w:val="auto"/>
              </w:rPr>
            </w:pPr>
          </w:p>
        </w:tc>
        <w:tc>
          <w:tcPr>
            <w:tcW w:w="1740" w:type="dxa"/>
            <w:vAlign w:val="bottom"/>
            <w:tcBorders>
              <w:bottom w:val="single" w:sz="8" w:color="00ADBB"/>
            </w:tcBorders>
            <w:gridSpan w:val="2"/>
          </w:tcPr>
          <w:p>
            <w:pPr>
              <w:jc w:val="right"/>
              <w:ind w:right="520"/>
              <w:spacing w:after="0"/>
              <w:rPr>
                <w:sz w:val="20"/>
                <w:szCs w:val="20"/>
                <w:color w:val="auto"/>
              </w:rPr>
            </w:pPr>
            <w:r>
              <w:rPr>
                <w:rFonts w:ascii="Arial" w:cs="Arial" w:eastAsia="Arial" w:hAnsi="Arial"/>
                <w:sz w:val="18"/>
                <w:szCs w:val="18"/>
                <w:color w:val="4C4C4C"/>
              </w:rPr>
              <w:t>(13.11)</w:t>
            </w:r>
          </w:p>
        </w:tc>
        <w:tc>
          <w:tcPr>
            <w:tcW w:w="120" w:type="dxa"/>
            <w:vAlign w:val="bottom"/>
            <w:tcBorders>
              <w:bottom w:val="single" w:sz="8" w:color="00ADBB"/>
            </w:tcBorders>
          </w:tcPr>
          <w:p>
            <w:pPr>
              <w:spacing w:after="0"/>
              <w:rPr>
                <w:sz w:val="18"/>
                <w:szCs w:val="18"/>
                <w:color w:val="auto"/>
              </w:rPr>
            </w:pPr>
          </w:p>
        </w:tc>
        <w:tc>
          <w:tcPr>
            <w:tcW w:w="1300" w:type="dxa"/>
            <w:vAlign w:val="bottom"/>
            <w:tcBorders>
              <w:bottom w:val="single" w:sz="8" w:color="00ADBB"/>
            </w:tcBorders>
            <w:gridSpan w:val="2"/>
          </w:tcPr>
          <w:p>
            <w:pPr>
              <w:jc w:val="right"/>
              <w:ind w:right="60"/>
              <w:spacing w:after="0"/>
              <w:rPr>
                <w:sz w:val="20"/>
                <w:szCs w:val="20"/>
                <w:color w:val="auto"/>
              </w:rPr>
            </w:pPr>
            <w:r>
              <w:rPr>
                <w:rFonts w:ascii="Arial" w:cs="Arial" w:eastAsia="Arial" w:hAnsi="Arial"/>
                <w:sz w:val="18"/>
                <w:szCs w:val="18"/>
                <w:color w:val="4C4C4C"/>
              </w:rPr>
              <w:t>(4.27)</w:t>
            </w:r>
          </w:p>
        </w:tc>
      </w:tr>
      <w:tr>
        <w:trPr>
          <w:trHeight w:val="239"/>
        </w:trPr>
        <w:tc>
          <w:tcPr>
            <w:tcW w:w="6820" w:type="dxa"/>
            <w:vAlign w:val="bottom"/>
          </w:tcPr>
          <w:p>
            <w:pPr>
              <w:spacing w:after="0"/>
              <w:rPr>
                <w:sz w:val="20"/>
                <w:szCs w:val="20"/>
                <w:color w:val="auto"/>
              </w:rPr>
            </w:pPr>
            <w:r>
              <w:rPr>
                <w:rFonts w:ascii="Arial" w:cs="Arial" w:eastAsia="Arial" w:hAnsi="Arial"/>
                <w:sz w:val="18"/>
                <w:szCs w:val="18"/>
                <w:b w:val="1"/>
                <w:bCs w:val="1"/>
                <w:color w:val="4C4C4C"/>
              </w:rPr>
              <w:t>Adjusted earnings, less notable items per common share</w:t>
            </w:r>
          </w:p>
        </w:tc>
        <w:tc>
          <w:tcPr>
            <w:tcW w:w="4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4C4C4C"/>
              </w:rPr>
              <w:t>$</w:t>
            </w: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4C4C4C"/>
              </w:rPr>
              <w:t>10.19</w:t>
            </w:r>
          </w:p>
        </w:tc>
        <w:tc>
          <w:tcPr>
            <w:tcW w:w="120" w:type="dxa"/>
            <w:vAlign w:val="bottom"/>
          </w:tcPr>
          <w:p>
            <w:pPr>
              <w:jc w:val="right"/>
              <w:spacing w:after="0"/>
              <w:rPr>
                <w:sz w:val="20"/>
                <w:szCs w:val="20"/>
                <w:color w:val="auto"/>
              </w:rPr>
            </w:pPr>
            <w:r>
              <w:rPr>
                <w:rFonts w:ascii="Arial" w:cs="Arial" w:eastAsia="Arial" w:hAnsi="Arial"/>
                <w:sz w:val="18"/>
                <w:szCs w:val="18"/>
                <w:color w:val="4C4C4C"/>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4C4C4C"/>
              </w:rPr>
              <w:t>9.58</w:t>
            </w:r>
          </w:p>
        </w:tc>
      </w:tr>
    </w:tbl>
    <w:p>
      <w:pPr>
        <w:spacing w:after="0" w:line="84" w:lineRule="exact"/>
        <w:rPr>
          <w:sz w:val="20"/>
          <w:szCs w:val="20"/>
          <w:color w:val="auto"/>
        </w:rPr>
      </w:pPr>
    </w:p>
    <w:p>
      <w:pPr>
        <w:ind w:left="540" w:right="180" w:hanging="424"/>
        <w:spacing w:after="0" w:line="246" w:lineRule="auto"/>
        <w:tabs>
          <w:tab w:leader="none" w:pos="540" w:val="left"/>
        </w:tabs>
        <w:numPr>
          <w:ilvl w:val="0"/>
          <w:numId w:val="161"/>
        </w:numPr>
        <w:rPr>
          <w:rFonts w:ascii="Arial" w:cs="Arial" w:eastAsia="Arial" w:hAnsi="Arial"/>
          <w:sz w:val="18"/>
          <w:szCs w:val="18"/>
          <w:color w:val="4C4C4C"/>
        </w:rPr>
      </w:pPr>
      <w:r>
        <w:rPr>
          <w:rFonts w:ascii="Arial" w:cs="Arial" w:eastAsia="Arial" w:hAnsi="Arial"/>
          <w:sz w:val="18"/>
          <w:szCs w:val="18"/>
          <w:color w:val="4C4C4C"/>
        </w:rPr>
        <w:t>Per share calculations are on a diluted basis and may not recalculate or foot due to rounding. For loss periods, dilutive shares were not included in the calculation as inclusion of such shares would have an anti-dilutive effect.</w:t>
      </w:r>
    </w:p>
    <w:p>
      <w:pPr>
        <w:spacing w:after="0" w:line="108"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00ADBB"/>
        </w:rPr>
        <w:t>2021 Proxy Statement | 91</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220345</wp:posOffset>
            </wp:positionV>
            <wp:extent cx="5349240" cy="69691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349240" cy="69691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lvl w:ilvl="1">
      <w:lvlJc w:val="left"/>
      <w:lvlText w:val="(%2)"/>
      <w:numFmt w:val="decimal"/>
      <w:start w:val="1"/>
    </w:lvl>
  </w:abstractNum>
  <w:abstractNum w:abstractNumId="5">
    <w:nsid w:val="71EA1109"/>
    <w:multiLevelType w:val="hybridMultilevel"/>
    <w:lvl w:ilvl="0">
      <w:lvlJc w:val="left"/>
      <w:lvlText w:val="(%1)"/>
      <w:numFmt w:val="decimal"/>
      <w:start w:val="4"/>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3"/>
      <w:numFmt w:val="bullet"/>
      <w:start w:val="1"/>
    </w:lvl>
  </w:abstractNum>
  <w:abstractNum w:abstractNumId="8">
    <w:nsid w:val="6EB5BD4"/>
    <w:multiLevelType w:val="hybridMultilevel"/>
    <w:lvl w:ilvl="0">
      <w:lvlJc w:val="left"/>
      <w:lvlText w:val="3"/>
      <w:numFmt w:val="bullet"/>
      <w:start w:val="1"/>
    </w:lvl>
  </w:abstractNum>
  <w:abstractNum w:abstractNumId="9">
    <w:nsid w:val="6F6DD9AC"/>
    <w:multiLevelType w:val="hybridMultilevel"/>
    <w:lvl w:ilvl="0">
      <w:lvlJc w:val="left"/>
      <w:lvlText w:val="6"/>
      <w:numFmt w:val="bullet"/>
      <w:start w:val="1"/>
    </w:lvl>
  </w:abstractNum>
  <w:abstractNum w:abstractNumId="10">
    <w:nsid w:val="94211F2"/>
    <w:multiLevelType w:val="hybridMultilevel"/>
    <w:lvl w:ilvl="0">
      <w:lvlJc w:val="left"/>
      <w:lvlText w:val="%1"/>
      <w:numFmt w:val="decimal"/>
      <w:start w:val="11"/>
    </w:lvl>
  </w:abstractNum>
  <w:abstractNum w:abstractNumId="11">
    <w:nsid w:val="885E1B"/>
    <w:multiLevelType w:val="hybridMultilevel"/>
    <w:lvl w:ilvl="0">
      <w:lvlJc w:val="left"/>
      <w:lvlText w:val="%1"/>
      <w:numFmt w:val="decimal"/>
      <w:start w:val="14"/>
    </w:lvl>
  </w:abstractNum>
  <w:abstractNum w:abstractNumId="12">
    <w:nsid w:val="76272110"/>
    <w:multiLevelType w:val="hybridMultilevel"/>
    <w:lvl w:ilvl="0">
      <w:lvlJc w:val="left"/>
      <w:lvlText w:val="%1"/>
      <w:numFmt w:val="decimal"/>
      <w:start w:val="15"/>
    </w:lvl>
  </w:abstractNum>
  <w:abstractNum w:abstractNumId="13">
    <w:nsid w:val="4C04A8AF"/>
    <w:multiLevelType w:val="hybridMultilevel"/>
    <w:lvl w:ilvl="0">
      <w:lvlJc w:val="left"/>
      <w:lvlText w:val="%1"/>
      <w:numFmt w:val="decimal"/>
      <w:start w:val="23"/>
    </w:lvl>
  </w:abstractNum>
  <w:abstractNum w:abstractNumId="14">
    <w:nsid w:val="1716703B"/>
    <w:multiLevelType w:val="hybridMultilevel"/>
    <w:lvl w:ilvl="0">
      <w:lvlJc w:val="left"/>
      <w:lvlText w:val="%1"/>
      <w:numFmt w:val="decimal"/>
      <w:start w:val="23"/>
    </w:lvl>
  </w:abstractNum>
  <w:abstractNum w:abstractNumId="15">
    <w:nsid w:val="14E17E33"/>
    <w:multiLevelType w:val="hybridMultilevel"/>
    <w:lvl w:ilvl="0">
      <w:lvlJc w:val="left"/>
      <w:lvlText w:val="%1"/>
      <w:numFmt w:val="decimal"/>
      <w:start w:val="26"/>
    </w:lvl>
  </w:abstractNum>
  <w:abstractNum w:abstractNumId="16">
    <w:nsid w:val="3222E7CD"/>
    <w:multiLevelType w:val="hybridMultilevel"/>
    <w:lvl w:ilvl="0">
      <w:lvlJc w:val="left"/>
      <w:lvlText w:val="%1"/>
      <w:numFmt w:val="decimal"/>
      <w:start w:val="27"/>
    </w:lvl>
  </w:abstractNum>
  <w:abstractNum w:abstractNumId="17">
    <w:nsid w:val="74DE0EE3"/>
    <w:multiLevelType w:val="hybridMultilevel"/>
    <w:lvl w:ilvl="0">
      <w:lvlJc w:val="left"/>
      <w:lvlText w:val="%1"/>
      <w:numFmt w:val="decimal"/>
      <w:start w:val="30"/>
    </w:lvl>
  </w:abstractNum>
  <w:abstractNum w:abstractNumId="18">
    <w:nsid w:val="68EBC550"/>
    <w:multiLevelType w:val="hybridMultilevel"/>
    <w:lvl w:ilvl="0">
      <w:lvlJc w:val="left"/>
      <w:lvlText w:val="%1"/>
      <w:numFmt w:val="decimal"/>
      <w:start w:val="30"/>
    </w:lvl>
  </w:abstractNum>
  <w:abstractNum w:abstractNumId="19">
    <w:nsid w:val="2DF6D648"/>
    <w:multiLevelType w:val="hybridMultilevel"/>
    <w:lvl w:ilvl="0">
      <w:lvlJc w:val="left"/>
      <w:lvlText w:val="%1"/>
      <w:numFmt w:val="decimal"/>
      <w:start w:val="34"/>
    </w:lvl>
  </w:abstractNum>
  <w:abstractNum w:abstractNumId="20">
    <w:nsid w:val="46B7D447"/>
    <w:multiLevelType w:val="hybridMultilevel"/>
    <w:lvl w:ilvl="0">
      <w:lvlJc w:val="left"/>
      <w:lvlText w:val="%1"/>
      <w:numFmt w:val="decimal"/>
      <w:start w:val="34"/>
    </w:lvl>
  </w:abstractNum>
  <w:abstractNum w:abstractNumId="21">
    <w:nsid w:val="4A2AC315"/>
    <w:multiLevelType w:val="hybridMultilevel"/>
    <w:lvl w:ilvl="0">
      <w:lvlJc w:val="left"/>
      <w:lvlText w:val="%1"/>
      <w:numFmt w:val="decimal"/>
      <w:start w:val="37"/>
    </w:lvl>
  </w:abstractNum>
  <w:abstractNum w:abstractNumId="22">
    <w:nsid w:val="39EE015C"/>
    <w:multiLevelType w:val="hybridMultilevel"/>
    <w:lvl w:ilvl="0">
      <w:lvlJc w:val="left"/>
      <w:lvlText w:val="%1"/>
      <w:numFmt w:val="decimal"/>
      <w:start w:val="38"/>
    </w:lvl>
  </w:abstractNum>
  <w:abstractNum w:abstractNumId="23">
    <w:nsid w:val="57FC4FBB"/>
    <w:multiLevelType w:val="hybridMultilevel"/>
    <w:lvl w:ilvl="0">
      <w:lvlJc w:val="left"/>
      <w:lvlText w:val="%1"/>
      <w:numFmt w:val="decimal"/>
      <w:start w:val="38"/>
    </w:lvl>
  </w:abstractNum>
  <w:abstractNum w:abstractNumId="24">
    <w:nsid w:val="CC1016F"/>
    <w:multiLevelType w:val="hybridMultilevel"/>
    <w:lvl w:ilvl="0">
      <w:lvlJc w:val="left"/>
      <w:lvlText w:val="%1"/>
      <w:numFmt w:val="decimal"/>
      <w:start w:val="41"/>
    </w:lvl>
  </w:abstractNum>
  <w:abstractNum w:abstractNumId="25">
    <w:nsid w:val="43F18422"/>
    <w:multiLevelType w:val="hybridMultilevel"/>
    <w:lvl w:ilvl="0">
      <w:lvlJc w:val="left"/>
      <w:lvlText w:val="%1"/>
      <w:numFmt w:val="decimal"/>
      <w:start w:val="42"/>
    </w:lvl>
  </w:abstractNum>
  <w:abstractNum w:abstractNumId="26">
    <w:nsid w:val="60EF0119"/>
    <w:multiLevelType w:val="hybridMultilevel"/>
    <w:lvl w:ilvl="0">
      <w:lvlJc w:val="left"/>
      <w:lvlText w:val="%1"/>
      <w:numFmt w:val="decimal"/>
      <w:start w:val="42"/>
    </w:lvl>
  </w:abstractNum>
  <w:abstractNum w:abstractNumId="27">
    <w:nsid w:val="26F324BA"/>
    <w:multiLevelType w:val="hybridMultilevel"/>
    <w:lvl w:ilvl="0">
      <w:lvlJc w:val="left"/>
      <w:lvlText w:val="%1"/>
      <w:numFmt w:val="decimal"/>
      <w:start w:val="42"/>
    </w:lvl>
  </w:abstractNum>
  <w:abstractNum w:abstractNumId="28">
    <w:nsid w:val="7F01579B"/>
    <w:multiLevelType w:val="hybridMultilevel"/>
    <w:lvl w:ilvl="0">
      <w:lvlJc w:val="left"/>
      <w:lvlText w:val="%1"/>
      <w:numFmt w:val="decimal"/>
      <w:start w:val="42"/>
    </w:lvl>
  </w:abstractNum>
  <w:abstractNum w:abstractNumId="29">
    <w:nsid w:val="49DA307D"/>
    <w:multiLevelType w:val="hybridMultilevel"/>
    <w:lvl w:ilvl="0">
      <w:lvlJc w:val="left"/>
      <w:lvlText w:val="%1"/>
      <w:numFmt w:val="decimal"/>
      <w:start w:val="44"/>
    </w:lvl>
  </w:abstractNum>
  <w:abstractNum w:abstractNumId="30">
    <w:nsid w:val="7055A5F5"/>
    <w:multiLevelType w:val="hybridMultilevel"/>
    <w:lvl w:ilvl="0">
      <w:lvlJc w:val="left"/>
      <w:lvlText w:val="%1"/>
      <w:numFmt w:val="decimal"/>
      <w:start w:val="46"/>
    </w:lvl>
  </w:abstractNum>
  <w:abstractNum w:abstractNumId="31">
    <w:nsid w:val="5FB8370B"/>
    <w:multiLevelType w:val="hybridMultilevel"/>
    <w:lvl w:ilvl="0">
      <w:lvlJc w:val="left"/>
      <w:lvlText w:val="%1"/>
      <w:numFmt w:val="decimal"/>
      <w:start w:val="47"/>
    </w:lvl>
  </w:abstractNum>
  <w:abstractNum w:abstractNumId="32">
    <w:nsid w:val="50801EE1"/>
    <w:multiLevelType w:val="hybridMultilevel"/>
    <w:lvl w:ilvl="0">
      <w:lvlJc w:val="left"/>
      <w:lvlText w:val="%1"/>
      <w:numFmt w:val="decimal"/>
      <w:start w:val="48"/>
    </w:lvl>
  </w:abstractNum>
  <w:abstractNum w:abstractNumId="33">
    <w:nsid w:val="488AC1A"/>
    <w:multiLevelType w:val="hybridMultilevel"/>
    <w:lvl w:ilvl="0">
      <w:lvlJc w:val="left"/>
      <w:lvlText w:val="%1"/>
      <w:numFmt w:val="decimal"/>
      <w:start w:val="50"/>
    </w:lvl>
  </w:abstractNum>
  <w:abstractNum w:abstractNumId="34">
    <w:nsid w:val="5FB8011C"/>
    <w:multiLevelType w:val="hybridMultilevel"/>
    <w:lvl w:ilvl="0">
      <w:lvlJc w:val="left"/>
      <w:lvlText w:val="%1"/>
      <w:numFmt w:val="decimal"/>
      <w:start w:val="53"/>
    </w:lvl>
  </w:abstractNum>
  <w:abstractNum w:abstractNumId="35">
    <w:nsid w:val="6AA78F7F"/>
    <w:multiLevelType w:val="hybridMultilevel"/>
    <w:lvl w:ilvl="0">
      <w:lvlJc w:val="left"/>
      <w:lvlText w:val="%1"/>
      <w:numFmt w:val="decimal"/>
      <w:start w:val="57"/>
    </w:lvl>
  </w:abstractNum>
  <w:abstractNum w:abstractNumId="36">
    <w:nsid w:val="7672BD23"/>
    <w:multiLevelType w:val="hybridMultilevel"/>
    <w:lvl w:ilvl="0">
      <w:lvlJc w:val="left"/>
      <w:lvlText w:val="%1"/>
      <w:numFmt w:val="decimal"/>
      <w:start w:val="58"/>
    </w:lvl>
  </w:abstractNum>
  <w:abstractNum w:abstractNumId="37">
    <w:nsid w:val="6FC75AF8"/>
    <w:multiLevelType w:val="hybridMultilevel"/>
    <w:lvl w:ilvl="0">
      <w:lvlJc w:val="left"/>
      <w:lvlText w:val="%1"/>
      <w:numFmt w:val="decimal"/>
      <w:start w:val="58"/>
    </w:lvl>
  </w:abstractNum>
  <w:abstractNum w:abstractNumId="38">
    <w:nsid w:val="6A5F7029"/>
    <w:multiLevelType w:val="hybridMultilevel"/>
    <w:lvl w:ilvl="0">
      <w:lvlJc w:val="left"/>
      <w:lvlText w:val="%1"/>
      <w:numFmt w:val="decimal"/>
      <w:start w:val="60"/>
    </w:lvl>
  </w:abstractNum>
  <w:abstractNum w:abstractNumId="39">
    <w:nsid w:val="7D5E18F8"/>
    <w:multiLevelType w:val="hybridMultilevel"/>
    <w:lvl w:ilvl="0">
      <w:lvlJc w:val="left"/>
      <w:lvlText w:val="%1"/>
      <w:numFmt w:val="decimal"/>
      <w:start w:val="60"/>
    </w:lvl>
  </w:abstractNum>
  <w:abstractNum w:abstractNumId="40">
    <w:nsid w:val="5F3534A4"/>
    <w:multiLevelType w:val="hybridMultilevel"/>
    <w:lvl w:ilvl="0">
      <w:lvlJc w:val="left"/>
      <w:lvlText w:val="%1"/>
      <w:numFmt w:val="decimal"/>
      <w:start w:val="60"/>
    </w:lvl>
  </w:abstractNum>
  <w:abstractNum w:abstractNumId="41">
    <w:nsid w:val="73A1821B"/>
    <w:multiLevelType w:val="hybridMultilevel"/>
    <w:lvl w:ilvl="0">
      <w:lvlJc w:val="left"/>
      <w:lvlText w:val="%1"/>
      <w:numFmt w:val="decimal"/>
      <w:start w:val="61"/>
    </w:lvl>
  </w:abstractNum>
  <w:abstractNum w:abstractNumId="42">
    <w:nsid w:val="7DE67713"/>
    <w:multiLevelType w:val="hybridMultilevel"/>
    <w:lvl w:ilvl="0">
      <w:lvlJc w:val="left"/>
      <w:lvlText w:val="%1"/>
      <w:numFmt w:val="decimal"/>
      <w:start w:val="61"/>
    </w:lvl>
  </w:abstractNum>
  <w:abstractNum w:abstractNumId="43">
    <w:nsid w:val="555C55B5"/>
    <w:multiLevelType w:val="hybridMultilevel"/>
    <w:lvl w:ilvl="0">
      <w:lvlJc w:val="left"/>
      <w:lvlText w:val="%1"/>
      <w:numFmt w:val="decimal"/>
      <w:start w:val="62"/>
    </w:lvl>
  </w:abstractNum>
  <w:abstractNum w:abstractNumId="44">
    <w:nsid w:val="3FA62ACA"/>
    <w:multiLevelType w:val="hybridMultilevel"/>
    <w:lvl w:ilvl="0">
      <w:lvlJc w:val="left"/>
      <w:lvlText w:val="%1"/>
      <w:numFmt w:val="decimal"/>
      <w:start w:val="63"/>
    </w:lvl>
  </w:abstractNum>
  <w:abstractNum w:abstractNumId="45">
    <w:nsid w:val="14FCE74E"/>
    <w:multiLevelType w:val="hybridMultilevel"/>
    <w:lvl w:ilvl="0">
      <w:lvlJc w:val="left"/>
      <w:lvlText w:val="%1"/>
      <w:numFmt w:val="decimal"/>
      <w:start w:val="64"/>
    </w:lvl>
  </w:abstractNum>
  <w:abstractNum w:abstractNumId="46">
    <w:nsid w:val="6A3DD3E8"/>
    <w:multiLevelType w:val="hybridMultilevel"/>
    <w:lvl w:ilvl="0">
      <w:lvlJc w:val="left"/>
      <w:lvlText w:val="%1"/>
      <w:numFmt w:val="decimal"/>
      <w:start w:val="76"/>
    </w:lvl>
  </w:abstractNum>
  <w:abstractNum w:abstractNumId="47">
    <w:nsid w:val="71C91298"/>
    <w:multiLevelType w:val="hybridMultilevel"/>
    <w:lvl w:ilvl="0">
      <w:lvlJc w:val="left"/>
      <w:lvlText w:val="%1"/>
      <w:numFmt w:val="decimal"/>
      <w:start w:val="77"/>
    </w:lvl>
  </w:abstractNum>
  <w:abstractNum w:abstractNumId="48">
    <w:nsid w:val="9DAF632"/>
    <w:multiLevelType w:val="hybridMultilevel"/>
    <w:lvl w:ilvl="0">
      <w:lvlJc w:val="left"/>
      <w:lvlText w:val="%1"/>
      <w:numFmt w:val="decimal"/>
      <w:start w:val="80"/>
    </w:lvl>
  </w:abstractNum>
  <w:abstractNum w:abstractNumId="49">
    <w:nsid w:val="53299938"/>
    <w:multiLevelType w:val="hybridMultilevel"/>
    <w:lvl w:ilvl="0">
      <w:lvlJc w:val="left"/>
      <w:lvlText w:val="%1"/>
      <w:numFmt w:val="decimal"/>
      <w:start w:val="80"/>
    </w:lvl>
  </w:abstractNum>
  <w:abstractNum w:abstractNumId="50">
    <w:nsid w:val="1FBFE8E0"/>
    <w:multiLevelType w:val="hybridMultilevel"/>
    <w:lvl w:ilvl="0">
      <w:lvlJc w:val="left"/>
      <w:lvlText w:val="%1"/>
      <w:numFmt w:val="decimal"/>
      <w:start w:val="80"/>
    </w:lvl>
  </w:abstractNum>
  <w:abstractNum w:abstractNumId="51">
    <w:nsid w:val="5092CA79"/>
    <w:multiLevelType w:val="hybridMultilevel"/>
    <w:lvl w:ilvl="0">
      <w:lvlJc w:val="left"/>
      <w:lvlText w:val="%1"/>
      <w:numFmt w:val="decimal"/>
      <w:start w:val="81"/>
    </w:lvl>
  </w:abstractNum>
  <w:abstractNum w:abstractNumId="52">
    <w:nsid w:val="1D545C4D"/>
    <w:multiLevelType w:val="hybridMultilevel"/>
    <w:lvl w:ilvl="0">
      <w:lvlJc w:val="left"/>
      <w:lvlText w:val="%1"/>
      <w:numFmt w:val="decimal"/>
      <w:start w:val="82"/>
    </w:lvl>
  </w:abstractNum>
  <w:abstractNum w:abstractNumId="53">
    <w:nsid w:val="59ADEA3D"/>
    <w:multiLevelType w:val="hybridMultilevel"/>
    <w:lvl w:ilvl="0">
      <w:lvlJc w:val="left"/>
      <w:lvlText w:val="%1"/>
      <w:numFmt w:val="decimal"/>
      <w:start w:val="82"/>
    </w:lvl>
  </w:abstractNum>
  <w:abstractNum w:abstractNumId="54">
    <w:nsid w:val="288F1A34"/>
    <w:multiLevelType w:val="hybridMultilevel"/>
    <w:lvl w:ilvl="0">
      <w:lvlJc w:val="left"/>
      <w:lvlText w:val="%1"/>
      <w:numFmt w:val="decimal"/>
      <w:start w:val="84"/>
    </w:lvl>
  </w:abstractNum>
  <w:abstractNum w:abstractNumId="55">
    <w:nsid w:val="2A155DBC"/>
    <w:multiLevelType w:val="hybridMultilevel"/>
    <w:lvl w:ilvl="0">
      <w:lvlJc w:val="left"/>
      <w:lvlText w:val="%1"/>
      <w:numFmt w:val="decimal"/>
      <w:start w:val="84"/>
    </w:lvl>
  </w:abstractNum>
  <w:abstractNum w:abstractNumId="56">
    <w:nsid w:val="1D9F6E5F"/>
    <w:multiLevelType w:val="hybridMultilevel"/>
    <w:lvl w:ilvl="0">
      <w:lvlJc w:val="left"/>
      <w:lvlText w:val="%1"/>
      <w:numFmt w:val="decimal"/>
      <w:start w:val="85"/>
    </w:lvl>
  </w:abstractNum>
  <w:abstractNum w:abstractNumId="57">
    <w:nsid w:val="97E1B4E"/>
    <w:multiLevelType w:val="hybridMultilevel"/>
    <w:lvl w:ilvl="0">
      <w:lvlJc w:val="left"/>
      <w:lvlText w:val="%1"/>
      <w:numFmt w:val="decimal"/>
      <w:start w:val="85"/>
    </w:lvl>
  </w:abstractNum>
  <w:abstractNum w:abstractNumId="58">
    <w:nsid w:val="51088277"/>
    <w:multiLevelType w:val="hybridMultilevel"/>
    <w:lvl w:ilvl="0">
      <w:lvlJc w:val="left"/>
      <w:lvlText w:val="%1"/>
      <w:numFmt w:val="decimal"/>
      <w:start w:val="85"/>
    </w:lvl>
  </w:abstractNum>
  <w:abstractNum w:abstractNumId="59">
    <w:nsid w:val="1CA0C5FA"/>
    <w:multiLevelType w:val="hybridMultilevel"/>
    <w:lvl w:ilvl="0">
      <w:lvlJc w:val="left"/>
      <w:lvlText w:val="%1"/>
      <w:numFmt w:val="decimal"/>
      <w:start w:val="88"/>
    </w:lvl>
  </w:abstractNum>
  <w:abstractNum w:abstractNumId="60">
    <w:nsid w:val="53584BCB"/>
    <w:multiLevelType w:val="hybridMultilevel"/>
    <w:lvl w:ilvl="0">
      <w:lvlJc w:val="left"/>
      <w:lvlText w:val="%1"/>
      <w:numFmt w:val="decimal"/>
      <w:start w:val="88"/>
    </w:lvl>
  </w:abstractNum>
  <w:abstractNum w:abstractNumId="61">
    <w:nsid w:val="415E286C"/>
    <w:multiLevelType w:val="hybridMultilevel"/>
    <w:lvl w:ilvl="0">
      <w:lvlJc w:val="left"/>
      <w:lvlText w:val="(%1)"/>
      <w:numFmt w:val="decimal"/>
    </w:lvl>
    <w:lvl w:ilvl="1">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lvl w:ilvl="1">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lvl w:ilvl="1">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lvl w:ilvl="1">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lvl w:ilvl="1">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lvl w:ilvl="1">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lvl w:ilvl="1">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lvl w:ilvl="1">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lvl w:ilvl="1">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
      <w:numFmt w:val="bullet"/>
      <w:start w:val="1"/>
    </w:lvl>
    <w:lvl w:ilvl="1">
      <w:lvlJc w:val="left"/>
      <w:lvlText w:val="•"/>
      <w:numFmt w:val="bullet"/>
      <w:start w:val="1"/>
    </w:lvl>
  </w:abstractNum>
  <w:abstractNum w:abstractNumId="108">
    <w:nsid w:val="BFFAE18"/>
    <w:multiLevelType w:val="hybridMultilevel"/>
    <w:lvl w:ilvl="0">
      <w:lvlJc w:val="left"/>
      <w:lvlText w:val="•"/>
      <w:numFmt w:val="bullet"/>
      <w:start w:val="1"/>
    </w:lvl>
    <w:lvl w:ilvl="1">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1)"/>
      <w:numFmt w:val="decimal"/>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1"/>
    </w:lvl>
  </w:abstractNum>
  <w:abstractNum w:abstractNumId="119">
    <w:nsid w:val="7DFF9D09"/>
    <w:multiLevelType w:val="hybridMultilevel"/>
    <w:lvl w:ilvl="0">
      <w:lvlJc w:val="left"/>
      <w:lvlText w:val="(%1)"/>
      <w:numFmt w:val="lowerRoman"/>
      <w:start w:val="2"/>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
      <w:numFmt w:val="bullet"/>
      <w:start w:val="1"/>
    </w:lvl>
    <w:lvl w:ilvl="1">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1)"/>
      <w:numFmt w:val="decimal"/>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1)"/>
      <w:numFmt w:val="decimal"/>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1)"/>
      <w:numFmt w:val="decimal"/>
      <w:start w:val="1"/>
    </w:lvl>
  </w:abstractNum>
  <w:abstractNum w:abstractNumId="131">
    <w:nsid w:val="312167AD"/>
    <w:multiLevelType w:val="hybridMultilevel"/>
    <w:lvl w:ilvl="0">
      <w:lvlJc w:val="left"/>
      <w:lvlText w:val="•"/>
      <w:numFmt w:val="bullet"/>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
      <w:numFmt w:val="bullet"/>
      <w:start w:val="1"/>
    </w:lvl>
  </w:abstractNum>
  <w:abstractNum w:abstractNumId="134">
    <w:nsid w:val="75486E47"/>
    <w:multiLevelType w:val="hybridMultilevel"/>
    <w:lvl w:ilvl="0">
      <w:lvlJc w:val="left"/>
      <w:lvlText w:val="•"/>
      <w:numFmt w:val="bullet"/>
      <w:start w:val="1"/>
    </w:lvl>
  </w:abstractNum>
  <w:abstractNum w:abstractNumId="135">
    <w:nsid w:val="6E534CDE"/>
    <w:multiLevelType w:val="hybridMultilevel"/>
    <w:lvl w:ilvl="0">
      <w:lvlJc w:val="left"/>
      <w:lvlText w:val="•"/>
      <w:numFmt w:val="bullet"/>
      <w:start w:val="1"/>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
      <w:numFmt w:val="bullet"/>
      <w:start w:val="1"/>
    </w:lvl>
  </w:abstractNum>
  <w:abstractNum w:abstractNumId="142">
    <w:nsid w:val="6FDE8AF6"/>
    <w:multiLevelType w:val="hybridMultilevel"/>
    <w:lvl w:ilvl="0">
      <w:lvlJc w:val="left"/>
      <w:lvlText w:val="(%1)"/>
      <w:numFmt w:val="decimal"/>
      <w:start w:val="1"/>
    </w:lvl>
  </w:abstractNum>
  <w:abstractNum w:abstractNumId="143">
    <w:nsid w:val="3FC32E20"/>
    <w:multiLevelType w:val="hybridMultilevel"/>
    <w:lvl w:ilvl="0">
      <w:lvlJc w:val="left"/>
      <w:lvlText w:val="(%1)"/>
      <w:numFmt w:val="decimal"/>
      <w:start w:val="3"/>
    </w:lvl>
  </w:abstractNum>
  <w:abstractNum w:abstractNumId="144">
    <w:nsid w:val="49C0E823"/>
    <w:multiLevelType w:val="hybridMultilevel"/>
    <w:lvl w:ilvl="0">
      <w:lvlJc w:val="left"/>
      <w:lvlText w:val="(%1)"/>
      <w:numFmt w:val="decimal"/>
      <w:start w:val="5"/>
    </w:lvl>
  </w:abstractNum>
  <w:abstractNum w:abstractNumId="145">
    <w:nsid w:val="14D53685"/>
    <w:multiLevelType w:val="hybridMultilevel"/>
    <w:lvl w:ilvl="0">
      <w:lvlJc w:val="left"/>
      <w:lvlText w:val="(%1)"/>
      <w:numFmt w:val="decimal"/>
      <w:start w:val="1"/>
    </w:lvl>
  </w:abstractNum>
  <w:abstractNum w:abstractNumId="146">
    <w:nsid w:val="230F856C"/>
    <w:multiLevelType w:val="hybridMultilevel"/>
    <w:lvl w:ilvl="0">
      <w:lvlJc w:val="left"/>
      <w:lvlText w:val="(%1)"/>
      <w:numFmt w:val="decimal"/>
      <w:start w:val="4"/>
    </w:lvl>
  </w:abstractNum>
  <w:abstractNum w:abstractNumId="147">
    <w:nsid w:val="6EAA85FB"/>
    <w:multiLevelType w:val="hybridMultilevel"/>
    <w:lvl w:ilvl="0">
      <w:lvlJc w:val="left"/>
      <w:lvlText w:val="(%1)"/>
      <w:numFmt w:val="decimal"/>
      <w:start w:val="1"/>
    </w:lvl>
  </w:abstractNum>
  <w:abstractNum w:abstractNumId="148">
    <w:nsid w:val="3F06ECB2"/>
    <w:multiLevelType w:val="hybridMultilevel"/>
    <w:lvl w:ilvl="0">
      <w:lvlJc w:val="left"/>
      <w:lvlText w:val="(%1)"/>
      <w:numFmt w:val="decimal"/>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decimal"/>
      <w:start w:val="4"/>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
      <w:numFmt w:val="bullet"/>
      <w:start w:val="1"/>
    </w:lvl>
  </w:abstractNum>
  <w:abstractNum w:abstractNumId="154">
    <w:nsid w:val="579328B9"/>
    <w:multiLevelType w:val="hybridMultilevel"/>
    <w:lvl w:ilvl="0">
      <w:lvlJc w:val="left"/>
      <w:lvlText w:val="(%1)"/>
      <w:numFmt w:val="decimal"/>
      <w:start w:val="1"/>
    </w:lvl>
  </w:abstractNum>
  <w:abstractNum w:abstractNumId="155">
    <w:nsid w:val="5D205E20"/>
    <w:multiLevelType w:val="hybridMultilevel"/>
    <w:lvl w:ilvl="0">
      <w:lvlJc w:val="left"/>
      <w:lvlText w:val="(%1)"/>
      <w:numFmt w:val="decimal"/>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
      <w:numFmt w:val="bullet"/>
      <w:start w:val="1"/>
    </w:lvl>
    <w:lvl w:ilvl="1">
      <w:lvlJc w:val="left"/>
      <w:lvlText w:val="(%2)"/>
      <w:numFmt w:val="decimal"/>
      <w:start w:val="1"/>
    </w:lvl>
  </w:abstractNum>
  <w:abstractNum w:abstractNumId="159">
    <w:nsid w:val="6B47F63E"/>
    <w:multiLevelType w:val="hybridMultilevel"/>
    <w:lvl w:ilvl="0">
      <w:lvlJc w:val="left"/>
      <w:lvlText w:val="•"/>
      <w:numFmt w:val="bullet"/>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2021-04-28T06:04:03Z</dcterms:created>
  <dcterms:modified xsi:type="dcterms:W3CDTF">2021-04-28T06:04:03Z</dcterms:modified>
</cp:coreProperties>
</file>