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408940</wp:posOffset>
            </wp:positionH>
            <wp:positionV relativeFrom="page">
              <wp:posOffset>829310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408940</wp:posOffset>
            </wp:positionH>
            <wp:positionV relativeFrom="page">
              <wp:posOffset>787400</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t>UNITED STATES</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2502535</wp:posOffset>
            </wp:positionH>
            <wp:positionV relativeFrom="paragraph">
              <wp:posOffset>164465</wp:posOffset>
            </wp:positionV>
            <wp:extent cx="23475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47595"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FORM 10-Q</w:t>
      </w:r>
    </w:p>
    <w:p>
      <w:pPr>
        <w:spacing w:after="0" w:line="148" w:lineRule="exact"/>
        <w:rPr>
          <w:sz w:val="24"/>
          <w:szCs w:val="24"/>
          <w:color w:val="auto"/>
        </w:rPr>
      </w:pPr>
    </w:p>
    <w:p>
      <w:pPr>
        <w:ind w:left="1800" w:hanging="370"/>
        <w:spacing w:after="0"/>
        <w:tabs>
          <w:tab w:leader="none" w:pos="180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QUARTERLY REPORT PURSUANT TO SECTION 13 OR 15(d) OF THE SECURITIES EXCHANGE ACT OF 1934</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March 31, 2023</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57" w:lineRule="exact"/>
        <w:rPr>
          <w:sz w:val="24"/>
          <w:szCs w:val="24"/>
          <w:color w:val="auto"/>
        </w:rPr>
      </w:pPr>
    </w:p>
    <w:p>
      <w:pPr>
        <w:ind w:left="1640" w:hanging="369"/>
        <w:spacing w:after="0"/>
        <w:tabs>
          <w:tab w:leader="none" w:pos="164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transition period from ___ to ___</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001-37905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2830830</wp:posOffset>
            </wp:positionH>
            <wp:positionV relativeFrom="paragraph">
              <wp:posOffset>198120</wp:posOffset>
            </wp:positionV>
            <wp:extent cx="1489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9075" cy="8255"/>
                    </a:xfrm>
                    <a:prstGeom prst="rect">
                      <a:avLst/>
                    </a:prstGeom>
                    <a:noFill/>
                  </pic:spPr>
                </pic:pic>
              </a:graphicData>
            </a:graphic>
          </wp:anchor>
        </w:drawing>
        <w:drawing>
          <wp:anchor simplePos="0" relativeHeight="251657728" behindDoc="1" locked="0" layoutInCell="0" allowOverlap="1">
            <wp:simplePos x="0" y="0"/>
            <wp:positionH relativeFrom="column">
              <wp:posOffset>2544445</wp:posOffset>
            </wp:positionH>
            <wp:positionV relativeFrom="paragraph">
              <wp:posOffset>340995</wp:posOffset>
            </wp:positionV>
            <wp:extent cx="2061210" cy="471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61210" cy="4711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Brighthouse Financial, Inc.</w:t>
      </w:r>
    </w:p>
    <w:p>
      <w:pPr>
        <w:spacing w:after="0" w:line="47" w:lineRule="exact"/>
        <w:rPr>
          <w:sz w:val="24"/>
          <w:szCs w:val="24"/>
          <w:color w:val="auto"/>
        </w:rPr>
      </w:pPr>
    </w:p>
    <w:p>
      <w:pPr>
        <w:jc w:val="center"/>
        <w:ind w:right="-33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71" w:lineRule="exact"/>
        <w:rPr>
          <w:sz w:val="24"/>
          <w:szCs w:val="24"/>
          <w:color w:val="auto"/>
        </w:rPr>
      </w:pPr>
    </w:p>
    <w:tbl>
      <w:tblPr>
        <w:tblLayout w:type="fixed"/>
        <w:tblInd w:w="3080" w:type="dxa"/>
        <w:tblCellMar>
          <w:top w:w="0" w:type="dxa"/>
          <w:left w:w="0" w:type="dxa"/>
          <w:bottom w:w="0" w:type="dxa"/>
          <w:right w:w="0" w:type="dxa"/>
        </w:tblCellMar>
      </w:tblPr>
      <w:tr>
        <w:trPr>
          <w:trHeight w:val="184"/>
        </w:trPr>
        <w:tc>
          <w:tcPr>
            <w:tcW w:w="2640" w:type="dxa"/>
            <w:vAlign w:val="bottom"/>
          </w:tcPr>
          <w:p>
            <w:pPr>
              <w:spacing w:after="0"/>
              <w:rPr>
                <w:sz w:val="20"/>
                <w:szCs w:val="20"/>
                <w:color w:val="auto"/>
              </w:rPr>
            </w:pPr>
            <w:r>
              <w:rPr>
                <w:rFonts w:ascii="Arial" w:cs="Arial" w:eastAsia="Arial" w:hAnsi="Arial"/>
                <w:sz w:val="14"/>
                <w:szCs w:val="14"/>
                <w:b w:val="1"/>
                <w:bCs w:val="1"/>
                <w:color w:val="auto"/>
              </w:rPr>
              <w:t>Delaware</w:t>
            </w:r>
          </w:p>
        </w:tc>
        <w:tc>
          <w:tcPr>
            <w:tcW w:w="2780" w:type="dxa"/>
            <w:vAlign w:val="bottom"/>
          </w:tcPr>
          <w:p>
            <w:pPr>
              <w:jc w:val="right"/>
              <w:spacing w:after="0"/>
              <w:rPr>
                <w:sz w:val="20"/>
                <w:szCs w:val="20"/>
                <w:color w:val="auto"/>
              </w:rPr>
            </w:pPr>
            <w:r>
              <w:rPr>
                <w:rFonts w:ascii="Arial" w:cs="Arial" w:eastAsia="Arial" w:hAnsi="Arial"/>
                <w:sz w:val="14"/>
                <w:szCs w:val="14"/>
                <w:b w:val="1"/>
                <w:bCs w:val="1"/>
                <w:color w:val="auto"/>
              </w:rPr>
              <w:t>81-3846992</w:t>
            </w:r>
          </w:p>
        </w:tc>
      </w:tr>
    </w:tbl>
    <w:p>
      <w:pPr>
        <w:spacing w:after="0" w:line="19" w:lineRule="exact"/>
        <w:rPr>
          <w:sz w:val="24"/>
          <w:szCs w:val="24"/>
          <w:color w:val="auto"/>
        </w:rPr>
      </w:pPr>
    </w:p>
    <w:p>
      <w:pPr>
        <w:sectPr>
          <w:pgSz w:w="11900" w:h="16838" w:orient="portrait"/>
          <w:cols w:equalWidth="0" w:num="1">
            <w:col w:w="11240"/>
          </w:cols>
          <w:pgMar w:left="320" w:top="1393" w:right="339" w:bottom="1440" w:gutter="0" w:footer="0" w:header="0"/>
        </w:sectPr>
      </w:pPr>
    </w:p>
    <w:p>
      <w:pPr>
        <w:jc w:val="center"/>
        <w:ind w:right="320"/>
        <w:spacing w:after="0"/>
        <w:rPr>
          <w:sz w:val="20"/>
          <w:szCs w:val="20"/>
          <w:color w:val="auto"/>
        </w:rPr>
      </w:pPr>
      <w:r>
        <w:rPr>
          <w:rFonts w:ascii="Arial" w:cs="Arial" w:eastAsia="Arial" w:hAnsi="Arial"/>
          <w:sz w:val="14"/>
          <w:szCs w:val="14"/>
          <w:i w:val="1"/>
          <w:iCs w:val="1"/>
          <w:color w:val="auto"/>
        </w:rPr>
        <w:t>(State or other jurisdiction of incorporation or organization)</w:t>
      </w:r>
    </w:p>
    <w:p>
      <w:pPr>
        <w:spacing w:after="0" w:line="180" w:lineRule="exact"/>
        <w:rPr>
          <w:sz w:val="24"/>
          <w:szCs w:val="24"/>
          <w:color w:val="auto"/>
        </w:rPr>
      </w:pPr>
    </w:p>
    <w:p>
      <w:pPr>
        <w:jc w:val="center"/>
        <w:ind w:right="320"/>
        <w:spacing w:after="0"/>
        <w:rPr>
          <w:sz w:val="20"/>
          <w:szCs w:val="20"/>
          <w:color w:val="auto"/>
        </w:rPr>
      </w:pPr>
      <w:r>
        <w:rPr>
          <w:rFonts w:ascii="Arial" w:cs="Arial" w:eastAsia="Arial" w:hAnsi="Arial"/>
          <w:sz w:val="14"/>
          <w:szCs w:val="14"/>
          <w:b w:val="1"/>
          <w:bCs w:val="1"/>
          <w:color w:val="auto"/>
        </w:rPr>
        <w:t>11225 North Community House Road, Charlotte, North Carolina</w:t>
      </w:r>
    </w:p>
    <w:p>
      <w:pPr>
        <w:spacing w:after="0" w:line="121" w:lineRule="exact"/>
        <w:rPr>
          <w:sz w:val="24"/>
          <w:szCs w:val="24"/>
          <w:color w:val="auto"/>
        </w:rPr>
      </w:pPr>
    </w:p>
    <w:p>
      <w:pPr>
        <w:jc w:val="center"/>
        <w:ind w:right="320"/>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233" w:lineRule="exact"/>
        <w:rPr>
          <w:sz w:val="24"/>
          <w:szCs w:val="24"/>
          <w:color w:val="auto"/>
        </w:rPr>
      </w:pPr>
    </w:p>
    <w:tbl>
      <w:tblPr>
        <w:tblLayout w:type="fixed"/>
        <w:tblInd w:w="1120" w:type="dxa"/>
        <w:tblCellMar>
          <w:top w:w="0" w:type="dxa"/>
          <w:left w:w="0" w:type="dxa"/>
          <w:bottom w:w="0" w:type="dxa"/>
          <w:right w:w="0" w:type="dxa"/>
        </w:tblCellMar>
      </w:tblPr>
      <w:tr>
        <w:trPr>
          <w:trHeight w:val="181"/>
        </w:trPr>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60" w:type="dxa"/>
            <w:vAlign w:val="bottom"/>
            <w:gridSpan w:val="2"/>
          </w:tcPr>
          <w:p>
            <w:pPr>
              <w:jc w:val="center"/>
              <w:ind w:right="118"/>
              <w:spacing w:after="0"/>
              <w:rPr>
                <w:sz w:val="20"/>
                <w:szCs w:val="20"/>
                <w:color w:val="auto"/>
              </w:rPr>
            </w:pPr>
            <w:r>
              <w:rPr>
                <w:rFonts w:ascii="Arial" w:cs="Arial" w:eastAsia="Arial" w:hAnsi="Arial"/>
                <w:sz w:val="14"/>
                <w:szCs w:val="14"/>
                <w:b w:val="1"/>
                <w:bCs w:val="1"/>
                <w:color w:val="auto"/>
                <w:w w:val="91"/>
              </w:rPr>
              <w:t>(980) 365-7100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640" w:type="dxa"/>
            <w:vAlign w:val="bottom"/>
            <w:gridSpan w:val="4"/>
          </w:tcPr>
          <w:p>
            <w:pPr>
              <w:jc w:val="center"/>
              <w:ind w:left="758"/>
              <w:spacing w:after="0"/>
              <w:rPr>
                <w:sz w:val="20"/>
                <w:szCs w:val="20"/>
                <w:color w:val="auto"/>
              </w:rPr>
            </w:pPr>
            <w:r>
              <w:rPr>
                <w:rFonts w:ascii="Arial" w:cs="Arial" w:eastAsia="Arial" w:hAnsi="Arial"/>
                <w:sz w:val="12"/>
                <w:szCs w:val="12"/>
                <w:i w:val="1"/>
                <w:iCs w:val="1"/>
                <w:color w:val="auto"/>
                <w:w w:val="92"/>
              </w:rPr>
              <w:t>(Registrant’s telephone number, including area code)</w:t>
            </w:r>
          </w:p>
        </w:tc>
        <w:tc>
          <w:tcPr>
            <w:tcW w:w="0" w:type="dxa"/>
            <w:vAlign w:val="bottom"/>
          </w:tcPr>
          <w:p>
            <w:pPr>
              <w:spacing w:after="0"/>
              <w:rPr>
                <w:sz w:val="1"/>
                <w:szCs w:val="1"/>
                <w:color w:val="auto"/>
              </w:rPr>
            </w:pPr>
          </w:p>
        </w:tc>
      </w:tr>
      <w:tr>
        <w:trPr>
          <w:trHeight w:val="252"/>
        </w:trPr>
        <w:tc>
          <w:tcPr>
            <w:tcW w:w="1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40" w:type="dxa"/>
            <w:vAlign w:val="bottom"/>
            <w:gridSpan w:val="4"/>
          </w:tcPr>
          <w:p>
            <w:pPr>
              <w:jc w:val="center"/>
              <w:ind w:left="738"/>
              <w:spacing w:after="0"/>
              <w:rPr>
                <w:sz w:val="20"/>
                <w:szCs w:val="20"/>
                <w:color w:val="auto"/>
              </w:rPr>
            </w:pPr>
            <w:r>
              <w:rPr>
                <w:rFonts w:ascii="Arial" w:cs="Arial" w:eastAsia="Arial" w:hAnsi="Arial"/>
                <w:sz w:val="12"/>
                <w:szCs w:val="12"/>
                <w:color w:val="auto"/>
                <w:w w:val="93"/>
              </w:rPr>
              <w:t>Securities registered pursuant to Section 12(b) of the Act:</w:t>
            </w:r>
          </w:p>
        </w:tc>
        <w:tc>
          <w:tcPr>
            <w:tcW w:w="0" w:type="dxa"/>
            <w:vAlign w:val="bottom"/>
          </w:tcPr>
          <w:p>
            <w:pPr>
              <w:spacing w:after="0"/>
              <w:rPr>
                <w:sz w:val="1"/>
                <w:szCs w:val="1"/>
                <w:color w:val="auto"/>
              </w:rPr>
            </w:pPr>
          </w:p>
        </w:tc>
      </w:tr>
      <w:tr>
        <w:trPr>
          <w:trHeight w:val="348"/>
        </w:trPr>
        <w:tc>
          <w:tcPr>
            <w:tcW w:w="1400" w:type="dxa"/>
            <w:vAlign w:val="bottom"/>
          </w:tcPr>
          <w:p>
            <w:pPr>
              <w:spacing w:after="0"/>
              <w:rPr>
                <w:sz w:val="24"/>
                <w:szCs w:val="24"/>
                <w:color w:val="auto"/>
              </w:rPr>
            </w:pPr>
          </w:p>
        </w:tc>
        <w:tc>
          <w:tcPr>
            <w:tcW w:w="2460" w:type="dxa"/>
            <w:vAlign w:val="bottom"/>
            <w:gridSpan w:val="2"/>
          </w:tcPr>
          <w:p>
            <w:pPr>
              <w:jc w:val="center"/>
              <w:ind w:right="1518"/>
              <w:spacing w:after="0"/>
              <w:rPr>
                <w:sz w:val="20"/>
                <w:szCs w:val="20"/>
                <w:color w:val="auto"/>
              </w:rPr>
            </w:pPr>
            <w:r>
              <w:rPr>
                <w:rFonts w:ascii="Arial" w:cs="Arial" w:eastAsia="Arial" w:hAnsi="Arial"/>
                <w:sz w:val="12"/>
                <w:szCs w:val="12"/>
                <w:color w:val="auto"/>
                <w:w w:val="91"/>
              </w:rPr>
              <w:t>Title of each class</w:t>
            </w:r>
          </w:p>
        </w:tc>
        <w:tc>
          <w:tcPr>
            <w:tcW w:w="2060" w:type="dxa"/>
            <w:vAlign w:val="bottom"/>
            <w:gridSpan w:val="3"/>
          </w:tcPr>
          <w:p>
            <w:pPr>
              <w:jc w:val="center"/>
              <w:ind w:right="60"/>
              <w:spacing w:after="0"/>
              <w:rPr>
                <w:sz w:val="20"/>
                <w:szCs w:val="20"/>
                <w:color w:val="auto"/>
              </w:rPr>
            </w:pPr>
            <w:r>
              <w:rPr>
                <w:rFonts w:ascii="Arial" w:cs="Arial" w:eastAsia="Arial" w:hAnsi="Arial"/>
                <w:sz w:val="12"/>
                <w:szCs w:val="12"/>
                <w:color w:val="auto"/>
                <w:w w:val="95"/>
              </w:rPr>
              <w:t>Trading symbol(s)</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860" w:type="dxa"/>
            <w:vAlign w:val="bottom"/>
            <w:gridSpan w:val="3"/>
          </w:tcPr>
          <w:p>
            <w:pPr>
              <w:jc w:val="center"/>
              <w:ind w:right="118"/>
              <w:spacing w:after="0"/>
              <w:rPr>
                <w:sz w:val="20"/>
                <w:szCs w:val="20"/>
                <w:color w:val="auto"/>
              </w:rPr>
            </w:pPr>
            <w:r>
              <w:rPr>
                <w:rFonts w:ascii="Arial" w:cs="Arial" w:eastAsia="Arial" w:hAnsi="Arial"/>
                <w:sz w:val="12"/>
                <w:szCs w:val="12"/>
                <w:b w:val="1"/>
                <w:bCs w:val="1"/>
                <w:color w:val="auto"/>
                <w:w w:val="92"/>
              </w:rPr>
              <w:t>Common Stock, par value $0.01 per share</w:t>
            </w:r>
          </w:p>
        </w:tc>
        <w:tc>
          <w:tcPr>
            <w:tcW w:w="540" w:type="dxa"/>
            <w:vAlign w:val="bottom"/>
          </w:tcPr>
          <w:p>
            <w:pPr>
              <w:spacing w:after="0"/>
              <w:rPr>
                <w:sz w:val="18"/>
                <w:szCs w:val="18"/>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2"/>
                <w:szCs w:val="12"/>
                <w:b w:val="1"/>
                <w:bCs w:val="1"/>
                <w:color w:val="auto"/>
              </w:rPr>
              <w:t>BHF</w:t>
            </w:r>
          </w:p>
        </w:tc>
        <w:tc>
          <w:tcPr>
            <w:tcW w:w="0" w:type="dxa"/>
            <w:vAlign w:val="bottom"/>
          </w:tcPr>
          <w:p>
            <w:pPr>
              <w:spacing w:after="0"/>
              <w:rPr>
                <w:sz w:val="1"/>
                <w:szCs w:val="1"/>
                <w:color w:val="auto"/>
              </w:rPr>
            </w:pPr>
          </w:p>
        </w:tc>
      </w:tr>
      <w:tr>
        <w:trPr>
          <w:trHeight w:val="150"/>
        </w:trPr>
        <w:tc>
          <w:tcPr>
            <w:tcW w:w="3860" w:type="dxa"/>
            <w:vAlign w:val="bottom"/>
            <w:gridSpan w:val="3"/>
          </w:tcPr>
          <w:p>
            <w:pPr>
              <w:jc w:val="center"/>
              <w:ind w:right="118"/>
              <w:spacing w:after="0"/>
              <w:rPr>
                <w:sz w:val="20"/>
                <w:szCs w:val="20"/>
                <w:color w:val="auto"/>
              </w:rPr>
            </w:pPr>
            <w:r>
              <w:rPr>
                <w:rFonts w:ascii="Arial" w:cs="Arial" w:eastAsia="Arial" w:hAnsi="Arial"/>
                <w:sz w:val="12"/>
                <w:szCs w:val="12"/>
                <w:b w:val="1"/>
                <w:bCs w:val="1"/>
                <w:color w:val="auto"/>
                <w:w w:val="91"/>
              </w:rPr>
              <w:t>Depositary Shares, each representing a 1/1,000th interest in a share of</w:t>
            </w:r>
          </w:p>
        </w:tc>
        <w:tc>
          <w:tcPr>
            <w:tcW w:w="540" w:type="dxa"/>
            <w:vAlign w:val="bottom"/>
          </w:tcPr>
          <w:p>
            <w:pPr>
              <w:spacing w:after="0"/>
              <w:rPr>
                <w:sz w:val="13"/>
                <w:szCs w:val="13"/>
                <w:color w:val="auto"/>
              </w:rPr>
            </w:pPr>
          </w:p>
        </w:tc>
        <w:tc>
          <w:tcPr>
            <w:tcW w:w="1520" w:type="dxa"/>
            <w:vAlign w:val="bottom"/>
            <w:gridSpan w:val="2"/>
            <w:vMerge w:val="restart"/>
          </w:tcPr>
          <w:p>
            <w:pPr>
              <w:jc w:val="center"/>
              <w:ind w:right="600"/>
              <w:spacing w:after="0"/>
              <w:rPr>
                <w:sz w:val="20"/>
                <w:szCs w:val="20"/>
                <w:color w:val="auto"/>
              </w:rPr>
            </w:pPr>
            <w:r>
              <w:rPr>
                <w:rFonts w:ascii="Arial" w:cs="Arial" w:eastAsia="Arial" w:hAnsi="Arial"/>
                <w:sz w:val="12"/>
                <w:szCs w:val="12"/>
                <w:b w:val="1"/>
                <w:bCs w:val="1"/>
                <w:color w:val="auto"/>
                <w:w w:val="96"/>
              </w:rPr>
              <w:t>BHFAP</w:t>
            </w:r>
          </w:p>
        </w:tc>
        <w:tc>
          <w:tcPr>
            <w:tcW w:w="0" w:type="dxa"/>
            <w:vAlign w:val="bottom"/>
          </w:tcPr>
          <w:p>
            <w:pPr>
              <w:spacing w:after="0"/>
              <w:rPr>
                <w:sz w:val="1"/>
                <w:szCs w:val="1"/>
                <w:color w:val="auto"/>
              </w:rPr>
            </w:pPr>
          </w:p>
        </w:tc>
      </w:tr>
      <w:tr>
        <w:trPr>
          <w:trHeight w:val="102"/>
        </w:trPr>
        <w:tc>
          <w:tcPr>
            <w:tcW w:w="3860" w:type="dxa"/>
            <w:vAlign w:val="bottom"/>
            <w:gridSpan w:val="3"/>
            <w:vMerge w:val="restart"/>
          </w:tcPr>
          <w:p>
            <w:pPr>
              <w:jc w:val="center"/>
              <w:ind w:right="118"/>
              <w:spacing w:after="0"/>
              <w:rPr>
                <w:sz w:val="20"/>
                <w:szCs w:val="20"/>
                <w:color w:val="auto"/>
              </w:rPr>
            </w:pPr>
            <w:r>
              <w:rPr>
                <w:rFonts w:ascii="Arial" w:cs="Arial" w:eastAsia="Arial" w:hAnsi="Arial"/>
                <w:sz w:val="12"/>
                <w:szCs w:val="12"/>
                <w:b w:val="1"/>
                <w:bCs w:val="1"/>
                <w:color w:val="auto"/>
                <w:w w:val="94"/>
              </w:rPr>
              <w:t>6.600% Non-Cumulative Preferred Stock, Series A</w:t>
            </w:r>
          </w:p>
        </w:tc>
        <w:tc>
          <w:tcPr>
            <w:tcW w:w="54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386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3860" w:type="dxa"/>
            <w:vAlign w:val="bottom"/>
            <w:gridSpan w:val="3"/>
          </w:tcPr>
          <w:p>
            <w:pPr>
              <w:jc w:val="center"/>
              <w:ind w:right="118"/>
              <w:spacing w:after="0"/>
              <w:rPr>
                <w:sz w:val="20"/>
                <w:szCs w:val="20"/>
                <w:color w:val="auto"/>
              </w:rPr>
            </w:pPr>
            <w:r>
              <w:rPr>
                <w:rFonts w:ascii="Arial" w:cs="Arial" w:eastAsia="Arial" w:hAnsi="Arial"/>
                <w:sz w:val="12"/>
                <w:szCs w:val="12"/>
                <w:b w:val="1"/>
                <w:bCs w:val="1"/>
                <w:color w:val="auto"/>
                <w:w w:val="91"/>
              </w:rPr>
              <w:t>Depositary Shares, each representing a 1/1,000th interest in a share of</w:t>
            </w:r>
          </w:p>
        </w:tc>
        <w:tc>
          <w:tcPr>
            <w:tcW w:w="540" w:type="dxa"/>
            <w:vAlign w:val="bottom"/>
          </w:tcPr>
          <w:p>
            <w:pPr>
              <w:spacing w:after="0"/>
              <w:rPr>
                <w:sz w:val="13"/>
                <w:szCs w:val="13"/>
                <w:color w:val="auto"/>
              </w:rPr>
            </w:pPr>
          </w:p>
        </w:tc>
        <w:tc>
          <w:tcPr>
            <w:tcW w:w="1520" w:type="dxa"/>
            <w:vAlign w:val="bottom"/>
            <w:gridSpan w:val="2"/>
            <w:vMerge w:val="restart"/>
          </w:tcPr>
          <w:p>
            <w:pPr>
              <w:jc w:val="center"/>
              <w:ind w:right="600"/>
              <w:spacing w:after="0"/>
              <w:rPr>
                <w:sz w:val="20"/>
                <w:szCs w:val="20"/>
                <w:color w:val="auto"/>
              </w:rPr>
            </w:pPr>
            <w:r>
              <w:rPr>
                <w:rFonts w:ascii="Arial" w:cs="Arial" w:eastAsia="Arial" w:hAnsi="Arial"/>
                <w:sz w:val="12"/>
                <w:szCs w:val="12"/>
                <w:b w:val="1"/>
                <w:bCs w:val="1"/>
                <w:color w:val="auto"/>
              </w:rPr>
              <w:t>BHFAO</w:t>
            </w:r>
          </w:p>
        </w:tc>
        <w:tc>
          <w:tcPr>
            <w:tcW w:w="0" w:type="dxa"/>
            <w:vAlign w:val="bottom"/>
          </w:tcPr>
          <w:p>
            <w:pPr>
              <w:spacing w:after="0"/>
              <w:rPr>
                <w:sz w:val="1"/>
                <w:szCs w:val="1"/>
                <w:color w:val="auto"/>
              </w:rPr>
            </w:pPr>
          </w:p>
        </w:tc>
      </w:tr>
      <w:tr>
        <w:trPr>
          <w:trHeight w:val="102"/>
        </w:trPr>
        <w:tc>
          <w:tcPr>
            <w:tcW w:w="3860" w:type="dxa"/>
            <w:vAlign w:val="bottom"/>
            <w:gridSpan w:val="3"/>
            <w:vMerge w:val="restart"/>
          </w:tcPr>
          <w:p>
            <w:pPr>
              <w:jc w:val="center"/>
              <w:ind w:right="118"/>
              <w:spacing w:after="0"/>
              <w:rPr>
                <w:sz w:val="20"/>
                <w:szCs w:val="20"/>
                <w:color w:val="auto"/>
              </w:rPr>
            </w:pPr>
            <w:r>
              <w:rPr>
                <w:rFonts w:ascii="Arial" w:cs="Arial" w:eastAsia="Arial" w:hAnsi="Arial"/>
                <w:sz w:val="12"/>
                <w:szCs w:val="12"/>
                <w:b w:val="1"/>
                <w:bCs w:val="1"/>
                <w:color w:val="auto"/>
                <w:w w:val="94"/>
              </w:rPr>
              <w:t>6.750% Non-Cumulative Preferred Stock, Series B</w:t>
            </w:r>
          </w:p>
        </w:tc>
        <w:tc>
          <w:tcPr>
            <w:tcW w:w="54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386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3860" w:type="dxa"/>
            <w:vAlign w:val="bottom"/>
            <w:gridSpan w:val="3"/>
          </w:tcPr>
          <w:p>
            <w:pPr>
              <w:jc w:val="center"/>
              <w:ind w:right="118"/>
              <w:spacing w:after="0"/>
              <w:rPr>
                <w:sz w:val="20"/>
                <w:szCs w:val="20"/>
                <w:color w:val="auto"/>
              </w:rPr>
            </w:pPr>
            <w:r>
              <w:rPr>
                <w:rFonts w:ascii="Arial" w:cs="Arial" w:eastAsia="Arial" w:hAnsi="Arial"/>
                <w:sz w:val="12"/>
                <w:szCs w:val="12"/>
                <w:b w:val="1"/>
                <w:bCs w:val="1"/>
                <w:color w:val="auto"/>
                <w:w w:val="91"/>
              </w:rPr>
              <w:t>Depositary Shares, each representing a 1/1,000th interest in a share of</w:t>
            </w:r>
          </w:p>
        </w:tc>
        <w:tc>
          <w:tcPr>
            <w:tcW w:w="540" w:type="dxa"/>
            <w:vAlign w:val="bottom"/>
          </w:tcPr>
          <w:p>
            <w:pPr>
              <w:spacing w:after="0"/>
              <w:rPr>
                <w:sz w:val="13"/>
                <w:szCs w:val="13"/>
                <w:color w:val="auto"/>
              </w:rPr>
            </w:pPr>
          </w:p>
        </w:tc>
        <w:tc>
          <w:tcPr>
            <w:tcW w:w="1520" w:type="dxa"/>
            <w:vAlign w:val="bottom"/>
            <w:gridSpan w:val="2"/>
            <w:vMerge w:val="restart"/>
          </w:tcPr>
          <w:p>
            <w:pPr>
              <w:jc w:val="center"/>
              <w:ind w:right="620"/>
              <w:spacing w:after="0"/>
              <w:rPr>
                <w:sz w:val="20"/>
                <w:szCs w:val="20"/>
                <w:color w:val="auto"/>
              </w:rPr>
            </w:pPr>
            <w:r>
              <w:rPr>
                <w:rFonts w:ascii="Arial" w:cs="Arial" w:eastAsia="Arial" w:hAnsi="Arial"/>
                <w:sz w:val="12"/>
                <w:szCs w:val="12"/>
                <w:b w:val="1"/>
                <w:bCs w:val="1"/>
                <w:color w:val="auto"/>
                <w:w w:val="99"/>
              </w:rPr>
              <w:t>BHFAN</w:t>
            </w:r>
          </w:p>
        </w:tc>
        <w:tc>
          <w:tcPr>
            <w:tcW w:w="0" w:type="dxa"/>
            <w:vAlign w:val="bottom"/>
          </w:tcPr>
          <w:p>
            <w:pPr>
              <w:spacing w:after="0"/>
              <w:rPr>
                <w:sz w:val="1"/>
                <w:szCs w:val="1"/>
                <w:color w:val="auto"/>
              </w:rPr>
            </w:pPr>
          </w:p>
        </w:tc>
      </w:tr>
      <w:tr>
        <w:trPr>
          <w:trHeight w:val="102"/>
        </w:trPr>
        <w:tc>
          <w:tcPr>
            <w:tcW w:w="3860" w:type="dxa"/>
            <w:vAlign w:val="bottom"/>
            <w:gridSpan w:val="3"/>
            <w:vMerge w:val="restart"/>
          </w:tcPr>
          <w:p>
            <w:pPr>
              <w:jc w:val="center"/>
              <w:ind w:right="118"/>
              <w:spacing w:after="0"/>
              <w:rPr>
                <w:sz w:val="20"/>
                <w:szCs w:val="20"/>
                <w:color w:val="auto"/>
              </w:rPr>
            </w:pPr>
            <w:r>
              <w:rPr>
                <w:rFonts w:ascii="Arial" w:cs="Arial" w:eastAsia="Arial" w:hAnsi="Arial"/>
                <w:sz w:val="12"/>
                <w:szCs w:val="12"/>
                <w:b w:val="1"/>
                <w:bCs w:val="1"/>
                <w:color w:val="auto"/>
                <w:w w:val="94"/>
              </w:rPr>
              <w:t>5.375% Non-Cumulative Preferred Stock, Series C</w:t>
            </w:r>
          </w:p>
        </w:tc>
        <w:tc>
          <w:tcPr>
            <w:tcW w:w="54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386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3860" w:type="dxa"/>
            <w:vAlign w:val="bottom"/>
            <w:gridSpan w:val="3"/>
          </w:tcPr>
          <w:p>
            <w:pPr>
              <w:jc w:val="center"/>
              <w:ind w:right="118"/>
              <w:spacing w:after="0"/>
              <w:rPr>
                <w:sz w:val="20"/>
                <w:szCs w:val="20"/>
                <w:color w:val="auto"/>
              </w:rPr>
            </w:pPr>
            <w:r>
              <w:rPr>
                <w:rFonts w:ascii="Arial" w:cs="Arial" w:eastAsia="Arial" w:hAnsi="Arial"/>
                <w:sz w:val="12"/>
                <w:szCs w:val="12"/>
                <w:b w:val="1"/>
                <w:bCs w:val="1"/>
                <w:color w:val="auto"/>
                <w:w w:val="91"/>
              </w:rPr>
              <w:t>Depositary Shares, each representing a 1/1,000th interest in a share of</w:t>
            </w:r>
          </w:p>
        </w:tc>
        <w:tc>
          <w:tcPr>
            <w:tcW w:w="540" w:type="dxa"/>
            <w:vAlign w:val="bottom"/>
          </w:tcPr>
          <w:p>
            <w:pPr>
              <w:spacing w:after="0"/>
              <w:rPr>
                <w:sz w:val="13"/>
                <w:szCs w:val="13"/>
                <w:color w:val="auto"/>
              </w:rPr>
            </w:pPr>
          </w:p>
        </w:tc>
        <w:tc>
          <w:tcPr>
            <w:tcW w:w="1520" w:type="dxa"/>
            <w:vAlign w:val="bottom"/>
            <w:gridSpan w:val="2"/>
            <w:vMerge w:val="restart"/>
          </w:tcPr>
          <w:p>
            <w:pPr>
              <w:jc w:val="center"/>
              <w:ind w:right="620"/>
              <w:spacing w:after="0"/>
              <w:rPr>
                <w:sz w:val="20"/>
                <w:szCs w:val="20"/>
                <w:color w:val="auto"/>
              </w:rPr>
            </w:pPr>
            <w:r>
              <w:rPr>
                <w:rFonts w:ascii="Arial" w:cs="Arial" w:eastAsia="Arial" w:hAnsi="Arial"/>
                <w:sz w:val="12"/>
                <w:szCs w:val="12"/>
                <w:b w:val="1"/>
                <w:bCs w:val="1"/>
                <w:color w:val="auto"/>
              </w:rPr>
              <w:t>BHFAM</w:t>
            </w:r>
          </w:p>
        </w:tc>
        <w:tc>
          <w:tcPr>
            <w:tcW w:w="0" w:type="dxa"/>
            <w:vAlign w:val="bottom"/>
          </w:tcPr>
          <w:p>
            <w:pPr>
              <w:spacing w:after="0"/>
              <w:rPr>
                <w:sz w:val="1"/>
                <w:szCs w:val="1"/>
                <w:color w:val="auto"/>
              </w:rPr>
            </w:pPr>
          </w:p>
        </w:tc>
      </w:tr>
      <w:tr>
        <w:trPr>
          <w:trHeight w:val="102"/>
        </w:trPr>
        <w:tc>
          <w:tcPr>
            <w:tcW w:w="3860" w:type="dxa"/>
            <w:vAlign w:val="bottom"/>
            <w:gridSpan w:val="3"/>
            <w:vMerge w:val="restart"/>
          </w:tcPr>
          <w:p>
            <w:pPr>
              <w:jc w:val="center"/>
              <w:ind w:right="118"/>
              <w:spacing w:after="0"/>
              <w:rPr>
                <w:sz w:val="20"/>
                <w:szCs w:val="20"/>
                <w:color w:val="auto"/>
              </w:rPr>
            </w:pPr>
            <w:r>
              <w:rPr>
                <w:rFonts w:ascii="Arial" w:cs="Arial" w:eastAsia="Arial" w:hAnsi="Arial"/>
                <w:sz w:val="12"/>
                <w:szCs w:val="12"/>
                <w:b w:val="1"/>
                <w:bCs w:val="1"/>
                <w:color w:val="auto"/>
                <w:w w:val="94"/>
              </w:rPr>
              <w:t>4.625% Non-Cumulative Preferred Stock, Series D</w:t>
            </w:r>
          </w:p>
        </w:tc>
        <w:tc>
          <w:tcPr>
            <w:tcW w:w="54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386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3860" w:type="dxa"/>
            <w:vAlign w:val="bottom"/>
            <w:gridSpan w:val="3"/>
          </w:tcPr>
          <w:p>
            <w:pPr>
              <w:jc w:val="center"/>
              <w:ind w:right="118"/>
              <w:spacing w:after="0"/>
              <w:rPr>
                <w:sz w:val="20"/>
                <w:szCs w:val="20"/>
                <w:color w:val="auto"/>
              </w:rPr>
            </w:pPr>
            <w:r>
              <w:rPr>
                <w:rFonts w:ascii="Arial" w:cs="Arial" w:eastAsia="Arial" w:hAnsi="Arial"/>
                <w:sz w:val="12"/>
                <w:szCs w:val="12"/>
                <w:b w:val="1"/>
                <w:bCs w:val="1"/>
                <w:color w:val="auto"/>
                <w:w w:val="93"/>
              </w:rPr>
              <w:t>6.250% Junior Subordinated Debentures due 2058</w:t>
            </w:r>
          </w:p>
        </w:tc>
        <w:tc>
          <w:tcPr>
            <w:tcW w:w="540" w:type="dxa"/>
            <w:vAlign w:val="bottom"/>
          </w:tcPr>
          <w:p>
            <w:pPr>
              <w:spacing w:after="0"/>
              <w:rPr>
                <w:sz w:val="18"/>
                <w:szCs w:val="18"/>
                <w:color w:val="auto"/>
              </w:rPr>
            </w:pPr>
          </w:p>
        </w:tc>
        <w:tc>
          <w:tcPr>
            <w:tcW w:w="1520" w:type="dxa"/>
            <w:vAlign w:val="bottom"/>
            <w:gridSpan w:val="2"/>
          </w:tcPr>
          <w:p>
            <w:pPr>
              <w:jc w:val="center"/>
              <w:ind w:right="620"/>
              <w:spacing w:after="0"/>
              <w:rPr>
                <w:sz w:val="20"/>
                <w:szCs w:val="20"/>
                <w:color w:val="auto"/>
              </w:rPr>
            </w:pPr>
            <w:r>
              <w:rPr>
                <w:rFonts w:ascii="Arial" w:cs="Arial" w:eastAsia="Arial" w:hAnsi="Arial"/>
                <w:sz w:val="12"/>
                <w:szCs w:val="12"/>
                <w:b w:val="1"/>
                <w:bCs w:val="1"/>
                <w:color w:val="auto"/>
              </w:rPr>
              <w:t>BHFAL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jc w:val="center"/>
        <w:ind w:right="2080"/>
        <w:spacing w:after="0"/>
        <w:rPr>
          <w:sz w:val="20"/>
          <w:szCs w:val="20"/>
          <w:color w:val="auto"/>
        </w:rPr>
      </w:pPr>
      <w:r>
        <w:rPr>
          <w:rFonts w:ascii="Arial" w:cs="Arial" w:eastAsia="Arial" w:hAnsi="Arial"/>
          <w:sz w:val="13"/>
          <w:szCs w:val="13"/>
          <w:i w:val="1"/>
          <w:iCs w:val="1"/>
          <w:color w:val="auto"/>
        </w:rPr>
        <w:t>(I.R.S. Employer Identification No.)</w:t>
      </w:r>
    </w:p>
    <w:p>
      <w:pPr>
        <w:spacing w:after="0" w:line="191" w:lineRule="exact"/>
        <w:rPr>
          <w:sz w:val="24"/>
          <w:szCs w:val="24"/>
          <w:color w:val="auto"/>
        </w:rPr>
      </w:pPr>
    </w:p>
    <w:p>
      <w:pPr>
        <w:jc w:val="center"/>
        <w:ind w:right="2080"/>
        <w:spacing w:after="0"/>
        <w:rPr>
          <w:sz w:val="20"/>
          <w:szCs w:val="20"/>
          <w:color w:val="auto"/>
        </w:rPr>
      </w:pPr>
      <w:r>
        <w:rPr>
          <w:rFonts w:ascii="Arial" w:cs="Arial" w:eastAsia="Arial" w:hAnsi="Arial"/>
          <w:sz w:val="14"/>
          <w:szCs w:val="14"/>
          <w:b w:val="1"/>
          <w:bCs w:val="1"/>
          <w:color w:val="auto"/>
        </w:rPr>
        <w:t>28277</w:t>
      </w:r>
    </w:p>
    <w:p>
      <w:pPr>
        <w:spacing w:after="0" w:line="121" w:lineRule="exact"/>
        <w:rPr>
          <w:sz w:val="24"/>
          <w:szCs w:val="24"/>
          <w:color w:val="auto"/>
        </w:rPr>
      </w:pPr>
    </w:p>
    <w:p>
      <w:pPr>
        <w:jc w:val="center"/>
        <w:ind w:right="2080"/>
        <w:spacing w:after="0"/>
        <w:rPr>
          <w:sz w:val="20"/>
          <w:szCs w:val="20"/>
          <w:color w:val="auto"/>
        </w:rPr>
      </w:pPr>
      <w:r>
        <w:rPr>
          <w:rFonts w:ascii="Arial" w:cs="Arial" w:eastAsia="Arial" w:hAnsi="Arial"/>
          <w:sz w:val="14"/>
          <w:szCs w:val="14"/>
          <w:i w:val="1"/>
          <w:iCs w:val="1"/>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100"/>
        <w:spacing w:after="0"/>
        <w:rPr>
          <w:sz w:val="20"/>
          <w:szCs w:val="20"/>
          <w:color w:val="auto"/>
        </w:rPr>
      </w:pPr>
      <w:r>
        <w:rPr>
          <w:rFonts w:ascii="Arial" w:cs="Arial" w:eastAsia="Arial" w:hAnsi="Arial"/>
          <w:sz w:val="11"/>
          <w:szCs w:val="11"/>
          <w:u w:val="single" w:color="auto"/>
          <w:color w:val="auto"/>
        </w:rPr>
        <w:t>Name of each exchange on which registered</w:t>
      </w:r>
    </w:p>
    <w:p>
      <w:pPr>
        <w:spacing w:after="0" w:line="82" w:lineRule="exact"/>
        <w:rPr>
          <w:sz w:val="24"/>
          <w:szCs w:val="24"/>
          <w:color w:val="auto"/>
        </w:rPr>
      </w:pPr>
    </w:p>
    <w:p>
      <w:pPr>
        <w:jc w:val="center"/>
        <w:ind w:right="1100"/>
        <w:spacing w:after="0"/>
        <w:rPr>
          <w:sz w:val="20"/>
          <w:szCs w:val="20"/>
          <w:color w:val="auto"/>
        </w:rPr>
      </w:pPr>
      <w:r>
        <w:rPr>
          <w:rFonts w:ascii="Arial" w:cs="Arial" w:eastAsia="Arial" w:hAnsi="Arial"/>
          <w:sz w:val="12"/>
          <w:szCs w:val="12"/>
          <w:b w:val="1"/>
          <w:bCs w:val="1"/>
          <w:color w:val="auto"/>
        </w:rPr>
        <w:t>The Nasdaq Stock Market LLC</w:t>
      </w:r>
    </w:p>
    <w:p>
      <w:pPr>
        <w:spacing w:after="0" w:line="114" w:lineRule="exact"/>
        <w:rPr>
          <w:sz w:val="24"/>
          <w:szCs w:val="24"/>
          <w:color w:val="auto"/>
        </w:rPr>
      </w:pPr>
    </w:p>
    <w:p>
      <w:pPr>
        <w:ind w:left="660"/>
        <w:spacing w:after="0"/>
        <w:rPr>
          <w:sz w:val="20"/>
          <w:szCs w:val="20"/>
          <w:color w:val="auto"/>
        </w:rPr>
      </w:pPr>
      <w:r>
        <w:rPr>
          <w:rFonts w:ascii="Arial" w:cs="Arial" w:eastAsia="Arial" w:hAnsi="Arial"/>
          <w:sz w:val="12"/>
          <w:szCs w:val="12"/>
          <w:b w:val="1"/>
          <w:bCs w:val="1"/>
          <w:color w:val="auto"/>
        </w:rPr>
        <w:t>The Nasdaq Stock Market LLC</w:t>
      </w:r>
    </w:p>
    <w:p>
      <w:pPr>
        <w:spacing w:after="0" w:line="180" w:lineRule="exact"/>
        <w:rPr>
          <w:sz w:val="24"/>
          <w:szCs w:val="24"/>
          <w:color w:val="auto"/>
        </w:rPr>
      </w:pPr>
    </w:p>
    <w:p>
      <w:pPr>
        <w:ind w:left="660"/>
        <w:spacing w:after="0"/>
        <w:rPr>
          <w:sz w:val="20"/>
          <w:szCs w:val="20"/>
          <w:color w:val="auto"/>
        </w:rPr>
      </w:pPr>
      <w:r>
        <w:rPr>
          <w:rFonts w:ascii="Arial" w:cs="Arial" w:eastAsia="Arial" w:hAnsi="Arial"/>
          <w:sz w:val="12"/>
          <w:szCs w:val="12"/>
          <w:b w:val="1"/>
          <w:bCs w:val="1"/>
          <w:color w:val="auto"/>
        </w:rPr>
        <w:t>The Nasdaq Stock Market LLC</w:t>
      </w:r>
    </w:p>
    <w:p>
      <w:pPr>
        <w:spacing w:after="0" w:line="180" w:lineRule="exact"/>
        <w:rPr>
          <w:sz w:val="24"/>
          <w:szCs w:val="24"/>
          <w:color w:val="auto"/>
        </w:rPr>
      </w:pPr>
    </w:p>
    <w:p>
      <w:pPr>
        <w:ind w:left="660"/>
        <w:spacing w:after="0"/>
        <w:rPr>
          <w:sz w:val="20"/>
          <w:szCs w:val="20"/>
          <w:color w:val="auto"/>
        </w:rPr>
      </w:pPr>
      <w:r>
        <w:rPr>
          <w:rFonts w:ascii="Arial" w:cs="Arial" w:eastAsia="Arial" w:hAnsi="Arial"/>
          <w:sz w:val="12"/>
          <w:szCs w:val="12"/>
          <w:b w:val="1"/>
          <w:bCs w:val="1"/>
          <w:color w:val="auto"/>
        </w:rPr>
        <w:t>The Nasdaq Stock Market LLC</w:t>
      </w:r>
    </w:p>
    <w:p>
      <w:pPr>
        <w:spacing w:after="0" w:line="180" w:lineRule="exact"/>
        <w:rPr>
          <w:sz w:val="24"/>
          <w:szCs w:val="24"/>
          <w:color w:val="auto"/>
        </w:rPr>
      </w:pPr>
    </w:p>
    <w:p>
      <w:pPr>
        <w:ind w:left="660"/>
        <w:spacing w:after="0"/>
        <w:rPr>
          <w:sz w:val="20"/>
          <w:szCs w:val="20"/>
          <w:color w:val="auto"/>
        </w:rPr>
      </w:pPr>
      <w:r>
        <w:rPr>
          <w:rFonts w:ascii="Arial" w:cs="Arial" w:eastAsia="Arial" w:hAnsi="Arial"/>
          <w:sz w:val="12"/>
          <w:szCs w:val="12"/>
          <w:b w:val="1"/>
          <w:bCs w:val="1"/>
          <w:color w:val="auto"/>
        </w:rPr>
        <w:t>The Nasdaq Stock Market LLC</w:t>
      </w:r>
    </w:p>
    <w:p>
      <w:pPr>
        <w:spacing w:after="0" w:line="127" w:lineRule="exact"/>
        <w:rPr>
          <w:sz w:val="24"/>
          <w:szCs w:val="24"/>
          <w:color w:val="auto"/>
        </w:rPr>
      </w:pPr>
    </w:p>
    <w:p>
      <w:pPr>
        <w:ind w:left="660"/>
        <w:spacing w:after="0"/>
        <w:rPr>
          <w:sz w:val="20"/>
          <w:szCs w:val="20"/>
          <w:color w:val="auto"/>
        </w:rPr>
      </w:pPr>
      <w:r>
        <w:rPr>
          <w:rFonts w:ascii="Arial" w:cs="Arial" w:eastAsia="Arial" w:hAnsi="Arial"/>
          <w:sz w:val="12"/>
          <w:szCs w:val="12"/>
          <w:b w:val="1"/>
          <w:bCs w:val="1"/>
          <w:color w:val="auto"/>
        </w:rPr>
        <w:t>The Nasdaq Stock Market LLC</w:t>
      </w:r>
    </w:p>
    <w:p>
      <w:pPr>
        <w:spacing w:after="0" w:line="210" w:lineRule="exact"/>
        <w:rPr>
          <w:sz w:val="24"/>
          <w:szCs w:val="24"/>
          <w:color w:val="auto"/>
        </w:rPr>
      </w:pPr>
    </w:p>
    <w:p>
      <w:pPr>
        <w:sectPr>
          <w:pgSz w:w="11900" w:h="16838" w:orient="portrait"/>
          <w:cols w:equalWidth="0" w:num="2">
            <w:col w:w="7040" w:space="100"/>
            <w:col w:w="4100"/>
          </w:cols>
          <w:pgMar w:left="320" w:top="1393" w:right="339" w:bottom="1440" w:gutter="0" w:footer="0" w:header="0"/>
          <w:type w:val="continuous"/>
        </w:sectPr>
      </w:pPr>
    </w:p>
    <w:p>
      <w:pPr>
        <w:spacing w:after="0" w:line="158"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96" w:lineRule="exact"/>
        <w:rPr>
          <w:sz w:val="24"/>
          <w:szCs w:val="24"/>
          <w:color w:val="auto"/>
        </w:rPr>
      </w:pPr>
    </w:p>
    <w:p>
      <w:pPr>
        <w:spacing w:after="0" w:line="158"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82" w:lineRule="exact"/>
        <w:rPr>
          <w:sz w:val="24"/>
          <w:szCs w:val="24"/>
          <w:color w:val="auto"/>
        </w:rPr>
      </w:pPr>
    </w:p>
    <w:p>
      <w:pPr>
        <w:spacing w:after="0" w:line="28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3" w:lineRule="exact"/>
        <w:rPr>
          <w:sz w:val="24"/>
          <w:szCs w:val="24"/>
          <w:color w:val="auto"/>
        </w:rPr>
      </w:pPr>
    </w:p>
    <w:tbl>
      <w:tblPr>
        <w:tblLayout w:type="fixed"/>
        <w:tblInd w:w="1100" w:type="dxa"/>
        <w:tblCellMar>
          <w:top w:w="0" w:type="dxa"/>
          <w:left w:w="0" w:type="dxa"/>
          <w:bottom w:w="0" w:type="dxa"/>
          <w:right w:w="0" w:type="dxa"/>
        </w:tblCellMar>
      </w:tblPr>
      <w:tr>
        <w:trPr>
          <w:trHeight w:val="193"/>
        </w:trPr>
        <w:tc>
          <w:tcPr>
            <w:tcW w:w="1180" w:type="dxa"/>
            <w:vAlign w:val="bottom"/>
          </w:tcPr>
          <w:p>
            <w:pPr>
              <w:spacing w:after="0"/>
              <w:rPr>
                <w:sz w:val="20"/>
                <w:szCs w:val="20"/>
                <w:color w:val="auto"/>
              </w:rPr>
            </w:pPr>
            <w:r>
              <w:rPr>
                <w:rFonts w:ascii="Arial" w:cs="Arial" w:eastAsia="Arial" w:hAnsi="Arial"/>
                <w:sz w:val="12"/>
                <w:szCs w:val="12"/>
                <w:color w:val="auto"/>
                <w:w w:val="97"/>
              </w:rPr>
              <w:t>Large accelerated filer</w:t>
            </w:r>
          </w:p>
        </w:tc>
        <w:tc>
          <w:tcPr>
            <w:tcW w:w="2960" w:type="dxa"/>
            <w:vAlign w:val="bottom"/>
          </w:tcPr>
          <w:p>
            <w:pPr>
              <w:ind w:left="60"/>
              <w:spacing w:after="0" w:line="121" w:lineRule="exact"/>
              <w:rPr>
                <w:sz w:val="20"/>
                <w:szCs w:val="20"/>
                <w:color w:val="auto"/>
              </w:rPr>
            </w:pPr>
            <w:r>
              <w:rPr>
                <w:rFonts w:ascii="MS PGothic" w:cs="MS PGothic" w:eastAsia="MS PGothic" w:hAnsi="MS PGothic"/>
                <w:sz w:val="12"/>
                <w:szCs w:val="12"/>
                <w:color w:val="auto"/>
              </w:rPr>
              <w:t>☑</w:t>
            </w:r>
          </w:p>
        </w:tc>
        <w:tc>
          <w:tcPr>
            <w:tcW w:w="4240" w:type="dxa"/>
            <w:vAlign w:val="bottom"/>
          </w:tcPr>
          <w:p>
            <w:pPr>
              <w:ind w:left="2780"/>
              <w:spacing w:after="0"/>
              <w:rPr>
                <w:sz w:val="20"/>
                <w:szCs w:val="20"/>
                <w:color w:val="auto"/>
              </w:rPr>
            </w:pPr>
            <w:r>
              <w:rPr>
                <w:rFonts w:ascii="Arial" w:cs="Arial" w:eastAsia="Arial" w:hAnsi="Arial"/>
                <w:sz w:val="12"/>
                <w:szCs w:val="12"/>
                <w:color w:val="auto"/>
              </w:rPr>
              <w:t>Accelerated filer</w:t>
            </w:r>
          </w:p>
        </w:tc>
        <w:tc>
          <w:tcPr>
            <w:tcW w:w="240" w:type="dxa"/>
            <w:vAlign w:val="bottom"/>
            <w:vMerge w:val="restart"/>
          </w:tcPr>
          <w:p>
            <w:pPr>
              <w:ind w:left="120"/>
              <w:spacing w:after="0" w:line="121" w:lineRule="exact"/>
              <w:rPr>
                <w:sz w:val="20"/>
                <w:szCs w:val="20"/>
                <w:color w:val="auto"/>
              </w:rPr>
            </w:pPr>
            <w:r>
              <w:rPr>
                <w:rFonts w:ascii="MS PGothic" w:cs="MS PGothic" w:eastAsia="MS PGothic" w:hAnsi="MS PGothic"/>
                <w:sz w:val="12"/>
                <w:szCs w:val="12"/>
                <w:color w:val="auto"/>
                <w:w w:val="82"/>
              </w:rPr>
              <w:t>☐</w:t>
            </w:r>
          </w:p>
        </w:tc>
        <w:tc>
          <w:tcPr>
            <w:tcW w:w="0" w:type="dxa"/>
            <w:vAlign w:val="bottom"/>
          </w:tcPr>
          <w:p>
            <w:pPr>
              <w:spacing w:after="0"/>
              <w:rPr>
                <w:sz w:val="1"/>
                <w:szCs w:val="1"/>
                <w:color w:val="auto"/>
              </w:rPr>
            </w:pPr>
          </w:p>
        </w:tc>
      </w:tr>
      <w:tr>
        <w:trPr>
          <w:trHeight w:val="53"/>
        </w:trPr>
        <w:tc>
          <w:tcPr>
            <w:tcW w:w="1180" w:type="dxa"/>
            <w:vAlign w:val="bottom"/>
          </w:tcPr>
          <w:p>
            <w:pPr>
              <w:spacing w:after="0"/>
              <w:rPr>
                <w:sz w:val="4"/>
                <w:szCs w:val="4"/>
                <w:color w:val="auto"/>
              </w:rPr>
            </w:pPr>
          </w:p>
        </w:tc>
        <w:tc>
          <w:tcPr>
            <w:tcW w:w="2960" w:type="dxa"/>
            <w:vAlign w:val="bottom"/>
          </w:tcPr>
          <w:p>
            <w:pPr>
              <w:spacing w:after="0"/>
              <w:rPr>
                <w:sz w:val="4"/>
                <w:szCs w:val="4"/>
                <w:color w:val="auto"/>
              </w:rPr>
            </w:pPr>
          </w:p>
        </w:tc>
        <w:tc>
          <w:tcPr>
            <w:tcW w:w="424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1180" w:type="dxa"/>
            <w:vAlign w:val="bottom"/>
          </w:tcPr>
          <w:p>
            <w:pPr>
              <w:spacing w:after="0"/>
              <w:rPr>
                <w:sz w:val="20"/>
                <w:szCs w:val="20"/>
                <w:color w:val="auto"/>
              </w:rPr>
            </w:pPr>
            <w:r>
              <w:rPr>
                <w:rFonts w:ascii="Arial" w:cs="Arial" w:eastAsia="Arial" w:hAnsi="Arial"/>
                <w:sz w:val="12"/>
                <w:szCs w:val="12"/>
                <w:color w:val="auto"/>
              </w:rPr>
              <w:t>Non-accelerated filer</w:t>
            </w:r>
          </w:p>
        </w:tc>
        <w:tc>
          <w:tcPr>
            <w:tcW w:w="2960" w:type="dxa"/>
            <w:vAlign w:val="bottom"/>
          </w:tcPr>
          <w:p>
            <w:pPr>
              <w:ind w:left="60"/>
              <w:spacing w:after="0" w:line="121" w:lineRule="exact"/>
              <w:rPr>
                <w:sz w:val="20"/>
                <w:szCs w:val="20"/>
                <w:color w:val="auto"/>
              </w:rPr>
            </w:pPr>
            <w:r>
              <w:rPr>
                <w:rFonts w:ascii="MS PGothic" w:cs="MS PGothic" w:eastAsia="MS PGothic" w:hAnsi="MS PGothic"/>
                <w:sz w:val="12"/>
                <w:szCs w:val="12"/>
                <w:color w:val="auto"/>
              </w:rPr>
              <w:t>☐</w:t>
            </w:r>
          </w:p>
        </w:tc>
        <w:tc>
          <w:tcPr>
            <w:tcW w:w="4240" w:type="dxa"/>
            <w:vAlign w:val="bottom"/>
          </w:tcPr>
          <w:p>
            <w:pPr>
              <w:ind w:left="2780"/>
              <w:spacing w:after="0"/>
              <w:rPr>
                <w:sz w:val="20"/>
                <w:szCs w:val="20"/>
                <w:color w:val="auto"/>
              </w:rPr>
            </w:pPr>
            <w:r>
              <w:rPr>
                <w:rFonts w:ascii="Arial" w:cs="Arial" w:eastAsia="Arial" w:hAnsi="Arial"/>
                <w:sz w:val="12"/>
                <w:szCs w:val="12"/>
                <w:color w:val="auto"/>
              </w:rPr>
              <w:t>Smaller reporting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21"/>
        </w:trPr>
        <w:tc>
          <w:tcPr>
            <w:tcW w:w="11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4240" w:type="dxa"/>
            <w:vAlign w:val="bottom"/>
          </w:tcPr>
          <w:p>
            <w:pPr>
              <w:ind w:left="2780"/>
              <w:spacing w:after="0"/>
              <w:rPr>
                <w:sz w:val="20"/>
                <w:szCs w:val="20"/>
                <w:color w:val="auto"/>
              </w:rPr>
            </w:pPr>
            <w:r>
              <w:rPr>
                <w:rFonts w:ascii="Arial" w:cs="Arial" w:eastAsia="Arial" w:hAnsi="Arial"/>
                <w:sz w:val="12"/>
                <w:szCs w:val="12"/>
                <w:color w:val="auto"/>
              </w:rPr>
              <w:t>Emerging growth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bl>
    <w:p>
      <w:pPr>
        <w:spacing w:after="0" w:line="166" w:lineRule="exact"/>
        <w:rPr>
          <w:sz w:val="24"/>
          <w:szCs w:val="24"/>
          <w:color w:val="auto"/>
        </w:rPr>
      </w:pPr>
    </w:p>
    <w:p>
      <w:pPr>
        <w:spacing w:after="0" w:line="16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59" w:lineRule="exact"/>
        <w:rPr>
          <w:sz w:val="24"/>
          <w:szCs w:val="24"/>
          <w:color w:val="auto"/>
        </w:rPr>
      </w:pPr>
    </w:p>
    <w:p>
      <w:pPr>
        <w:ind w:right="4860"/>
        <w:spacing w:after="0" w:line="216"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highlight w:val="black"/>
        </w:rPr>
        <w:t>☐</w:t>
      </w:r>
      <w:r>
        <w:rPr>
          <w:rFonts w:ascii="Arial" w:cs="Arial" w:eastAsia="Arial" w:hAnsi="Arial"/>
          <w:sz w:val="12"/>
          <w:szCs w:val="12"/>
          <w:color w:val="auto"/>
        </w:rPr>
        <w:t xml:space="preserve"> No </w:t>
      </w:r>
      <w:r>
        <w:rPr>
          <w:rFonts w:ascii="MS PGothic" w:cs="MS PGothic" w:eastAsia="MS PGothic" w:hAnsi="MS PGothic"/>
          <w:sz w:val="12"/>
          <w:szCs w:val="12"/>
          <w:color w:val="auto"/>
          <w:highlight w:val="black"/>
        </w:rPr>
        <w:t>☑</w:t>
      </w:r>
      <w:r>
        <w:rPr>
          <w:rFonts w:ascii="Arial" w:cs="Arial" w:eastAsia="Arial" w:hAnsi="Arial"/>
          <w:sz w:val="12"/>
          <w:szCs w:val="12"/>
          <w:color w:val="auto"/>
        </w:rPr>
        <w:t xml:space="preserve"> As of May 5, 2023, 66,860,519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738505</wp:posOffset>
            </wp:positionV>
            <wp:extent cx="71602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137160</wp:posOffset>
            </wp:positionV>
            <wp:extent cx="699516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651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111760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38" w:lineRule="exact"/>
        <w:rPr>
          <w:sz w:val="20"/>
          <w:szCs w:val="20"/>
          <w:color w:val="auto"/>
        </w:rPr>
      </w:pPr>
    </w:p>
    <w:p>
      <w:pPr>
        <w:ind w:left="10740"/>
        <w:spacing w:after="0"/>
        <w:rPr>
          <w:sz w:val="20"/>
          <w:szCs w:val="20"/>
          <w:color w:val="auto"/>
        </w:rPr>
      </w:pPr>
      <w:r>
        <w:rPr>
          <w:rFonts w:ascii="Arial" w:cs="Arial" w:eastAsia="Arial" w:hAnsi="Arial"/>
          <w:sz w:val="18"/>
          <w:szCs w:val="18"/>
          <w:b w:val="1"/>
          <w:bCs w:val="1"/>
          <w:u w:val="single" w:color="auto"/>
          <w:color w:val="auto"/>
        </w:rPr>
        <w:t>Page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0000FF"/>
        </w:rPr>
        <w:t>Part I — Financial Information</w:t>
      </w: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100" w:type="dxa"/>
            <w:vAlign w:val="bottom"/>
            <w:gridSpan w:val="2"/>
          </w:tcPr>
          <w:p>
            <w:pPr>
              <w:ind w:left="100"/>
              <w:spacing w:after="0" w:line="193" w:lineRule="exact"/>
              <w:rPr>
                <w:sz w:val="20"/>
                <w:szCs w:val="20"/>
                <w:color w:val="auto"/>
              </w:rPr>
            </w:pPr>
            <w:r>
              <w:rPr>
                <w:rFonts w:ascii="Arial" w:cs="Arial" w:eastAsia="Arial" w:hAnsi="Arial"/>
                <w:sz w:val="18"/>
                <w:szCs w:val="18"/>
                <w:b w:val="1"/>
                <w:bCs w:val="1"/>
                <w:color w:val="auto"/>
              </w:rPr>
              <w:t>Item 1.</w:t>
            </w:r>
          </w:p>
        </w:tc>
        <w:tc>
          <w:tcPr>
            <w:tcW w:w="9680" w:type="dxa"/>
            <w:vAlign w:val="bottom"/>
            <w:gridSpan w:val="26"/>
          </w:tcPr>
          <w:p>
            <w:pPr>
              <w:spacing w:after="0" w:line="193" w:lineRule="exact"/>
              <w:rPr>
                <w:sz w:val="20"/>
                <w:szCs w:val="20"/>
                <w:color w:val="auto"/>
              </w:rPr>
            </w:pPr>
            <w:r>
              <w:rPr>
                <w:rFonts w:ascii="Arial" w:cs="Arial" w:eastAsia="Arial" w:hAnsi="Arial"/>
                <w:sz w:val="18"/>
                <w:szCs w:val="18"/>
                <w:color w:val="auto"/>
                <w:w w:val="97"/>
              </w:rPr>
              <w:t>Consolidated Financial Statements (at March 31, 2023 (Unaudited) and December 31, 2022 and for the Three Months Ended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540" w:type="dxa"/>
            <w:vAlign w:val="bottom"/>
            <w:gridSpan w:val="25"/>
          </w:tcPr>
          <w:p>
            <w:pPr>
              <w:spacing w:after="0"/>
              <w:rPr>
                <w:sz w:val="20"/>
                <w:szCs w:val="20"/>
                <w:color w:val="auto"/>
              </w:rPr>
            </w:pPr>
            <w:r>
              <w:rPr>
                <w:rFonts w:ascii="Arial" w:cs="Arial" w:eastAsia="Arial" w:hAnsi="Arial"/>
                <w:sz w:val="18"/>
                <w:szCs w:val="18"/>
                <w:color w:val="auto"/>
              </w:rPr>
              <w:t>March 31, 2023 and 2022 (Unaudited)):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Borders>
              <w:bottom w:val="single" w:sz="8" w:color="0000FF"/>
            </w:tcBorders>
            <w:gridSpan w:val="14"/>
          </w:tcPr>
          <w:p>
            <w:pPr>
              <w:spacing w:after="0" w:line="200" w:lineRule="exact"/>
              <w:rPr>
                <w:sz w:val="20"/>
                <w:szCs w:val="20"/>
                <w:color w:val="auto"/>
              </w:rPr>
            </w:pPr>
            <w:r>
              <w:rPr>
                <w:rFonts w:ascii="Arial" w:cs="Arial" w:eastAsia="Arial" w:hAnsi="Arial"/>
                <w:sz w:val="18"/>
                <w:szCs w:val="18"/>
                <w:color w:val="0000FF"/>
                <w:w w:val="87"/>
              </w:rPr>
              <w:t>Interim Condensed Consolidated Balance Sheets</w:t>
            </w:r>
          </w:p>
        </w:tc>
        <w:tc>
          <w:tcPr>
            <w:tcW w:w="6080" w:type="dxa"/>
            <w:vAlign w:val="bottom"/>
            <w:gridSpan w:val="11"/>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200" w:lineRule="exact"/>
              <w:rPr>
                <w:sz w:val="20"/>
                <w:szCs w:val="20"/>
                <w:color w:val="auto"/>
              </w:rPr>
            </w:pPr>
            <w:r>
              <w:rPr>
                <w:rFonts w:ascii="Arial" w:cs="Arial" w:eastAsia="Arial" w:hAnsi="Arial"/>
                <w:sz w:val="18"/>
                <w:szCs w:val="18"/>
                <w:color w:val="0000FF"/>
                <w:w w:val="99"/>
              </w:rPr>
              <w:t>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40" w:type="dxa"/>
            <w:vAlign w:val="bottom"/>
            <w:gridSpan w:val="25"/>
          </w:tcPr>
          <w:p>
            <w:pPr>
              <w:spacing w:after="0" w:line="205" w:lineRule="exact"/>
              <w:rPr>
                <w:sz w:val="20"/>
                <w:szCs w:val="20"/>
                <w:color w:val="auto"/>
              </w:rPr>
            </w:pPr>
            <w:r>
              <w:rPr>
                <w:rFonts w:ascii="Arial" w:cs="Arial" w:eastAsia="Arial" w:hAnsi="Arial"/>
                <w:sz w:val="18"/>
                <w:szCs w:val="18"/>
                <w:color w:val="0000FF"/>
              </w:rPr>
              <w:t>Interim Condensed Consolidated Statements of Operations and Comprehensive Income (Loss)</w:t>
            </w:r>
          </w:p>
        </w:tc>
        <w:tc>
          <w:tcPr>
            <w:tcW w:w="180" w:type="dxa"/>
            <w:vAlign w:val="bottom"/>
            <w:gridSpan w:val="2"/>
          </w:tcPr>
          <w:p>
            <w:pPr>
              <w:jc w:val="center"/>
              <w:spacing w:after="0" w:line="205" w:lineRule="exact"/>
              <w:rPr>
                <w:sz w:val="20"/>
                <w:szCs w:val="20"/>
                <w:color w:val="auto"/>
              </w:rPr>
            </w:pPr>
            <w:r>
              <w:rPr>
                <w:rFonts w:ascii="Arial" w:cs="Arial" w:eastAsia="Arial" w:hAnsi="Arial"/>
                <w:sz w:val="18"/>
                <w:szCs w:val="18"/>
                <w:color w:val="0000FF"/>
                <w:w w:val="99"/>
              </w:rPr>
              <w:t>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60" w:type="dxa"/>
            <w:vAlign w:val="bottom"/>
            <w:tcBorders>
              <w:top w:val="single" w:sz="8" w:color="0000FF"/>
              <w:bottom w:val="single" w:sz="8" w:color="0000FF"/>
            </w:tcBorders>
            <w:gridSpan w:val="16"/>
          </w:tcPr>
          <w:p>
            <w:pPr>
              <w:spacing w:after="0" w:line="205" w:lineRule="exact"/>
              <w:rPr>
                <w:sz w:val="20"/>
                <w:szCs w:val="20"/>
                <w:color w:val="auto"/>
              </w:rPr>
            </w:pPr>
            <w:r>
              <w:rPr>
                <w:rFonts w:ascii="Arial" w:cs="Arial" w:eastAsia="Arial" w:hAnsi="Arial"/>
                <w:sz w:val="18"/>
                <w:szCs w:val="18"/>
                <w:color w:val="0000FF"/>
                <w:w w:val="88"/>
              </w:rPr>
              <w:t>Interim Condensed Consolidated Statements of Equity</w:t>
            </w:r>
          </w:p>
        </w:tc>
        <w:tc>
          <w:tcPr>
            <w:tcW w:w="2820" w:type="dxa"/>
            <w:vAlign w:val="bottom"/>
            <w:tcBorders>
              <w:top w:val="single" w:sz="8" w:color="0000FF"/>
            </w:tcBorders>
            <w:gridSpan w:val="7"/>
          </w:tcPr>
          <w:p>
            <w:pPr>
              <w:spacing w:after="0"/>
              <w:rPr>
                <w:sz w:val="17"/>
                <w:szCs w:val="17"/>
                <w:color w:val="auto"/>
              </w:rPr>
            </w:pPr>
          </w:p>
        </w:tc>
        <w:tc>
          <w:tcPr>
            <w:tcW w:w="28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99"/>
              </w:rPr>
              <w:t>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20" w:type="dxa"/>
            <w:vAlign w:val="bottom"/>
            <w:tcBorders>
              <w:bottom w:val="single" w:sz="8" w:color="0000FF"/>
            </w:tcBorders>
            <w:gridSpan w:val="17"/>
          </w:tcPr>
          <w:p>
            <w:pPr>
              <w:spacing w:after="0" w:line="205" w:lineRule="exact"/>
              <w:rPr>
                <w:sz w:val="20"/>
                <w:szCs w:val="20"/>
                <w:color w:val="auto"/>
              </w:rPr>
            </w:pPr>
            <w:r>
              <w:rPr>
                <w:rFonts w:ascii="Arial" w:cs="Arial" w:eastAsia="Arial" w:hAnsi="Arial"/>
                <w:sz w:val="18"/>
                <w:szCs w:val="18"/>
                <w:color w:val="0000FF"/>
                <w:w w:val="88"/>
              </w:rPr>
              <w:t>Interim Condensed Consolidated Statements of Cash Flows</w:t>
            </w:r>
          </w:p>
        </w:tc>
        <w:tc>
          <w:tcPr>
            <w:tcW w:w="5320" w:type="dxa"/>
            <w:vAlign w:val="bottom"/>
            <w:gridSpan w:val="8"/>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99"/>
              </w:rPr>
              <w:t>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00" w:type="dxa"/>
            <w:vAlign w:val="bottom"/>
            <w:tcBorders>
              <w:bottom w:val="single" w:sz="8" w:color="0000FF"/>
            </w:tcBorders>
            <w:gridSpan w:val="21"/>
          </w:tcPr>
          <w:p>
            <w:pPr>
              <w:spacing w:after="0" w:line="205" w:lineRule="exact"/>
              <w:rPr>
                <w:sz w:val="20"/>
                <w:szCs w:val="20"/>
                <w:color w:val="auto"/>
              </w:rPr>
            </w:pPr>
            <w:r>
              <w:rPr>
                <w:rFonts w:ascii="Arial" w:cs="Arial" w:eastAsia="Arial" w:hAnsi="Arial"/>
                <w:sz w:val="18"/>
                <w:szCs w:val="18"/>
                <w:color w:val="0000FF"/>
                <w:w w:val="88"/>
              </w:rPr>
              <w:t>Notes to the Interim Condensed Consolidated Financial Statements (Unaudited):</w:t>
            </w:r>
          </w:p>
        </w:tc>
        <w:tc>
          <w:tcPr>
            <w:tcW w:w="384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80" w:type="dxa"/>
            <w:vAlign w:val="bottom"/>
            <w:gridSpan w:val="24"/>
          </w:tcPr>
          <w:p>
            <w:pPr>
              <w:spacing w:after="0" w:line="205" w:lineRule="exact"/>
              <w:rPr>
                <w:sz w:val="20"/>
                <w:szCs w:val="20"/>
                <w:color w:val="auto"/>
              </w:rPr>
            </w:pPr>
            <w:r>
              <w:rPr>
                <w:rFonts w:ascii="Arial" w:cs="Arial" w:eastAsia="Arial" w:hAnsi="Arial"/>
                <w:sz w:val="18"/>
                <w:szCs w:val="18"/>
                <w:color w:val="0000FF"/>
              </w:rPr>
              <w:t>Note 1 — Business, Basis of Presentation and Summary of Significant Accounting Policies</w:t>
            </w:r>
          </w:p>
        </w:tc>
        <w:tc>
          <w:tcPr>
            <w:tcW w:w="180" w:type="dxa"/>
            <w:vAlign w:val="bottom"/>
            <w:gridSpan w:val="2"/>
          </w:tcPr>
          <w:p>
            <w:pPr>
              <w:jc w:val="center"/>
              <w:spacing w:after="0" w:line="205" w:lineRule="exact"/>
              <w:rPr>
                <w:sz w:val="20"/>
                <w:szCs w:val="20"/>
                <w:color w:val="auto"/>
              </w:rPr>
            </w:pPr>
            <w:r>
              <w:rPr>
                <w:rFonts w:ascii="Arial" w:cs="Arial" w:eastAsia="Arial" w:hAnsi="Arial"/>
                <w:sz w:val="18"/>
                <w:szCs w:val="18"/>
                <w:color w:val="0000FF"/>
                <w:w w:val="99"/>
              </w:rPr>
              <w:t>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00" w:type="dxa"/>
            <w:vAlign w:val="bottom"/>
            <w:tcBorders>
              <w:bottom w:val="single" w:sz="8" w:color="0000FF"/>
            </w:tcBorders>
            <w:gridSpan w:val="11"/>
          </w:tcPr>
          <w:p>
            <w:pPr>
              <w:spacing w:after="0" w:line="205" w:lineRule="exact"/>
              <w:rPr>
                <w:sz w:val="20"/>
                <w:szCs w:val="20"/>
                <w:color w:val="auto"/>
              </w:rPr>
            </w:pPr>
            <w:r>
              <w:rPr>
                <w:rFonts w:ascii="Arial" w:cs="Arial" w:eastAsia="Arial" w:hAnsi="Arial"/>
                <w:sz w:val="18"/>
                <w:szCs w:val="18"/>
                <w:color w:val="0000FF"/>
                <w:w w:val="90"/>
              </w:rPr>
              <w:t>Note 2 — ASU 2018-12 Transition</w:t>
            </w:r>
          </w:p>
        </w:tc>
        <w:tc>
          <w:tcPr>
            <w:tcW w:w="3960" w:type="dxa"/>
            <w:vAlign w:val="bottom"/>
            <w:gridSpan w:val="10"/>
          </w:tcPr>
          <w:p>
            <w:pPr>
              <w:spacing w:after="0"/>
              <w:rPr>
                <w:sz w:val="17"/>
                <w:szCs w:val="17"/>
                <w:color w:val="auto"/>
              </w:rPr>
            </w:pPr>
          </w:p>
        </w:tc>
        <w:tc>
          <w:tcPr>
            <w:tcW w:w="292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11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Borders>
              <w:bottom w:val="single" w:sz="8" w:color="0000FF"/>
            </w:tcBorders>
            <w:gridSpan w:val="10"/>
          </w:tcPr>
          <w:p>
            <w:pPr>
              <w:spacing w:after="0" w:line="205" w:lineRule="exact"/>
              <w:rPr>
                <w:sz w:val="20"/>
                <w:szCs w:val="20"/>
                <w:color w:val="auto"/>
              </w:rPr>
            </w:pPr>
            <w:r>
              <w:rPr>
                <w:rFonts w:ascii="Arial" w:cs="Arial" w:eastAsia="Arial" w:hAnsi="Arial"/>
                <w:sz w:val="18"/>
                <w:szCs w:val="18"/>
                <w:color w:val="0000FF"/>
                <w:w w:val="90"/>
              </w:rPr>
              <w:t>Note 3 — Segment Information</w:t>
            </w:r>
          </w:p>
        </w:tc>
        <w:tc>
          <w:tcPr>
            <w:tcW w:w="7120" w:type="dxa"/>
            <w:vAlign w:val="bottom"/>
            <w:gridSpan w:val="14"/>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13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Borders>
              <w:bottom w:val="single" w:sz="8" w:color="0000FF"/>
            </w:tcBorders>
            <w:gridSpan w:val="6"/>
          </w:tcPr>
          <w:p>
            <w:pPr>
              <w:spacing w:after="0" w:line="205" w:lineRule="exact"/>
              <w:rPr>
                <w:sz w:val="20"/>
                <w:szCs w:val="20"/>
                <w:color w:val="auto"/>
              </w:rPr>
            </w:pPr>
            <w:r>
              <w:rPr>
                <w:rFonts w:ascii="Arial" w:cs="Arial" w:eastAsia="Arial" w:hAnsi="Arial"/>
                <w:sz w:val="18"/>
                <w:szCs w:val="18"/>
                <w:color w:val="0000FF"/>
                <w:w w:val="88"/>
              </w:rPr>
              <w:t>Note 4 — Insurance</w:t>
            </w:r>
          </w:p>
        </w:tc>
        <w:tc>
          <w:tcPr>
            <w:tcW w:w="7940" w:type="dxa"/>
            <w:vAlign w:val="bottom"/>
            <w:gridSpan w:val="18"/>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16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80" w:type="dxa"/>
            <w:vAlign w:val="bottom"/>
            <w:gridSpan w:val="24"/>
          </w:tcPr>
          <w:p>
            <w:pPr>
              <w:spacing w:after="0" w:line="205" w:lineRule="exact"/>
              <w:rPr>
                <w:sz w:val="20"/>
                <w:szCs w:val="20"/>
                <w:color w:val="auto"/>
              </w:rPr>
            </w:pPr>
            <w:r>
              <w:rPr>
                <w:rFonts w:ascii="Arial" w:cs="Arial" w:eastAsia="Arial" w:hAnsi="Arial"/>
                <w:sz w:val="18"/>
                <w:szCs w:val="18"/>
                <w:color w:val="0000FF"/>
              </w:rPr>
              <w:t>Note 5 — Deferred Policy Acquisition Costs, Value of Business Acquired and Other Intangibles</w:t>
            </w:r>
          </w:p>
        </w:tc>
        <w:tc>
          <w:tcPr>
            <w:tcW w:w="180" w:type="dxa"/>
            <w:vAlign w:val="bottom"/>
            <w:gridSpan w:val="2"/>
          </w:tcPr>
          <w:p>
            <w:pPr>
              <w:jc w:val="center"/>
              <w:spacing w:after="0" w:line="205" w:lineRule="exact"/>
              <w:rPr>
                <w:sz w:val="20"/>
                <w:szCs w:val="20"/>
                <w:color w:val="auto"/>
              </w:rPr>
            </w:pPr>
            <w:r>
              <w:rPr>
                <w:rFonts w:ascii="Arial" w:cs="Arial" w:eastAsia="Arial" w:hAnsi="Arial"/>
                <w:sz w:val="18"/>
                <w:szCs w:val="18"/>
                <w:color w:val="0000FF"/>
                <w:w w:val="89"/>
              </w:rPr>
              <w:t>23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0" w:type="dxa"/>
            <w:vAlign w:val="bottom"/>
            <w:tcBorders>
              <w:top w:val="single" w:sz="8" w:color="0000FF"/>
            </w:tcBorders>
            <w:gridSpan w:val="23"/>
          </w:tcPr>
          <w:p>
            <w:pPr>
              <w:spacing w:after="0" w:line="205" w:lineRule="exact"/>
              <w:rPr>
                <w:sz w:val="20"/>
                <w:szCs w:val="20"/>
                <w:color w:val="auto"/>
              </w:rPr>
            </w:pPr>
            <w:r>
              <w:rPr>
                <w:rFonts w:ascii="Arial" w:cs="Arial" w:eastAsia="Arial" w:hAnsi="Arial"/>
                <w:sz w:val="18"/>
                <w:szCs w:val="18"/>
                <w:color w:val="0000FF"/>
              </w:rPr>
              <w:t>Note 6 — Investments</w:t>
            </w:r>
          </w:p>
        </w:tc>
        <w:tc>
          <w:tcPr>
            <w:tcW w:w="2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7"/>
                <w:szCs w:val="17"/>
                <w:color w:val="0000FF"/>
                <w:w w:val="73"/>
              </w:rPr>
              <w:t>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Borders>
              <w:top w:val="single" w:sz="8" w:color="0000FF"/>
            </w:tcBorders>
            <w:gridSpan w:val="9"/>
          </w:tcPr>
          <w:p>
            <w:pPr>
              <w:spacing w:after="0" w:line="205" w:lineRule="exact"/>
              <w:rPr>
                <w:sz w:val="20"/>
                <w:szCs w:val="20"/>
                <w:color w:val="auto"/>
              </w:rPr>
            </w:pPr>
            <w:r>
              <w:rPr>
                <w:rFonts w:ascii="Arial" w:cs="Arial" w:eastAsia="Arial" w:hAnsi="Arial"/>
                <w:sz w:val="18"/>
                <w:szCs w:val="18"/>
                <w:color w:val="0000FF"/>
                <w:w w:val="92"/>
              </w:rPr>
              <w:t>Note 7 — Derivatives</w:t>
            </w:r>
          </w:p>
        </w:tc>
        <w:tc>
          <w:tcPr>
            <w:tcW w:w="7780" w:type="dxa"/>
            <w:vAlign w:val="bottom"/>
            <w:gridSpan w:val="15"/>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7"/>
                <w:szCs w:val="17"/>
                <w:color w:val="0000FF"/>
                <w:w w:val="73"/>
              </w:rPr>
              <w:t>36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Borders>
              <w:top w:val="single" w:sz="8" w:color="0000FF"/>
              <w:bottom w:val="single" w:sz="8" w:color="0000FF"/>
            </w:tcBorders>
            <w:gridSpan w:val="7"/>
          </w:tcPr>
          <w:p>
            <w:pPr>
              <w:spacing w:after="0" w:line="205" w:lineRule="exact"/>
              <w:rPr>
                <w:sz w:val="20"/>
                <w:szCs w:val="20"/>
                <w:color w:val="auto"/>
              </w:rPr>
            </w:pPr>
            <w:r>
              <w:rPr>
                <w:rFonts w:ascii="Arial" w:cs="Arial" w:eastAsia="Arial" w:hAnsi="Arial"/>
                <w:sz w:val="18"/>
                <w:szCs w:val="18"/>
                <w:color w:val="0000FF"/>
                <w:w w:val="89"/>
              </w:rPr>
              <w:t>Note 8 — Fair Value</w:t>
            </w:r>
          </w:p>
        </w:tc>
        <w:tc>
          <w:tcPr>
            <w:tcW w:w="80" w:type="dxa"/>
            <w:vAlign w:val="bottom"/>
            <w:tcBorders>
              <w:top w:val="single" w:sz="8" w:color="0000FF"/>
            </w:tcBorders>
          </w:tcPr>
          <w:p>
            <w:pPr>
              <w:spacing w:after="0"/>
              <w:rPr>
                <w:sz w:val="17"/>
                <w:szCs w:val="17"/>
                <w:color w:val="auto"/>
              </w:rPr>
            </w:pPr>
          </w:p>
        </w:tc>
        <w:tc>
          <w:tcPr>
            <w:tcW w:w="7820" w:type="dxa"/>
            <w:vAlign w:val="bottom"/>
            <w:gridSpan w:val="16"/>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7"/>
                <w:szCs w:val="17"/>
                <w:color w:val="0000FF"/>
                <w:w w:val="73"/>
              </w:rPr>
              <w:t>41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Borders>
              <w:bottom w:val="single" w:sz="8" w:color="0000FF"/>
            </w:tcBorders>
            <w:gridSpan w:val="5"/>
          </w:tcPr>
          <w:p>
            <w:pPr>
              <w:spacing w:after="0" w:line="205" w:lineRule="exact"/>
              <w:rPr>
                <w:sz w:val="20"/>
                <w:szCs w:val="20"/>
                <w:color w:val="auto"/>
              </w:rPr>
            </w:pPr>
            <w:r>
              <w:rPr>
                <w:rFonts w:ascii="Arial" w:cs="Arial" w:eastAsia="Arial" w:hAnsi="Arial"/>
                <w:sz w:val="18"/>
                <w:szCs w:val="18"/>
                <w:color w:val="0000FF"/>
                <w:w w:val="91"/>
              </w:rPr>
              <w:t>Note 9 — Equity</w:t>
            </w:r>
          </w:p>
        </w:tc>
        <w:tc>
          <w:tcPr>
            <w:tcW w:w="8160" w:type="dxa"/>
            <w:vAlign w:val="bottom"/>
            <w:gridSpan w:val="19"/>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50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380" w:type="dxa"/>
            <w:vAlign w:val="bottom"/>
            <w:gridSpan w:val="24"/>
          </w:tcPr>
          <w:p>
            <w:pPr>
              <w:spacing w:after="0" w:line="205" w:lineRule="exact"/>
              <w:rPr>
                <w:sz w:val="20"/>
                <w:szCs w:val="20"/>
                <w:color w:val="auto"/>
              </w:rPr>
            </w:pPr>
            <w:r>
              <w:rPr>
                <w:rFonts w:ascii="Arial" w:cs="Arial" w:eastAsia="Arial" w:hAnsi="Arial"/>
                <w:sz w:val="18"/>
                <w:szCs w:val="18"/>
                <w:color w:val="0000FF"/>
              </w:rPr>
              <w:t>Note 10 — Other Revenues and Other Expenses</w:t>
            </w:r>
          </w:p>
        </w:tc>
        <w:tc>
          <w:tcPr>
            <w:tcW w:w="180" w:type="dxa"/>
            <w:vAlign w:val="bottom"/>
            <w:gridSpan w:val="2"/>
          </w:tcPr>
          <w:p>
            <w:pPr>
              <w:jc w:val="center"/>
              <w:spacing w:after="0" w:line="205" w:lineRule="exact"/>
              <w:rPr>
                <w:sz w:val="20"/>
                <w:szCs w:val="20"/>
                <w:color w:val="auto"/>
              </w:rPr>
            </w:pPr>
            <w:r>
              <w:rPr>
                <w:rFonts w:ascii="Arial" w:cs="Arial" w:eastAsia="Arial" w:hAnsi="Arial"/>
                <w:sz w:val="18"/>
                <w:szCs w:val="18"/>
                <w:color w:val="0000FF"/>
                <w:w w:val="89"/>
              </w:rPr>
              <w:t>52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20" w:type="dxa"/>
            <w:vAlign w:val="bottom"/>
            <w:tcBorders>
              <w:top w:val="single" w:sz="8" w:color="0000FF"/>
            </w:tcBorders>
            <w:gridSpan w:val="14"/>
          </w:tcPr>
          <w:p>
            <w:pPr>
              <w:spacing w:after="0" w:line="205" w:lineRule="exact"/>
              <w:rPr>
                <w:sz w:val="20"/>
                <w:szCs w:val="20"/>
                <w:color w:val="auto"/>
              </w:rPr>
            </w:pPr>
            <w:r>
              <w:rPr>
                <w:rFonts w:ascii="Arial" w:cs="Arial" w:eastAsia="Arial" w:hAnsi="Arial"/>
                <w:sz w:val="18"/>
                <w:szCs w:val="18"/>
                <w:color w:val="0000FF"/>
              </w:rPr>
              <w:t>Note 11 — Earnings Per Common Share</w:t>
            </w:r>
          </w:p>
        </w:tc>
        <w:tc>
          <w:tcPr>
            <w:tcW w:w="5960" w:type="dxa"/>
            <w:vAlign w:val="bottom"/>
            <w:gridSpan w:val="10"/>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FF"/>
            </w:tcBorders>
          </w:tcPr>
          <w:p>
            <w:pPr>
              <w:jc w:val="center"/>
              <w:spacing w:after="0"/>
              <w:rPr>
                <w:sz w:val="20"/>
                <w:szCs w:val="20"/>
                <w:color w:val="auto"/>
              </w:rPr>
            </w:pPr>
            <w:r>
              <w:rPr>
                <w:rFonts w:ascii="Arial" w:cs="Arial" w:eastAsia="Arial" w:hAnsi="Arial"/>
                <w:sz w:val="17"/>
                <w:szCs w:val="17"/>
                <w:color w:val="0000FF"/>
                <w:w w:val="73"/>
              </w:rPr>
              <w:t>53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80" w:type="dxa"/>
            <w:vAlign w:val="bottom"/>
            <w:tcBorders>
              <w:bottom w:val="single" w:sz="8" w:color="0000FF"/>
            </w:tcBorders>
            <w:gridSpan w:val="17"/>
          </w:tcPr>
          <w:p>
            <w:pPr>
              <w:spacing w:after="0" w:line="205" w:lineRule="exact"/>
              <w:rPr>
                <w:sz w:val="20"/>
                <w:szCs w:val="20"/>
                <w:color w:val="auto"/>
              </w:rPr>
            </w:pPr>
            <w:r>
              <w:rPr>
                <w:rFonts w:ascii="Arial" w:cs="Arial" w:eastAsia="Arial" w:hAnsi="Arial"/>
                <w:sz w:val="18"/>
                <w:szCs w:val="18"/>
                <w:color w:val="0000FF"/>
                <w:w w:val="88"/>
              </w:rPr>
              <w:t>Note 12 — Contingencies, Commitments and Guarantees</w:t>
            </w:r>
          </w:p>
        </w:tc>
        <w:tc>
          <w:tcPr>
            <w:tcW w:w="5300" w:type="dxa"/>
            <w:vAlign w:val="bottom"/>
            <w:gridSpan w:val="7"/>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54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Item 2.</w:t>
            </w:r>
          </w:p>
        </w:tc>
        <w:tc>
          <w:tcPr>
            <w:tcW w:w="6760" w:type="dxa"/>
            <w:vAlign w:val="bottom"/>
            <w:tcBorders>
              <w:bottom w:val="single" w:sz="8" w:color="0000FF"/>
            </w:tcBorders>
            <w:gridSpan w:val="23"/>
          </w:tcPr>
          <w:p>
            <w:pPr>
              <w:spacing w:after="0" w:line="205" w:lineRule="exact"/>
              <w:rPr>
                <w:sz w:val="20"/>
                <w:szCs w:val="20"/>
                <w:color w:val="auto"/>
              </w:rPr>
            </w:pPr>
            <w:r>
              <w:rPr>
                <w:rFonts w:ascii="Arial" w:cs="Arial" w:eastAsia="Arial" w:hAnsi="Arial"/>
                <w:sz w:val="18"/>
                <w:szCs w:val="18"/>
                <w:b w:val="1"/>
                <w:bCs w:val="1"/>
                <w:color w:val="0000FF"/>
                <w:w w:val="87"/>
              </w:rPr>
              <w:t>Management’s Discussion and Analysis of Financial Condition and Results of Operations</w:t>
            </w:r>
          </w:p>
        </w:tc>
        <w:tc>
          <w:tcPr>
            <w:tcW w:w="292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57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110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Item 3.</w:t>
            </w:r>
          </w:p>
        </w:tc>
        <w:tc>
          <w:tcPr>
            <w:tcW w:w="9680" w:type="dxa"/>
            <w:vAlign w:val="bottom"/>
            <w:gridSpan w:val="26"/>
          </w:tcPr>
          <w:p>
            <w:pPr>
              <w:spacing w:after="0" w:line="205" w:lineRule="exact"/>
              <w:rPr>
                <w:sz w:val="20"/>
                <w:szCs w:val="20"/>
                <w:color w:val="auto"/>
              </w:rPr>
            </w:pPr>
            <w:r>
              <w:rPr>
                <w:rFonts w:ascii="Arial" w:cs="Arial" w:eastAsia="Arial" w:hAnsi="Arial"/>
                <w:sz w:val="18"/>
                <w:szCs w:val="18"/>
                <w:b w:val="1"/>
                <w:bCs w:val="1"/>
                <w:color w:val="0000FF"/>
              </w:rPr>
              <w:t>Quantitative and Qualitative Disclosures About Market Risk</w:t>
            </w:r>
          </w:p>
        </w:tc>
        <w:tc>
          <w:tcPr>
            <w:tcW w:w="180" w:type="dxa"/>
            <w:vAlign w:val="bottom"/>
            <w:gridSpan w:val="2"/>
          </w:tcPr>
          <w:p>
            <w:pPr>
              <w:jc w:val="center"/>
              <w:spacing w:after="0" w:line="205" w:lineRule="exact"/>
              <w:rPr>
                <w:sz w:val="20"/>
                <w:szCs w:val="20"/>
                <w:color w:val="auto"/>
              </w:rPr>
            </w:pPr>
            <w:r>
              <w:rPr>
                <w:rFonts w:ascii="Arial" w:cs="Arial" w:eastAsia="Arial" w:hAnsi="Arial"/>
                <w:sz w:val="18"/>
                <w:szCs w:val="18"/>
                <w:color w:val="0000FF"/>
                <w:w w:val="89"/>
              </w:rPr>
              <w:t>93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85"/>
        </w:trPr>
        <w:tc>
          <w:tcPr>
            <w:tcW w:w="20" w:type="dxa"/>
            <w:vAlign w:val="bottom"/>
          </w:tcPr>
          <w:p>
            <w:pPr>
              <w:spacing w:after="0"/>
              <w:rPr>
                <w:sz w:val="16"/>
                <w:szCs w:val="16"/>
                <w:color w:val="auto"/>
              </w:rPr>
            </w:pPr>
          </w:p>
        </w:tc>
        <w:tc>
          <w:tcPr>
            <w:tcW w:w="1100" w:type="dxa"/>
            <w:vAlign w:val="bottom"/>
            <w:gridSpan w:val="2"/>
          </w:tcPr>
          <w:p>
            <w:pPr>
              <w:ind w:left="100"/>
              <w:spacing w:after="0" w:line="185" w:lineRule="exact"/>
              <w:rPr>
                <w:sz w:val="20"/>
                <w:szCs w:val="20"/>
                <w:color w:val="auto"/>
              </w:rPr>
            </w:pPr>
            <w:r>
              <w:rPr>
                <w:rFonts w:ascii="Arial" w:cs="Arial" w:eastAsia="Arial" w:hAnsi="Arial"/>
                <w:sz w:val="18"/>
                <w:szCs w:val="18"/>
                <w:b w:val="1"/>
                <w:bCs w:val="1"/>
                <w:color w:val="auto"/>
              </w:rPr>
              <w:t>Item 4.</w:t>
            </w:r>
          </w:p>
        </w:tc>
        <w:tc>
          <w:tcPr>
            <w:tcW w:w="4560" w:type="dxa"/>
            <w:vAlign w:val="bottom"/>
            <w:tcBorders>
              <w:top w:val="single" w:sz="8" w:color="0000FF"/>
            </w:tcBorders>
            <w:gridSpan w:val="21"/>
          </w:tcPr>
          <w:p>
            <w:pPr>
              <w:spacing w:after="0" w:line="185" w:lineRule="exact"/>
              <w:rPr>
                <w:sz w:val="20"/>
                <w:szCs w:val="20"/>
                <w:color w:val="auto"/>
              </w:rPr>
            </w:pPr>
            <w:r>
              <w:rPr>
                <w:rFonts w:ascii="Arial" w:cs="Arial" w:eastAsia="Arial" w:hAnsi="Arial"/>
                <w:sz w:val="18"/>
                <w:szCs w:val="18"/>
                <w:b w:val="1"/>
                <w:bCs w:val="1"/>
                <w:color w:val="0000FF"/>
              </w:rPr>
              <w:t>Controls and Procedures</w:t>
            </w:r>
          </w:p>
        </w:tc>
        <w:tc>
          <w:tcPr>
            <w:tcW w:w="5120" w:type="dxa"/>
            <w:vAlign w:val="bottom"/>
            <w:gridSpan w:val="5"/>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0000FF"/>
            </w:tcBorders>
          </w:tcPr>
          <w:p>
            <w:pPr>
              <w:jc w:val="center"/>
              <w:spacing w:after="0" w:line="185" w:lineRule="exact"/>
              <w:rPr>
                <w:sz w:val="20"/>
                <w:szCs w:val="20"/>
                <w:color w:val="auto"/>
              </w:rPr>
            </w:pPr>
            <w:r>
              <w:rPr>
                <w:rFonts w:ascii="Arial" w:cs="Arial" w:eastAsia="Arial" w:hAnsi="Arial"/>
                <w:sz w:val="17"/>
                <w:szCs w:val="17"/>
                <w:color w:val="0000FF"/>
                <w:w w:val="73"/>
              </w:rPr>
              <w:t>97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620" w:type="dxa"/>
            <w:vAlign w:val="bottom"/>
            <w:gridSpan w:val="10"/>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10780" w:type="dxa"/>
            <w:vAlign w:val="bottom"/>
            <w:gridSpan w:val="28"/>
          </w:tcPr>
          <w:p>
            <w:pPr>
              <w:spacing w:after="0"/>
              <w:rPr>
                <w:sz w:val="20"/>
                <w:szCs w:val="20"/>
                <w:color w:val="auto"/>
              </w:rPr>
            </w:pPr>
            <w:r>
              <w:rPr>
                <w:rFonts w:ascii="Arial" w:cs="Arial" w:eastAsia="Arial" w:hAnsi="Arial"/>
                <w:sz w:val="18"/>
                <w:szCs w:val="18"/>
                <w:b w:val="1"/>
                <w:bCs w:val="1"/>
                <w:color w:val="0000FF"/>
              </w:rPr>
              <w:t>Part II — Other Information</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20" w:type="dxa"/>
            <w:vAlign w:val="bottom"/>
            <w:gridSpan w:val="14"/>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110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Item 1.</w:t>
            </w:r>
          </w:p>
        </w:tc>
        <w:tc>
          <w:tcPr>
            <w:tcW w:w="9680" w:type="dxa"/>
            <w:vAlign w:val="bottom"/>
            <w:gridSpan w:val="26"/>
          </w:tcPr>
          <w:p>
            <w:pPr>
              <w:spacing w:after="0" w:line="205" w:lineRule="exact"/>
              <w:rPr>
                <w:sz w:val="20"/>
                <w:szCs w:val="20"/>
                <w:color w:val="auto"/>
              </w:rPr>
            </w:pPr>
            <w:r>
              <w:rPr>
                <w:rFonts w:ascii="Arial" w:cs="Arial" w:eastAsia="Arial" w:hAnsi="Arial"/>
                <w:sz w:val="18"/>
                <w:szCs w:val="18"/>
                <w:b w:val="1"/>
                <w:bCs w:val="1"/>
                <w:color w:val="0000FF"/>
              </w:rPr>
              <w:t>Legal Proceedings</w:t>
            </w:r>
          </w:p>
        </w:tc>
        <w:tc>
          <w:tcPr>
            <w:tcW w:w="180" w:type="dxa"/>
            <w:vAlign w:val="bottom"/>
            <w:gridSpan w:val="2"/>
          </w:tcPr>
          <w:p>
            <w:pPr>
              <w:jc w:val="center"/>
              <w:spacing w:after="0" w:line="205" w:lineRule="exact"/>
              <w:rPr>
                <w:sz w:val="20"/>
                <w:szCs w:val="20"/>
                <w:color w:val="auto"/>
              </w:rPr>
            </w:pPr>
            <w:r>
              <w:rPr>
                <w:rFonts w:ascii="Arial" w:cs="Arial" w:eastAsia="Arial" w:hAnsi="Arial"/>
                <w:sz w:val="18"/>
                <w:szCs w:val="18"/>
                <w:color w:val="0000FF"/>
                <w:w w:val="89"/>
              </w:rPr>
              <w:t>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85"/>
        </w:trPr>
        <w:tc>
          <w:tcPr>
            <w:tcW w:w="20" w:type="dxa"/>
            <w:vAlign w:val="bottom"/>
          </w:tcPr>
          <w:p>
            <w:pPr>
              <w:spacing w:after="0"/>
              <w:rPr>
                <w:sz w:val="16"/>
                <w:szCs w:val="16"/>
                <w:color w:val="auto"/>
              </w:rPr>
            </w:pPr>
          </w:p>
        </w:tc>
        <w:tc>
          <w:tcPr>
            <w:tcW w:w="1100" w:type="dxa"/>
            <w:vAlign w:val="bottom"/>
            <w:gridSpan w:val="2"/>
          </w:tcPr>
          <w:p>
            <w:pPr>
              <w:ind w:left="100"/>
              <w:spacing w:after="0" w:line="185" w:lineRule="exact"/>
              <w:rPr>
                <w:sz w:val="20"/>
                <w:szCs w:val="20"/>
                <w:color w:val="auto"/>
              </w:rPr>
            </w:pPr>
            <w:r>
              <w:rPr>
                <w:rFonts w:ascii="Arial" w:cs="Arial" w:eastAsia="Arial" w:hAnsi="Arial"/>
                <w:sz w:val="18"/>
                <w:szCs w:val="18"/>
                <w:b w:val="1"/>
                <w:bCs w:val="1"/>
                <w:color w:val="auto"/>
              </w:rPr>
              <w:t>Item 1A.</w:t>
            </w:r>
          </w:p>
        </w:tc>
        <w:tc>
          <w:tcPr>
            <w:tcW w:w="1360" w:type="dxa"/>
            <w:vAlign w:val="bottom"/>
            <w:tcBorders>
              <w:top w:val="single" w:sz="8" w:color="0000FF"/>
            </w:tcBorders>
            <w:gridSpan w:val="6"/>
          </w:tcPr>
          <w:p>
            <w:pPr>
              <w:spacing w:after="0" w:line="185" w:lineRule="exact"/>
              <w:rPr>
                <w:sz w:val="20"/>
                <w:szCs w:val="20"/>
                <w:color w:val="auto"/>
              </w:rPr>
            </w:pPr>
            <w:r>
              <w:rPr>
                <w:rFonts w:ascii="Arial" w:cs="Arial" w:eastAsia="Arial" w:hAnsi="Arial"/>
                <w:sz w:val="18"/>
                <w:szCs w:val="18"/>
                <w:b w:val="1"/>
                <w:bCs w:val="1"/>
                <w:color w:val="0000FF"/>
              </w:rPr>
              <w:t>Risk Factors</w:t>
            </w:r>
          </w:p>
        </w:tc>
        <w:tc>
          <w:tcPr>
            <w:tcW w:w="8320" w:type="dxa"/>
            <w:vAlign w:val="bottom"/>
            <w:gridSpan w:val="20"/>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0000FF"/>
            </w:tcBorders>
          </w:tcPr>
          <w:p>
            <w:pPr>
              <w:jc w:val="center"/>
              <w:spacing w:after="0" w:line="185" w:lineRule="exact"/>
              <w:rPr>
                <w:sz w:val="20"/>
                <w:szCs w:val="20"/>
                <w:color w:val="auto"/>
              </w:rPr>
            </w:pPr>
            <w:r>
              <w:rPr>
                <w:rFonts w:ascii="Arial" w:cs="Arial" w:eastAsia="Arial" w:hAnsi="Arial"/>
                <w:sz w:val="17"/>
                <w:szCs w:val="17"/>
                <w:color w:val="0000FF"/>
                <w:w w:val="73"/>
              </w:rPr>
              <w:t>97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540" w:type="dxa"/>
            <w:vAlign w:val="bottom"/>
            <w:gridSpan w:val="16"/>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Item 2.</w:t>
            </w:r>
          </w:p>
        </w:tc>
        <w:tc>
          <w:tcPr>
            <w:tcW w:w="4480" w:type="dxa"/>
            <w:vAlign w:val="bottom"/>
            <w:tcBorders>
              <w:bottom w:val="single" w:sz="8" w:color="0000FF"/>
            </w:tcBorders>
            <w:gridSpan w:val="20"/>
          </w:tcPr>
          <w:p>
            <w:pPr>
              <w:spacing w:after="0" w:line="205" w:lineRule="exact"/>
              <w:rPr>
                <w:sz w:val="20"/>
                <w:szCs w:val="20"/>
                <w:color w:val="auto"/>
              </w:rPr>
            </w:pPr>
            <w:r>
              <w:rPr>
                <w:rFonts w:ascii="Arial" w:cs="Arial" w:eastAsia="Arial" w:hAnsi="Arial"/>
                <w:sz w:val="18"/>
                <w:szCs w:val="18"/>
                <w:b w:val="1"/>
                <w:bCs w:val="1"/>
                <w:color w:val="0000FF"/>
                <w:w w:val="85"/>
              </w:rPr>
              <w:t>Unregistered Sales of Equity Securities and Use of Proceeds</w:t>
            </w:r>
          </w:p>
        </w:tc>
        <w:tc>
          <w:tcPr>
            <w:tcW w:w="520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98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10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Item 6.</w:t>
            </w:r>
          </w:p>
        </w:tc>
        <w:tc>
          <w:tcPr>
            <w:tcW w:w="620" w:type="dxa"/>
            <w:vAlign w:val="bottom"/>
            <w:tcBorders>
              <w:bottom w:val="single" w:sz="8" w:color="0000FF"/>
            </w:tcBorders>
            <w:gridSpan w:val="3"/>
          </w:tcPr>
          <w:p>
            <w:pPr>
              <w:spacing w:after="0" w:line="205" w:lineRule="exact"/>
              <w:rPr>
                <w:sz w:val="20"/>
                <w:szCs w:val="20"/>
                <w:color w:val="auto"/>
              </w:rPr>
            </w:pPr>
            <w:r>
              <w:rPr>
                <w:rFonts w:ascii="Arial" w:cs="Arial" w:eastAsia="Arial" w:hAnsi="Arial"/>
                <w:sz w:val="18"/>
                <w:szCs w:val="18"/>
                <w:b w:val="1"/>
                <w:bCs w:val="1"/>
                <w:color w:val="0000FF"/>
                <w:w w:val="85"/>
              </w:rPr>
              <w:t>Exhibits</w:t>
            </w:r>
          </w:p>
        </w:tc>
        <w:tc>
          <w:tcPr>
            <w:tcW w:w="9060" w:type="dxa"/>
            <w:vAlign w:val="bottom"/>
            <w:gridSpan w:val="23"/>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7"/>
                <w:szCs w:val="17"/>
                <w:color w:val="0000FF"/>
                <w:w w:val="73"/>
              </w:rPr>
              <w:t>99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58"/>
        </w:trPr>
        <w:tc>
          <w:tcPr>
            <w:tcW w:w="20" w:type="dxa"/>
            <w:vAlign w:val="bottom"/>
          </w:tcPr>
          <w:p>
            <w:pPr>
              <w:spacing w:after="0"/>
              <w:rPr>
                <w:sz w:val="22"/>
                <w:szCs w:val="22"/>
                <w:color w:val="auto"/>
              </w:rPr>
            </w:pPr>
          </w:p>
        </w:tc>
        <w:tc>
          <w:tcPr>
            <w:tcW w:w="1100" w:type="dxa"/>
            <w:vAlign w:val="bottom"/>
            <w:gridSpan w:val="2"/>
          </w:tcPr>
          <w:p>
            <w:pPr>
              <w:spacing w:after="0"/>
              <w:rPr>
                <w:sz w:val="20"/>
                <w:szCs w:val="20"/>
                <w:color w:val="auto"/>
              </w:rPr>
            </w:pPr>
            <w:r>
              <w:rPr>
                <w:rFonts w:ascii="Arial" w:cs="Arial" w:eastAsia="Arial" w:hAnsi="Arial"/>
                <w:sz w:val="18"/>
                <w:szCs w:val="18"/>
                <w:b w:val="1"/>
                <w:bCs w:val="1"/>
                <w:color w:val="0000FF"/>
              </w:rPr>
              <w:t>Signature</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440" w:type="dxa"/>
            <w:vAlign w:val="bottom"/>
            <w:gridSpan w:val="4"/>
          </w:tcPr>
          <w:p>
            <w:pPr>
              <w:jc w:val="center"/>
              <w:ind w:right="180"/>
              <w:spacing w:after="0"/>
              <w:rPr>
                <w:sz w:val="20"/>
                <w:szCs w:val="20"/>
                <w:color w:val="auto"/>
              </w:rPr>
            </w:pPr>
            <w:r>
              <w:rPr>
                <w:rFonts w:ascii="Arial" w:cs="Arial" w:eastAsia="Arial" w:hAnsi="Arial"/>
                <w:sz w:val="18"/>
                <w:szCs w:val="18"/>
                <w:color w:val="0000FF"/>
                <w:w w:val="86"/>
              </w:rPr>
              <w:t>100</w:t>
            </w:r>
          </w:p>
        </w:tc>
      </w:tr>
      <w:tr>
        <w:trPr>
          <w:trHeight w:val="1166"/>
        </w:trPr>
        <w:tc>
          <w:tcPr>
            <w:tcW w:w="2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93"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64"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Interim Condensed Consolidated Balance Sheets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2023 (Unaudited) and December 31, 2022</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Pr>
          <w:p>
            <w:pPr>
              <w:spacing w:after="0"/>
              <w:rPr>
                <w:sz w:val="15"/>
                <w:szCs w:val="15"/>
                <w:color w:val="auto"/>
              </w:rPr>
            </w:pPr>
          </w:p>
        </w:tc>
        <w:tc>
          <w:tcPr>
            <w:tcW w:w="1520" w:type="dxa"/>
            <w:vAlign w:val="bottom"/>
          </w:tcPr>
          <w:p>
            <w:pPr>
              <w:jc w:val="right"/>
              <w:ind w:right="209"/>
              <w:spacing w:after="0"/>
              <w:rPr>
                <w:sz w:val="20"/>
                <w:szCs w:val="20"/>
                <w:color w:val="auto"/>
              </w:rPr>
            </w:pPr>
            <w:r>
              <w:rPr>
                <w:rFonts w:ascii="Arial" w:cs="Arial" w:eastAsia="Arial" w:hAnsi="Arial"/>
                <w:sz w:val="14"/>
                <w:szCs w:val="14"/>
                <w:b w:val="1"/>
                <w:bCs w:val="1"/>
                <w:color w:val="auto"/>
                <w:w w:val="96"/>
              </w:rPr>
              <w:t>December 31, 2022</w:t>
            </w:r>
          </w:p>
        </w:tc>
        <w:tc>
          <w:tcPr>
            <w:tcW w:w="0" w:type="dxa"/>
            <w:vAlign w:val="bottom"/>
          </w:tcPr>
          <w:p>
            <w:pPr>
              <w:spacing w:after="0"/>
              <w:rPr>
                <w:sz w:val="1"/>
                <w:szCs w:val="1"/>
                <w:color w:val="auto"/>
              </w:rPr>
            </w:pPr>
          </w:p>
        </w:tc>
      </w:tr>
      <w:tr>
        <w:trPr>
          <w:trHeight w:val="38"/>
        </w:trPr>
        <w:tc>
          <w:tcPr>
            <w:tcW w:w="77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Investments:</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772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color w:val="auto"/>
                <w:w w:val="93"/>
              </w:rPr>
              <w:t>Fixed maturity securities available-for-sale, at estimated fair value (amortized cost: $84,693 and $84,344, respectively; allowance for</w:t>
            </w:r>
          </w:p>
        </w:tc>
        <w:tc>
          <w:tcPr>
            <w:tcW w:w="24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77,685</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75,577</w:t>
            </w:r>
          </w:p>
        </w:tc>
        <w:tc>
          <w:tcPr>
            <w:tcW w:w="0" w:type="dxa"/>
            <w:vAlign w:val="bottom"/>
          </w:tcPr>
          <w:p>
            <w:pPr>
              <w:spacing w:after="0"/>
              <w:rPr>
                <w:sz w:val="1"/>
                <w:szCs w:val="1"/>
                <w:color w:val="auto"/>
              </w:rPr>
            </w:pPr>
          </w:p>
        </w:tc>
      </w:tr>
      <w:tr>
        <w:trPr>
          <w:trHeight w:val="191"/>
        </w:trPr>
        <w:tc>
          <w:tcPr>
            <w:tcW w:w="7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credit losses of $5 and $7, respectively)</w:t>
            </w:r>
          </w:p>
        </w:tc>
        <w:tc>
          <w:tcPr>
            <w:tcW w:w="240" w:type="dxa"/>
            <w:vAlign w:val="bottom"/>
            <w:vMerge w:val="continue"/>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Equity securities, at estimated fair value</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Mortgage loans (net of allowance for credit losses of $136 and $119, respectively)</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22,936</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Policy loans</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1,273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1,282</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Limited partnerships and limited liability companies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4,775</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Short-term investments, principally at estimated fair value</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1,386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1,081</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invested assets, principally at estimated fair value (net of allowance for credit losses of $13 and $13, respectively)</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2,852</w:t>
            </w:r>
          </w:p>
        </w:tc>
        <w:tc>
          <w:tcPr>
            <w:tcW w:w="0" w:type="dxa"/>
            <w:vAlign w:val="bottom"/>
          </w:tcPr>
          <w:p>
            <w:pPr>
              <w:spacing w:after="0"/>
              <w:rPr>
                <w:sz w:val="1"/>
                <w:szCs w:val="1"/>
                <w:color w:val="auto"/>
              </w:rPr>
            </w:pP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color w:val="auto"/>
              </w:rPr>
              <w:t>Total investments</w:t>
            </w: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111,290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108,592</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4,115</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Accrued investment income</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985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885</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Premiums, reinsurance and other receivables (net of allowance for credit losses of $10 and $10, respectively)</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18,548</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Deferred policy acquisition costs and value of business acquired</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5,027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5,084</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income tax recoverable</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Deferred income tax asset</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1,673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1,736</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 risk benefit assets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395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201"/>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Separate account assets</w:t>
            </w:r>
          </w:p>
        </w:tc>
        <w:tc>
          <w:tcPr>
            <w:tcW w:w="2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87,440</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84,965</w:t>
            </w:r>
          </w:p>
        </w:tc>
        <w:tc>
          <w:tcPr>
            <w:tcW w:w="0" w:type="dxa"/>
            <w:vAlign w:val="bottom"/>
          </w:tcPr>
          <w:p>
            <w:pPr>
              <w:spacing w:after="0"/>
              <w:rPr>
                <w:sz w:val="1"/>
                <w:szCs w:val="1"/>
                <w:color w:val="auto"/>
              </w:rPr>
            </w:pPr>
          </w:p>
        </w:tc>
      </w:tr>
      <w:tr>
        <w:trPr>
          <w:trHeight w:val="199"/>
        </w:trPr>
        <w:tc>
          <w:tcPr>
            <w:tcW w:w="772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230,002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224,847</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Future policy benefits</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32,286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31,497</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Policyholder account balances</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76,120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73,527</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 risk benefit liabilities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10,389</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Other policy-related balances</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3,816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4,098</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Payables for collateral under securities loaned and other transactions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4,560</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3,157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3,156</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7,057</w:t>
            </w:r>
          </w:p>
        </w:tc>
        <w:tc>
          <w:tcPr>
            <w:tcW w:w="0" w:type="dxa"/>
            <w:vAlign w:val="bottom"/>
          </w:tcPr>
          <w:p>
            <w:pPr>
              <w:spacing w:after="0"/>
              <w:rPr>
                <w:sz w:val="1"/>
                <w:szCs w:val="1"/>
                <w:color w:val="auto"/>
              </w:rPr>
            </w:pPr>
          </w:p>
        </w:tc>
      </w:tr>
      <w:tr>
        <w:trPr>
          <w:trHeight w:val="192"/>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Separate account liabilities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87,440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84,965</w:t>
            </w:r>
          </w:p>
        </w:tc>
        <w:tc>
          <w:tcPr>
            <w:tcW w:w="0" w:type="dxa"/>
            <w:vAlign w:val="bottom"/>
          </w:tcPr>
          <w:p>
            <w:pPr>
              <w:spacing w:after="0"/>
              <w:rPr>
                <w:sz w:val="1"/>
                <w:szCs w:val="1"/>
                <w:color w:val="auto"/>
              </w:rPr>
            </w:pPr>
          </w:p>
        </w:tc>
      </w:tr>
      <w:tr>
        <w:trPr>
          <w:trHeight w:val="19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224,183</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219,249</w:t>
            </w:r>
          </w:p>
        </w:tc>
        <w:tc>
          <w:tcPr>
            <w:tcW w:w="0" w:type="dxa"/>
            <w:vAlign w:val="bottom"/>
          </w:tcPr>
          <w:p>
            <w:pPr>
              <w:spacing w:after="0"/>
              <w:rPr>
                <w:sz w:val="1"/>
                <w:szCs w:val="1"/>
                <w:color w:val="auto"/>
              </w:rPr>
            </w:pPr>
          </w:p>
        </w:tc>
      </w:tr>
      <w:tr>
        <w:trPr>
          <w:trHeight w:val="171"/>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Contingencies, Commitments and Guarantees (Note 12)</w:t>
            </w:r>
          </w:p>
        </w:tc>
        <w:tc>
          <w:tcPr>
            <w:tcW w:w="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Brighthouse Financial, Inc.’s stockholders’ equity:</w:t>
            </w:r>
          </w:p>
        </w:tc>
        <w:tc>
          <w:tcPr>
            <w:tcW w:w="2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 par value $0.01 per share; $1,753 aggregate liquidation preference</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7720" w:type="dxa"/>
            <w:vAlign w:val="bottom"/>
          </w:tcPr>
          <w:p>
            <w:pPr>
              <w:ind w:left="20"/>
              <w:spacing w:after="0" w:line="141" w:lineRule="exact"/>
              <w:rPr>
                <w:sz w:val="20"/>
                <w:szCs w:val="20"/>
                <w:color w:val="auto"/>
              </w:rPr>
            </w:pPr>
            <w:r>
              <w:rPr>
                <w:rFonts w:ascii="Arial" w:cs="Arial" w:eastAsia="Arial" w:hAnsi="Arial"/>
                <w:sz w:val="14"/>
                <w:szCs w:val="14"/>
                <w:color w:val="auto"/>
              </w:rPr>
              <w:t>Common stock, par value $0.01 per share; 1,000,000,000 shares authorized; 122,717,866 and 122,153,422 shares issued,</w:t>
            </w:r>
          </w:p>
        </w:tc>
        <w:tc>
          <w:tcPr>
            <w:tcW w:w="240" w:type="dxa"/>
            <w:vAlign w:val="bottom"/>
          </w:tcPr>
          <w:p>
            <w:pPr>
              <w:spacing w:after="0"/>
              <w:rPr>
                <w:sz w:val="12"/>
                <w:szCs w:val="12"/>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5"/>
        </w:trPr>
        <w:tc>
          <w:tcPr>
            <w:tcW w:w="7720" w:type="dxa"/>
            <w:vAlign w:val="bottom"/>
          </w:tcPr>
          <w:p>
            <w:pPr>
              <w:ind w:left="180"/>
              <w:spacing w:after="0"/>
              <w:rPr>
                <w:sz w:val="20"/>
                <w:szCs w:val="20"/>
                <w:color w:val="auto"/>
              </w:rPr>
            </w:pPr>
            <w:r>
              <w:rPr>
                <w:rFonts w:ascii="Arial" w:cs="Arial" w:eastAsia="Arial" w:hAnsi="Arial"/>
                <w:sz w:val="14"/>
                <w:szCs w:val="14"/>
                <w:color w:val="auto"/>
              </w:rPr>
              <w:t>respectively; 67,401,618 and 68,278,068 shares outstanding, respectively</w:t>
            </w:r>
          </w:p>
        </w:tc>
        <w:tc>
          <w:tcPr>
            <w:tcW w:w="2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14,054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14,075</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Arial" w:cs="Arial" w:eastAsia="Arial" w:hAnsi="Arial"/>
                <w:sz w:val="14"/>
                <w:szCs w:val="14"/>
                <w:color w:val="auto"/>
              </w:rPr>
              <w:t>Retained earnings (deficit)</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(894)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Treasury stock, at cost; 55,316,248 and 53,875,354 shares, respectively</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(2,042)</w:t>
            </w:r>
          </w:p>
        </w:tc>
        <w:tc>
          <w:tcPr>
            <w:tcW w:w="0" w:type="dxa"/>
            <w:vAlign w:val="bottom"/>
          </w:tcPr>
          <w:p>
            <w:pPr>
              <w:spacing w:after="0"/>
              <w:rPr>
                <w:sz w:val="1"/>
                <w:szCs w:val="1"/>
                <w:color w:val="auto"/>
              </w:rPr>
            </w:pPr>
          </w:p>
        </w:tc>
      </w:tr>
      <w:tr>
        <w:trPr>
          <w:trHeight w:val="192"/>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(6,106)</w:t>
            </w:r>
          </w:p>
        </w:tc>
        <w:tc>
          <w:tcPr>
            <w:tcW w:w="0" w:type="dxa"/>
            <w:vAlign w:val="bottom"/>
          </w:tcPr>
          <w:p>
            <w:pPr>
              <w:spacing w:after="0"/>
              <w:rPr>
                <w:sz w:val="1"/>
                <w:szCs w:val="1"/>
                <w:color w:val="auto"/>
              </w:rPr>
            </w:pPr>
          </w:p>
        </w:tc>
      </w:tr>
      <w:tr>
        <w:trPr>
          <w:trHeight w:val="19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Brighthouse Financial, Inc.’s stockholders’ equity</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5,533</w:t>
            </w:r>
          </w:p>
        </w:tc>
        <w:tc>
          <w:tcPr>
            <w:tcW w:w="0" w:type="dxa"/>
            <w:vAlign w:val="bottom"/>
          </w:tcPr>
          <w:p>
            <w:pPr>
              <w:spacing w:after="0"/>
              <w:rPr>
                <w:sz w:val="1"/>
                <w:szCs w:val="1"/>
                <w:color w:val="auto"/>
              </w:rPr>
            </w:pPr>
          </w:p>
        </w:tc>
      </w:tr>
      <w:tr>
        <w:trPr>
          <w:trHeight w:val="192"/>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92"/>
        </w:trPr>
        <w:tc>
          <w:tcPr>
            <w:tcW w:w="7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equity</w:t>
            </w:r>
          </w:p>
        </w:tc>
        <w:tc>
          <w:tcPr>
            <w:tcW w:w="2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5,819</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5,598</w:t>
            </w:r>
          </w:p>
        </w:tc>
        <w:tc>
          <w:tcPr>
            <w:tcW w:w="0" w:type="dxa"/>
            <w:vAlign w:val="bottom"/>
          </w:tcPr>
          <w:p>
            <w:pPr>
              <w:spacing w:after="0"/>
              <w:rPr>
                <w:sz w:val="1"/>
                <w:szCs w:val="1"/>
                <w:color w:val="auto"/>
              </w:rPr>
            </w:pPr>
          </w:p>
        </w:tc>
      </w:tr>
      <w:tr>
        <w:trPr>
          <w:trHeight w:val="199"/>
        </w:trPr>
        <w:tc>
          <w:tcPr>
            <w:tcW w:w="7720" w:type="dxa"/>
            <w:vAlign w:val="bottom"/>
          </w:tcPr>
          <w:p>
            <w:pPr>
              <w:ind w:left="180"/>
              <w:spacing w:after="0"/>
              <w:rPr>
                <w:sz w:val="20"/>
                <w:szCs w:val="20"/>
                <w:color w:val="auto"/>
              </w:rPr>
            </w:pPr>
            <w:r>
              <w:rPr>
                <w:rFonts w:ascii="Arial" w:cs="Arial" w:eastAsia="Arial" w:hAnsi="Arial"/>
                <w:sz w:val="14"/>
                <w:szCs w:val="14"/>
                <w:color w:val="auto"/>
              </w:rPr>
              <w:t>Total liabilities and equity</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230,002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224,847</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interim condensed consolidated financial statements.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94615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Interim Condensed Consolidated Statements of Operations and Comprehensive Income (Loss)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2023 and 2022 (Unaudited)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6"/>
                <w:szCs w:val="16"/>
                <w:color w:val="auto"/>
              </w:rPr>
            </w:pPr>
          </w:p>
        </w:tc>
      </w:tr>
      <w:tr>
        <w:trPr>
          <w:trHeight w:val="38"/>
        </w:trPr>
        <w:tc>
          <w:tcPr>
            <w:tcW w:w="20" w:type="dxa"/>
            <w:vAlign w:val="bottom"/>
            <w:tcBorders>
              <w:bottom w:val="single" w:sz="8" w:color="CCEEFF"/>
            </w:tcBorders>
          </w:tcPr>
          <w:p>
            <w:pPr>
              <w:spacing w:after="0"/>
              <w:rPr>
                <w:sz w:val="3"/>
                <w:szCs w:val="3"/>
                <w:color w:val="auto"/>
              </w:rPr>
            </w:pPr>
          </w:p>
        </w:tc>
        <w:tc>
          <w:tcPr>
            <w:tcW w:w="84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192"/>
        </w:trPr>
        <w:tc>
          <w:tcPr>
            <w:tcW w:w="20" w:type="dxa"/>
            <w:vAlign w:val="bottom"/>
            <w:shd w:val="clear" w:color="auto" w:fill="CCEEFF"/>
          </w:tcPr>
          <w:p>
            <w:pPr>
              <w:spacing w:after="0"/>
              <w:rPr>
                <w:sz w:val="16"/>
                <w:szCs w:val="16"/>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Revenues</w:t>
            </w: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Premiums</w:t>
            </w:r>
          </w:p>
        </w:tc>
        <w:tc>
          <w:tcPr>
            <w:tcW w:w="880" w:type="dxa"/>
            <w:vAlign w:val="bottom"/>
            <w:gridSpan w:val="2"/>
          </w:tcPr>
          <w:p>
            <w:pPr>
              <w:jc w:val="right"/>
              <w:ind w:right="68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197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166</w:t>
            </w:r>
          </w:p>
        </w:tc>
        <w:tc>
          <w:tcPr>
            <w:tcW w:w="20" w:type="dxa"/>
            <w:vAlign w:val="bottom"/>
          </w:tcPr>
          <w:p>
            <w:pPr>
              <w:spacing w:after="0"/>
              <w:rPr>
                <w:sz w:val="18"/>
                <w:szCs w:val="18"/>
                <w:color w:val="auto"/>
              </w:rPr>
            </w:pPr>
          </w:p>
        </w:tc>
      </w:tr>
      <w:tr>
        <w:trPr>
          <w:trHeight w:val="215"/>
        </w:trPr>
        <w:tc>
          <w:tcPr>
            <w:tcW w:w="20" w:type="dxa"/>
            <w:vAlign w:val="bottom"/>
            <w:shd w:val="clear" w:color="auto" w:fill="CCEEFF"/>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6"/>
                <w:szCs w:val="16"/>
                <w:color w:val="auto"/>
              </w:rPr>
              <w:t>Universal life and investment-type product policy fees</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Net investment income</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9"/>
              </w:rPr>
              <w:t>1,059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1,151</w:t>
            </w:r>
          </w:p>
        </w:tc>
        <w:tc>
          <w:tcPr>
            <w:tcW w:w="20" w:type="dxa"/>
            <w:vAlign w:val="bottom"/>
          </w:tcPr>
          <w:p>
            <w:pPr>
              <w:spacing w:after="0"/>
              <w:rPr>
                <w:sz w:val="18"/>
                <w:szCs w:val="18"/>
                <w:color w:val="auto"/>
              </w:rPr>
            </w:pPr>
          </w:p>
        </w:tc>
      </w:tr>
      <w:tr>
        <w:trPr>
          <w:trHeight w:val="214"/>
        </w:trPr>
        <w:tc>
          <w:tcPr>
            <w:tcW w:w="20" w:type="dxa"/>
            <w:vAlign w:val="bottom"/>
            <w:shd w:val="clear" w:color="auto" w:fill="CCEEFF"/>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6"/>
                <w:szCs w:val="16"/>
                <w:color w:val="auto"/>
              </w:rPr>
              <w:t>Other revenues</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2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Net investment gains (losses)</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w:t>
            </w:r>
          </w:p>
        </w:tc>
        <w:tc>
          <w:tcPr>
            <w:tcW w:w="20" w:type="dxa"/>
            <w:vAlign w:val="bottom"/>
          </w:tcPr>
          <w:p>
            <w:pPr>
              <w:spacing w:after="0"/>
              <w:rPr>
                <w:sz w:val="18"/>
                <w:szCs w:val="18"/>
                <w:color w:val="auto"/>
              </w:rPr>
            </w:pPr>
          </w:p>
        </w:tc>
      </w:tr>
      <w:tr>
        <w:trPr>
          <w:trHeight w:val="214"/>
        </w:trPr>
        <w:tc>
          <w:tcPr>
            <w:tcW w:w="20" w:type="dxa"/>
            <w:vAlign w:val="bottom"/>
            <w:shd w:val="clear" w:color="auto" w:fill="CCEEFF"/>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6"/>
                <w:szCs w:val="16"/>
                <w:color w:val="auto"/>
              </w:rPr>
              <w:t>Net derivative gains (losses)</w:t>
            </w:r>
          </w:p>
        </w:tc>
        <w:tc>
          <w:tcPr>
            <w:tcW w:w="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(575)</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0" w:type="dxa"/>
            <w:vAlign w:val="bottom"/>
            <w:tcBorders>
              <w:bottom w:val="single" w:sz="8" w:color="auto"/>
            </w:tcBorders>
            <w:shd w:val="clear" w:color="auto" w:fill="CCEEFF"/>
          </w:tcPr>
          <w:p>
            <w:pPr>
              <w:spacing w:after="0"/>
              <w:rPr>
                <w:sz w:val="18"/>
                <w:szCs w:val="18"/>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842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Total revenues</w:t>
            </w:r>
          </w:p>
        </w:tc>
        <w:tc>
          <w:tcPr>
            <w:tcW w:w="4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1,284</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2,013</w:t>
            </w:r>
          </w:p>
        </w:tc>
        <w:tc>
          <w:tcPr>
            <w:tcW w:w="20" w:type="dxa"/>
            <w:vAlign w:val="bottom"/>
            <w:tcBorders>
              <w:bottom w:val="single" w:sz="8" w:color="auto"/>
            </w:tcBorders>
          </w:tcPr>
          <w:p>
            <w:pPr>
              <w:spacing w:after="0"/>
              <w:rPr>
                <w:sz w:val="17"/>
                <w:szCs w:val="17"/>
                <w:color w:val="auto"/>
              </w:rPr>
            </w:pPr>
          </w:p>
        </w:tc>
      </w:tr>
      <w:tr>
        <w:trPr>
          <w:trHeight w:val="194"/>
        </w:trPr>
        <w:tc>
          <w:tcPr>
            <w:tcW w:w="20" w:type="dxa"/>
            <w:vAlign w:val="bottom"/>
            <w:shd w:val="clear" w:color="auto" w:fill="CCEEFF"/>
          </w:tcPr>
          <w:p>
            <w:pPr>
              <w:spacing w:after="0"/>
              <w:rPr>
                <w:sz w:val="16"/>
                <w:szCs w:val="16"/>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Expenses</w:t>
            </w:r>
          </w:p>
        </w:tc>
        <w:tc>
          <w:tcPr>
            <w:tcW w:w="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Policyholder benefits and claims (including liability remeasurement gains (losses) of $0 and $0, respectively)</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687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675</w:t>
            </w:r>
          </w:p>
        </w:tc>
        <w:tc>
          <w:tcPr>
            <w:tcW w:w="20" w:type="dxa"/>
            <w:vAlign w:val="bottom"/>
          </w:tcPr>
          <w:p>
            <w:pPr>
              <w:spacing w:after="0"/>
              <w:rPr>
                <w:sz w:val="18"/>
                <w:szCs w:val="18"/>
                <w:color w:val="auto"/>
              </w:rPr>
            </w:pPr>
          </w:p>
        </w:tc>
      </w:tr>
      <w:tr>
        <w:trPr>
          <w:trHeight w:val="214"/>
        </w:trPr>
        <w:tc>
          <w:tcPr>
            <w:tcW w:w="20" w:type="dxa"/>
            <w:vAlign w:val="bottom"/>
            <w:shd w:val="clear" w:color="auto" w:fill="CCEEFF"/>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6"/>
                <w:szCs w:val="16"/>
                <w:color w:val="auto"/>
              </w:rPr>
              <w:t>Interest credited to policyholder account balances</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Amortization of deferred policy acquisition costs and value of business acquired</w:t>
            </w: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156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157</w:t>
            </w:r>
          </w:p>
        </w:tc>
        <w:tc>
          <w:tcPr>
            <w:tcW w:w="20" w:type="dxa"/>
            <w:vAlign w:val="bottom"/>
          </w:tcPr>
          <w:p>
            <w:pPr>
              <w:spacing w:after="0"/>
              <w:rPr>
                <w:sz w:val="18"/>
                <w:szCs w:val="18"/>
                <w:color w:val="auto"/>
              </w:rPr>
            </w:pPr>
          </w:p>
        </w:tc>
      </w:tr>
      <w:tr>
        <w:trPr>
          <w:trHeight w:val="215"/>
        </w:trPr>
        <w:tc>
          <w:tcPr>
            <w:tcW w:w="20" w:type="dxa"/>
            <w:vAlign w:val="bottom"/>
            <w:shd w:val="clear" w:color="auto" w:fill="CCEEFF"/>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6"/>
                <w:szCs w:val="16"/>
                <w:color w:val="auto"/>
              </w:rPr>
              <w:t>Change in market risk benefits</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w:t>
            </w:r>
          </w:p>
        </w:tc>
        <w:tc>
          <w:tcPr>
            <w:tcW w:w="20" w:type="dxa"/>
            <w:vAlign w:val="bottom"/>
            <w:shd w:val="clear" w:color="auto" w:fill="CCEEFF"/>
          </w:tcPr>
          <w:p>
            <w:pPr>
              <w:spacing w:after="0"/>
              <w:rPr>
                <w:sz w:val="18"/>
                <w:szCs w:val="18"/>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84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expenses</w:t>
            </w:r>
          </w:p>
        </w:tc>
        <w:tc>
          <w:tcPr>
            <w:tcW w:w="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w:t>
            </w:r>
          </w:p>
        </w:tc>
        <w:tc>
          <w:tcPr>
            <w:tcW w:w="20" w:type="dxa"/>
            <w:vAlign w:val="bottom"/>
            <w:tcBorders>
              <w:bottom w:val="single" w:sz="8" w:color="auto"/>
            </w:tcBorders>
          </w:tcPr>
          <w:p>
            <w:pPr>
              <w:spacing w:after="0"/>
              <w:rPr>
                <w:sz w:val="18"/>
                <w:szCs w:val="18"/>
                <w:color w:val="auto"/>
              </w:rPr>
            </w:pPr>
          </w:p>
        </w:tc>
      </w:tr>
      <w:tr>
        <w:trPr>
          <w:trHeight w:val="208"/>
        </w:trPr>
        <w:tc>
          <w:tcPr>
            <w:tcW w:w="20" w:type="dxa"/>
            <w:vAlign w:val="bottom"/>
            <w:shd w:val="clear" w:color="auto" w:fill="CCEEFF"/>
          </w:tcPr>
          <w:p>
            <w:pPr>
              <w:spacing w:after="0"/>
              <w:rPr>
                <w:sz w:val="18"/>
                <w:szCs w:val="18"/>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expenses</w:t>
            </w:r>
          </w:p>
        </w:tc>
        <w:tc>
          <w:tcPr>
            <w:tcW w:w="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1,937</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auto"/>
            </w:tcBorders>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420" w:type="dxa"/>
            <w:vAlign w:val="bottom"/>
          </w:tcPr>
          <w:p>
            <w:pPr>
              <w:spacing w:after="0"/>
              <w:rPr>
                <w:sz w:val="20"/>
                <w:szCs w:val="20"/>
                <w:color w:val="auto"/>
              </w:rPr>
            </w:pPr>
            <w:r>
              <w:rPr>
                <w:rFonts w:ascii="Arial" w:cs="Arial" w:eastAsia="Arial" w:hAnsi="Arial"/>
                <w:sz w:val="16"/>
                <w:szCs w:val="16"/>
                <w:color w:val="auto"/>
              </w:rPr>
              <w:t>Income (loss) before provision for income tax</w:t>
            </w: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(653)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2,003</w:t>
            </w:r>
          </w:p>
        </w:tc>
        <w:tc>
          <w:tcPr>
            <w:tcW w:w="20" w:type="dxa"/>
            <w:vAlign w:val="bottom"/>
          </w:tcPr>
          <w:p>
            <w:pPr>
              <w:spacing w:after="0"/>
              <w:rPr>
                <w:sz w:val="17"/>
                <w:szCs w:val="17"/>
                <w:color w:val="auto"/>
              </w:rPr>
            </w:pPr>
          </w:p>
        </w:tc>
      </w:tr>
      <w:tr>
        <w:trPr>
          <w:trHeight w:val="214"/>
        </w:trPr>
        <w:tc>
          <w:tcPr>
            <w:tcW w:w="20" w:type="dxa"/>
            <w:vAlign w:val="bottom"/>
            <w:shd w:val="clear" w:color="auto" w:fill="CCEEFF"/>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 expense (benefit)</w:t>
            </w:r>
          </w:p>
        </w:tc>
        <w:tc>
          <w:tcPr>
            <w:tcW w:w="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(156)</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20" w:type="dxa"/>
            <w:vAlign w:val="bottom"/>
            <w:tcBorders>
              <w:bottom w:val="single" w:sz="8" w:color="auto"/>
            </w:tcBorders>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420" w:type="dxa"/>
            <w:vAlign w:val="bottom"/>
          </w:tcPr>
          <w:p>
            <w:pPr>
              <w:ind w:left="160"/>
              <w:spacing w:after="0"/>
              <w:rPr>
                <w:sz w:val="20"/>
                <w:szCs w:val="20"/>
                <w:color w:val="auto"/>
              </w:rPr>
            </w:pPr>
            <w:r>
              <w:rPr>
                <w:rFonts w:ascii="Arial" w:cs="Arial" w:eastAsia="Arial" w:hAnsi="Arial"/>
                <w:sz w:val="16"/>
                <w:szCs w:val="16"/>
                <w:color w:val="auto"/>
              </w:rPr>
              <w:t>Net income (loss)</w:t>
            </w: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(497)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1,587</w:t>
            </w:r>
          </w:p>
        </w:tc>
        <w:tc>
          <w:tcPr>
            <w:tcW w:w="20" w:type="dxa"/>
            <w:vAlign w:val="bottom"/>
          </w:tcPr>
          <w:p>
            <w:pPr>
              <w:spacing w:after="0"/>
              <w:rPr>
                <w:sz w:val="17"/>
                <w:szCs w:val="17"/>
                <w:color w:val="auto"/>
              </w:rPr>
            </w:pPr>
          </w:p>
        </w:tc>
      </w:tr>
      <w:tr>
        <w:trPr>
          <w:trHeight w:val="214"/>
        </w:trPr>
        <w:tc>
          <w:tcPr>
            <w:tcW w:w="20" w:type="dxa"/>
            <w:vAlign w:val="bottom"/>
            <w:shd w:val="clear" w:color="auto" w:fill="CCEEFF"/>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6"/>
                <w:szCs w:val="16"/>
                <w:color w:val="auto"/>
              </w:rPr>
              <w:t>Less: Net income (loss) attributable to noncontrolling interests</w:t>
            </w:r>
          </w:p>
        </w:tc>
        <w:tc>
          <w:tcPr>
            <w:tcW w:w="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auto"/>
            </w:tcBorders>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420" w:type="dxa"/>
            <w:vAlign w:val="bottom"/>
          </w:tcPr>
          <w:p>
            <w:pPr>
              <w:ind w:left="160"/>
              <w:spacing w:after="0"/>
              <w:rPr>
                <w:sz w:val="20"/>
                <w:szCs w:val="20"/>
                <w:color w:val="auto"/>
              </w:rPr>
            </w:pPr>
            <w:r>
              <w:rPr>
                <w:rFonts w:ascii="Arial" w:cs="Arial" w:eastAsia="Arial" w:hAnsi="Arial"/>
                <w:sz w:val="16"/>
                <w:szCs w:val="16"/>
                <w:color w:val="auto"/>
              </w:rPr>
              <w:t>Net income (loss) attributable to Brighthouse Financial, Inc.</w:t>
            </w: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(499)</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1,585</w:t>
            </w:r>
          </w:p>
        </w:tc>
        <w:tc>
          <w:tcPr>
            <w:tcW w:w="20" w:type="dxa"/>
            <w:vAlign w:val="bottom"/>
          </w:tcPr>
          <w:p>
            <w:pPr>
              <w:spacing w:after="0"/>
              <w:rPr>
                <w:sz w:val="17"/>
                <w:szCs w:val="17"/>
                <w:color w:val="auto"/>
              </w:rPr>
            </w:pPr>
          </w:p>
        </w:tc>
      </w:tr>
      <w:tr>
        <w:trPr>
          <w:trHeight w:val="212"/>
        </w:trPr>
        <w:tc>
          <w:tcPr>
            <w:tcW w:w="20" w:type="dxa"/>
            <w:vAlign w:val="bottom"/>
            <w:shd w:val="clear" w:color="auto" w:fill="CCEEFF"/>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6"/>
                <w:szCs w:val="16"/>
                <w:color w:val="auto"/>
              </w:rPr>
              <w:t>Less: Preferred stock dividends</w:t>
            </w:r>
          </w:p>
        </w:tc>
        <w:tc>
          <w:tcPr>
            <w:tcW w:w="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 w:type="dxa"/>
            <w:vAlign w:val="bottom"/>
            <w:tcBorders>
              <w:bottom w:val="single" w:sz="8" w:color="auto"/>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8420" w:type="dxa"/>
            <w:vAlign w:val="bottom"/>
          </w:tcPr>
          <w:p>
            <w:pPr>
              <w:ind w:left="16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880" w:type="dxa"/>
            <w:vAlign w:val="bottom"/>
            <w:gridSpan w:val="2"/>
          </w:tcPr>
          <w:p>
            <w:pPr>
              <w:jc w:val="right"/>
              <w:ind w:right="689"/>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(525)</w:t>
            </w:r>
          </w:p>
        </w:tc>
        <w:tc>
          <w:tcPr>
            <w:tcW w:w="80" w:type="dxa"/>
            <w:vAlign w:val="bottom"/>
          </w:tcPr>
          <w:p>
            <w:pPr>
              <w:spacing w:after="0"/>
              <w:rPr>
                <w:sz w:val="18"/>
                <w:szCs w:val="18"/>
                <w:color w:val="auto"/>
              </w:rPr>
            </w:pP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1,558</w:t>
            </w:r>
          </w:p>
        </w:tc>
        <w:tc>
          <w:tcPr>
            <w:tcW w:w="20" w:type="dxa"/>
            <w:vAlign w:val="bottom"/>
          </w:tcPr>
          <w:p>
            <w:pPr>
              <w:spacing w:after="0"/>
              <w:rPr>
                <w:sz w:val="18"/>
                <w:szCs w:val="18"/>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 (loss)</w:t>
            </w:r>
          </w:p>
        </w:tc>
        <w:tc>
          <w:tcPr>
            <w:tcW w:w="880" w:type="dxa"/>
            <w:vAlign w:val="bottom"/>
            <w:gridSpan w:val="2"/>
            <w:shd w:val="clear" w:color="auto" w:fill="CCEEFF"/>
          </w:tcPr>
          <w:p>
            <w:pPr>
              <w:jc w:val="right"/>
              <w:ind w:right="68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20" w:type="dxa"/>
            <w:vAlign w:val="bottom"/>
            <w:shd w:val="clear" w:color="auto" w:fill="CCEEFF"/>
          </w:tcPr>
          <w:p>
            <w:pPr>
              <w:spacing w:after="0"/>
              <w:rPr>
                <w:sz w:val="17"/>
                <w:szCs w:val="17"/>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84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Comprehensive income (loss) attributable to noncontrolling interests</w:t>
            </w:r>
          </w:p>
        </w:tc>
        <w:tc>
          <w:tcPr>
            <w:tcW w:w="4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auto"/>
            </w:tcBorders>
          </w:tcPr>
          <w:p>
            <w:pPr>
              <w:spacing w:after="0"/>
              <w:rPr>
                <w:sz w:val="18"/>
                <w:szCs w:val="18"/>
                <w:color w:val="auto"/>
              </w:rPr>
            </w:pPr>
          </w:p>
        </w:tc>
      </w:tr>
      <w:tr>
        <w:trPr>
          <w:trHeight w:val="228"/>
        </w:trPr>
        <w:tc>
          <w:tcPr>
            <w:tcW w:w="20" w:type="dxa"/>
            <w:vAlign w:val="bottom"/>
            <w:shd w:val="clear" w:color="auto" w:fill="CCEEFF"/>
          </w:tcPr>
          <w:p>
            <w:pPr>
              <w:spacing w:after="0"/>
              <w:rPr>
                <w:sz w:val="19"/>
                <w:szCs w:val="19"/>
                <w:color w:val="auto"/>
              </w:rPr>
            </w:pPr>
          </w:p>
        </w:tc>
        <w:tc>
          <w:tcPr>
            <w:tcW w:w="84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Comprehensive income (loss) attributable to Brighthouse Financial, Inc.</w:t>
            </w:r>
          </w:p>
        </w:tc>
        <w:tc>
          <w:tcPr>
            <w:tcW w:w="880" w:type="dxa"/>
            <w:vAlign w:val="bottom"/>
            <w:gridSpan w:val="2"/>
            <w:shd w:val="clear" w:color="auto" w:fill="CCEEFF"/>
          </w:tcPr>
          <w:p>
            <w:pPr>
              <w:jc w:val="right"/>
              <w:ind w:right="68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w:t>
            </w:r>
          </w:p>
        </w:tc>
        <w:tc>
          <w:tcPr>
            <w:tcW w:w="20" w:type="dxa"/>
            <w:vAlign w:val="bottom"/>
            <w:shd w:val="clear" w:color="auto" w:fill="CCEEFF"/>
          </w:tcPr>
          <w:p>
            <w:pPr>
              <w:spacing w:after="0"/>
              <w:rPr>
                <w:sz w:val="19"/>
                <w:szCs w:val="19"/>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8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common share</w:t>
            </w: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420" w:type="dxa"/>
            <w:vAlign w:val="bottom"/>
          </w:tcPr>
          <w:p>
            <w:pPr>
              <w:ind w:left="20"/>
              <w:spacing w:after="0"/>
              <w:rPr>
                <w:sz w:val="20"/>
                <w:szCs w:val="20"/>
                <w:color w:val="auto"/>
              </w:rPr>
            </w:pPr>
            <w:r>
              <w:rPr>
                <w:rFonts w:ascii="Arial" w:cs="Arial" w:eastAsia="Arial" w:hAnsi="Arial"/>
                <w:sz w:val="16"/>
                <w:szCs w:val="16"/>
                <w:color w:val="auto"/>
              </w:rPr>
              <w:t>Basic</w:t>
            </w:r>
          </w:p>
        </w:tc>
        <w:tc>
          <w:tcPr>
            <w:tcW w:w="880" w:type="dxa"/>
            <w:vAlign w:val="bottom"/>
            <w:tcBorders>
              <w:bottom w:val="single" w:sz="8" w:color="auto"/>
            </w:tcBorders>
            <w:gridSpan w:val="2"/>
          </w:tcPr>
          <w:p>
            <w:pPr>
              <w:jc w:val="right"/>
              <w:ind w:right="70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62"/>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880" w:type="dxa"/>
            <w:vAlign w:val="bottom"/>
            <w:tcBorders>
              <w:bottom w:val="single" w:sz="8" w:color="auto"/>
            </w:tcBorders>
            <w:gridSpan w:val="2"/>
            <w:shd w:val="clear" w:color="auto" w:fill="CCEEFF"/>
          </w:tcPr>
          <w:p>
            <w:pPr>
              <w:jc w:val="right"/>
              <w:ind w:right="70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Interim Condensed Consolidated Statements of Equity</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2023 and 2022 (Unaudited)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vMerge w:val="restart"/>
          </w:tcPr>
          <w:p>
            <w:pPr>
              <w:jc w:val="center"/>
              <w:ind w:right="220"/>
              <w:spacing w:after="0"/>
              <w:rPr>
                <w:sz w:val="20"/>
                <w:szCs w:val="20"/>
                <w:color w:val="auto"/>
              </w:rPr>
            </w:pPr>
            <w:r>
              <w:rPr>
                <w:rFonts w:ascii="Arial" w:cs="Arial" w:eastAsia="Arial" w:hAnsi="Arial"/>
                <w:sz w:val="12"/>
                <w:szCs w:val="12"/>
                <w:b w:val="1"/>
                <w:bCs w:val="1"/>
                <w:color w:val="auto"/>
                <w:w w:val="94"/>
              </w:rPr>
              <w:t>Retained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Accumulated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93"/>
              </w:rPr>
              <w:t>Brighthouse</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jc w:val="center"/>
              <w:ind w:right="220"/>
              <w:spacing w:after="0"/>
              <w:rPr>
                <w:sz w:val="20"/>
                <w:szCs w:val="20"/>
                <w:color w:val="auto"/>
              </w:rPr>
            </w:pPr>
            <w:r>
              <w:rPr>
                <w:rFonts w:ascii="Arial" w:cs="Arial" w:eastAsia="Arial" w:hAnsi="Arial"/>
                <w:sz w:val="12"/>
                <w:szCs w:val="12"/>
                <w:b w:val="1"/>
                <w:bCs w:val="1"/>
                <w:color w:val="auto"/>
                <w:w w:val="97"/>
              </w:rPr>
              <w:t>Preferred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restart"/>
          </w:tcPr>
          <w:p>
            <w:pPr>
              <w:jc w:val="center"/>
              <w:ind w:right="200"/>
              <w:spacing w:after="0"/>
              <w:rPr>
                <w:sz w:val="20"/>
                <w:szCs w:val="20"/>
                <w:color w:val="auto"/>
              </w:rPr>
            </w:pPr>
            <w:r>
              <w:rPr>
                <w:rFonts w:ascii="Arial" w:cs="Arial" w:eastAsia="Arial" w:hAnsi="Arial"/>
                <w:sz w:val="12"/>
                <w:szCs w:val="12"/>
                <w:b w:val="1"/>
                <w:bCs w:val="1"/>
                <w:color w:val="auto"/>
                <w:w w:val="92"/>
              </w:rPr>
              <w:t>Common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Additional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Treasury</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tcPr>
          <w:p>
            <w:pPr>
              <w:jc w:val="center"/>
              <w:ind w:right="220"/>
              <w:spacing w:after="0" w:line="120" w:lineRule="exact"/>
              <w:rPr>
                <w:sz w:val="20"/>
                <w:szCs w:val="20"/>
                <w:color w:val="auto"/>
              </w:rPr>
            </w:pPr>
            <w:r>
              <w:rPr>
                <w:rFonts w:ascii="Arial" w:cs="Arial" w:eastAsia="Arial" w:hAnsi="Arial"/>
                <w:sz w:val="12"/>
                <w:szCs w:val="12"/>
                <w:b w:val="1"/>
                <w:bCs w:val="1"/>
                <w:color w:val="auto"/>
                <w:w w:val="99"/>
              </w:rPr>
              <w:t>Other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4"/>
          </w:tcPr>
          <w:p>
            <w:pPr>
              <w:jc w:val="center"/>
              <w:ind w:right="200"/>
              <w:spacing w:after="0" w:line="120" w:lineRule="exact"/>
              <w:rPr>
                <w:sz w:val="20"/>
                <w:szCs w:val="20"/>
                <w:color w:val="auto"/>
              </w:rPr>
            </w:pPr>
            <w:r>
              <w:rPr>
                <w:rFonts w:ascii="Arial" w:cs="Arial" w:eastAsia="Arial" w:hAnsi="Arial"/>
                <w:sz w:val="12"/>
                <w:szCs w:val="12"/>
                <w:b w:val="1"/>
                <w:bCs w:val="1"/>
                <w:color w:val="auto"/>
                <w:w w:val="96"/>
              </w:rPr>
              <w:t>Financial, Inc.’s</w:t>
            </w:r>
          </w:p>
        </w:tc>
        <w:tc>
          <w:tcPr>
            <w:tcW w:w="120" w:type="dxa"/>
            <w:vAlign w:val="bottom"/>
          </w:tcPr>
          <w:p>
            <w:pPr>
              <w:spacing w:after="0"/>
              <w:rPr>
                <w:sz w:val="10"/>
                <w:szCs w:val="10"/>
                <w:color w:val="auto"/>
              </w:rPr>
            </w:pPr>
          </w:p>
        </w:tc>
        <w:tc>
          <w:tcPr>
            <w:tcW w:w="1120" w:type="dxa"/>
            <w:vAlign w:val="bottom"/>
            <w:gridSpan w:val="3"/>
            <w:vMerge w:val="restart"/>
          </w:tcPr>
          <w:p>
            <w:pPr>
              <w:jc w:val="center"/>
              <w:ind w:right="240"/>
              <w:spacing w:after="0"/>
              <w:rPr>
                <w:sz w:val="20"/>
                <w:szCs w:val="20"/>
                <w:color w:val="auto"/>
              </w:rPr>
            </w:pPr>
            <w:r>
              <w:rPr>
                <w:rFonts w:ascii="Arial" w:cs="Arial" w:eastAsia="Arial" w:hAnsi="Arial"/>
                <w:sz w:val="12"/>
                <w:szCs w:val="12"/>
                <w:b w:val="1"/>
                <w:bCs w:val="1"/>
                <w:color w:val="auto"/>
                <w:w w:val="93"/>
              </w:rPr>
              <w:t>Noncontrolling</w:t>
            </w:r>
          </w:p>
        </w:tc>
        <w:tc>
          <w:tcPr>
            <w:tcW w:w="100" w:type="dxa"/>
            <w:vAlign w:val="bottom"/>
          </w:tcPr>
          <w:p>
            <w:pPr>
              <w:spacing w:after="0"/>
              <w:rPr>
                <w:sz w:val="10"/>
                <w:szCs w:val="10"/>
                <w:color w:val="auto"/>
              </w:rPr>
            </w:pPr>
          </w:p>
        </w:tc>
        <w:tc>
          <w:tcPr>
            <w:tcW w:w="54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tcPr>
          <w:p>
            <w:pPr>
              <w:jc w:val="center"/>
              <w:ind w:right="220"/>
              <w:spacing w:after="0" w:line="120" w:lineRule="exact"/>
              <w:rPr>
                <w:sz w:val="20"/>
                <w:szCs w:val="20"/>
                <w:color w:val="auto"/>
              </w:rPr>
            </w:pPr>
            <w:r>
              <w:rPr>
                <w:rFonts w:ascii="Arial" w:cs="Arial" w:eastAsia="Arial" w:hAnsi="Arial"/>
                <w:sz w:val="12"/>
                <w:szCs w:val="12"/>
                <w:b w:val="1"/>
                <w:bCs w:val="1"/>
                <w:color w:val="auto"/>
                <w:w w:val="93"/>
              </w:rPr>
              <w:t>Earnings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tcPr>
          <w:p>
            <w:pPr>
              <w:jc w:val="center"/>
              <w:ind w:right="240"/>
              <w:spacing w:after="0" w:line="120" w:lineRule="exact"/>
              <w:rPr>
                <w:sz w:val="20"/>
                <w:szCs w:val="20"/>
                <w:color w:val="auto"/>
              </w:rPr>
            </w:pPr>
            <w:r>
              <w:rPr>
                <w:rFonts w:ascii="Arial" w:cs="Arial" w:eastAsia="Arial" w:hAnsi="Arial"/>
                <w:sz w:val="12"/>
                <w:szCs w:val="12"/>
                <w:b w:val="1"/>
                <w:bCs w:val="1"/>
                <w:color w:val="auto"/>
                <w:w w:val="91"/>
              </w:rPr>
              <w:t>Comprehensive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4"/>
          </w:tcPr>
          <w:p>
            <w:pPr>
              <w:jc w:val="center"/>
              <w:ind w:right="200"/>
              <w:spacing w:after="0" w:line="120" w:lineRule="exact"/>
              <w:rPr>
                <w:sz w:val="20"/>
                <w:szCs w:val="20"/>
                <w:color w:val="auto"/>
              </w:rPr>
            </w:pPr>
            <w:r>
              <w:rPr>
                <w:rFonts w:ascii="Arial" w:cs="Arial" w:eastAsia="Arial" w:hAnsi="Arial"/>
                <w:sz w:val="12"/>
                <w:szCs w:val="12"/>
                <w:b w:val="1"/>
                <w:bCs w:val="1"/>
                <w:color w:val="auto"/>
                <w:w w:val="93"/>
              </w:rPr>
              <w:t>Stockholders’</w:t>
            </w:r>
          </w:p>
        </w:tc>
        <w:tc>
          <w:tcPr>
            <w:tcW w:w="12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85"/>
              </w:rPr>
              <w:t>Stock</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91"/>
              </w:rPr>
              <w:t>Stock</w:t>
            </w:r>
          </w:p>
        </w:tc>
        <w:tc>
          <w:tcPr>
            <w:tcW w:w="960" w:type="dxa"/>
            <w:vAlign w:val="bottom"/>
            <w:gridSpan w:val="4"/>
          </w:tcPr>
          <w:p>
            <w:pPr>
              <w:ind w:left="20"/>
              <w:spacing w:after="0"/>
              <w:rPr>
                <w:sz w:val="20"/>
                <w:szCs w:val="20"/>
                <w:color w:val="auto"/>
              </w:rPr>
            </w:pPr>
            <w:r>
              <w:rPr>
                <w:rFonts w:ascii="Arial" w:cs="Arial" w:eastAsia="Arial" w:hAnsi="Arial"/>
                <w:sz w:val="12"/>
                <w:szCs w:val="12"/>
                <w:b w:val="1"/>
                <w:bCs w:val="1"/>
                <w:color w:val="auto"/>
              </w:rPr>
              <w:t>Paid-in Capital</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98"/>
              </w:rPr>
              <w:t>(Deficit)</w:t>
            </w:r>
          </w:p>
        </w:tc>
        <w:tc>
          <w:tcPr>
            <w:tcW w:w="20" w:type="dxa"/>
            <w:vAlign w:val="bottom"/>
          </w:tcPr>
          <w:p>
            <w:pPr>
              <w:spacing w:after="0"/>
              <w:rPr>
                <w:sz w:val="15"/>
                <w:szCs w:val="15"/>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Stock at Cost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90"/>
              </w:rPr>
              <w:t>Income (Loss)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92"/>
              </w:rPr>
              <w:t>Equity</w:t>
            </w:r>
          </w:p>
        </w:tc>
        <w:tc>
          <w:tcPr>
            <w:tcW w:w="120" w:type="dxa"/>
            <w:vAlign w:val="bottom"/>
          </w:tcPr>
          <w:p>
            <w:pPr>
              <w:spacing w:after="0"/>
              <w:rPr>
                <w:sz w:val="15"/>
                <w:szCs w:val="15"/>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w w:val="91"/>
              </w:rPr>
              <w:t>Interests</w:t>
            </w:r>
          </w:p>
        </w:tc>
        <w:tc>
          <w:tcPr>
            <w:tcW w:w="100" w:type="dxa"/>
            <w:vAlign w:val="bottom"/>
          </w:tcPr>
          <w:p>
            <w:pPr>
              <w:spacing w:after="0"/>
              <w:rPr>
                <w:sz w:val="15"/>
                <w:szCs w:val="15"/>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72"/>
        </w:trPr>
        <w:tc>
          <w:tcPr>
            <w:tcW w:w="20" w:type="dxa"/>
            <w:vAlign w:val="bottom"/>
            <w:tcBorders>
              <w:top w:val="single" w:sz="8" w:color="CCEEFF"/>
            </w:tcBorders>
            <w:shd w:val="clear" w:color="auto" w:fill="CCEEFF"/>
          </w:tcPr>
          <w:p>
            <w:pPr>
              <w:spacing w:after="0"/>
              <w:rPr>
                <w:sz w:val="14"/>
                <w:szCs w:val="14"/>
                <w:color w:val="auto"/>
              </w:rPr>
            </w:pPr>
          </w:p>
        </w:tc>
        <w:tc>
          <w:tcPr>
            <w:tcW w:w="2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December 31, 2022</w:t>
            </w: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2"/>
                <w:szCs w:val="12"/>
                <w:color w:val="auto"/>
              </w:rPr>
              <w:t>—</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14,075</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(395)</w:t>
            </w: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(2,042)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(6,106)</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5,533</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5,598</w:t>
            </w:r>
          </w:p>
        </w:tc>
        <w:tc>
          <w:tcPr>
            <w:tcW w:w="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spacing w:after="0" w:line="120" w:lineRule="exact"/>
              <w:rPr>
                <w:sz w:val="20"/>
                <w:szCs w:val="20"/>
                <w:color w:val="auto"/>
              </w:rPr>
            </w:pPr>
            <w:r>
              <w:rPr>
                <w:rFonts w:ascii="Arial" w:cs="Arial" w:eastAsia="Arial" w:hAnsi="Arial"/>
                <w:sz w:val="12"/>
                <w:szCs w:val="12"/>
                <w:color w:val="auto"/>
                <w:w w:val="97"/>
              </w:rPr>
              <w:t>Treasury stock acquired in connection with share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560" w:type="dxa"/>
            <w:vAlign w:val="bottom"/>
          </w:tcPr>
          <w:p>
            <w:pPr>
              <w:ind w:left="160"/>
              <w:spacing w:after="0"/>
              <w:rPr>
                <w:sz w:val="20"/>
                <w:szCs w:val="20"/>
                <w:color w:val="auto"/>
              </w:rPr>
            </w:pPr>
            <w:r>
              <w:rPr>
                <w:rFonts w:ascii="Arial" w:cs="Arial" w:eastAsia="Arial" w:hAnsi="Arial"/>
                <w:sz w:val="12"/>
                <w:szCs w:val="12"/>
                <w:color w:val="auto"/>
              </w:rPr>
              <w:t>repurchases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2"/>
                <w:szCs w:val="12"/>
                <w:color w:val="auto"/>
              </w:rPr>
              <w:t>Share-based compensation</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Arial" w:cs="Arial" w:eastAsia="Arial" w:hAnsi="Arial"/>
                <w:sz w:val="12"/>
                <w:szCs w:val="12"/>
                <w:color w:val="auto"/>
              </w:rPr>
              <w:t>Dividends on preferred 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2"/>
                <w:szCs w:val="12"/>
                <w:color w:val="auto"/>
              </w:rPr>
              <w:t>Change in noncontrolling interests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4"/>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Arial" w:cs="Arial" w:eastAsia="Arial" w:hAnsi="Arial"/>
                <w:sz w:val="12"/>
                <w:szCs w:val="12"/>
                <w:color w:val="auto"/>
              </w:rPr>
              <w:t>Net income (loss)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(499)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shd w:val="clear" w:color="auto" w:fill="CCEEFF"/>
          </w:tcPr>
          <w:p>
            <w:pPr>
              <w:spacing w:after="0"/>
              <w:rPr>
                <w:sz w:val="11"/>
                <w:szCs w:val="11"/>
                <w:color w:val="auto"/>
              </w:rPr>
            </w:pPr>
          </w:p>
        </w:tc>
        <w:tc>
          <w:tcPr>
            <w:tcW w:w="256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Other comprehensive income (loss), net of</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25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income tax</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818</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818</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Arial" w:cs="Arial" w:eastAsia="Arial" w:hAnsi="Arial"/>
                <w:sz w:val="12"/>
                <w:szCs w:val="12"/>
                <w:color w:val="auto"/>
              </w:rPr>
              <w:t>Balance at March 31, 2023</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ind w:left="4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14,054</w:t>
            </w:r>
          </w:p>
        </w:tc>
        <w:tc>
          <w:tcPr>
            <w:tcW w:w="100" w:type="dxa"/>
            <w:vAlign w:val="bottom"/>
          </w:tcPr>
          <w:p>
            <w:pPr>
              <w:spacing w:after="0"/>
              <w:rPr>
                <w:sz w:val="14"/>
                <w:szCs w:val="14"/>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(2,119)</w:t>
            </w:r>
          </w:p>
        </w:tc>
        <w:tc>
          <w:tcPr>
            <w:tcW w:w="100" w:type="dxa"/>
            <w:vAlign w:val="bottom"/>
          </w:tcPr>
          <w:p>
            <w:pPr>
              <w:spacing w:after="0"/>
              <w:rPr>
                <w:sz w:val="14"/>
                <w:szCs w:val="14"/>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(5,288)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5,754</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5,819</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8"/>
              </w:rPr>
              <w:t>Additional</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vMerge w:val="restart"/>
          </w:tcPr>
          <w:p>
            <w:pPr>
              <w:jc w:val="center"/>
              <w:ind w:right="180"/>
              <w:spacing w:after="0"/>
              <w:rPr>
                <w:sz w:val="20"/>
                <w:szCs w:val="20"/>
                <w:color w:val="auto"/>
              </w:rPr>
            </w:pPr>
            <w:r>
              <w:rPr>
                <w:rFonts w:ascii="Arial" w:cs="Arial" w:eastAsia="Arial" w:hAnsi="Arial"/>
                <w:sz w:val="12"/>
                <w:szCs w:val="12"/>
                <w:b w:val="1"/>
                <w:bCs w:val="1"/>
                <w:color w:val="auto"/>
                <w:w w:val="94"/>
              </w:rPr>
              <w:t>Retained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92"/>
              </w:rPr>
              <w:t>Accumulated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93"/>
              </w:rPr>
              <w:t>Brighthouse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jc w:val="center"/>
              <w:ind w:right="200"/>
              <w:spacing w:after="0"/>
              <w:rPr>
                <w:sz w:val="20"/>
                <w:szCs w:val="20"/>
                <w:color w:val="auto"/>
              </w:rPr>
            </w:pPr>
            <w:r>
              <w:rPr>
                <w:rFonts w:ascii="Arial" w:cs="Arial" w:eastAsia="Arial" w:hAnsi="Arial"/>
                <w:sz w:val="12"/>
                <w:szCs w:val="12"/>
                <w:b w:val="1"/>
                <w:bCs w:val="1"/>
                <w:color w:val="auto"/>
                <w:w w:val="93"/>
              </w:rPr>
              <w:t>Preferred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restart"/>
          </w:tcPr>
          <w:p>
            <w:pPr>
              <w:jc w:val="center"/>
              <w:ind w:right="160"/>
              <w:spacing w:after="0"/>
              <w:rPr>
                <w:sz w:val="20"/>
                <w:szCs w:val="20"/>
                <w:color w:val="auto"/>
              </w:rPr>
            </w:pPr>
            <w:r>
              <w:rPr>
                <w:rFonts w:ascii="Arial" w:cs="Arial" w:eastAsia="Arial" w:hAnsi="Arial"/>
                <w:sz w:val="12"/>
                <w:szCs w:val="12"/>
                <w:b w:val="1"/>
                <w:bCs w:val="1"/>
                <w:color w:val="auto"/>
                <w:w w:val="92"/>
              </w:rPr>
              <w:t>Common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Treasury</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tcPr>
          <w:p>
            <w:pPr>
              <w:jc w:val="center"/>
              <w:ind w:right="220"/>
              <w:spacing w:after="0" w:line="124" w:lineRule="exact"/>
              <w:rPr>
                <w:sz w:val="20"/>
                <w:szCs w:val="20"/>
                <w:color w:val="auto"/>
              </w:rPr>
            </w:pPr>
            <w:r>
              <w:rPr>
                <w:rFonts w:ascii="Arial" w:cs="Arial" w:eastAsia="Arial" w:hAnsi="Arial"/>
                <w:sz w:val="12"/>
                <w:szCs w:val="12"/>
                <w:b w:val="1"/>
                <w:bCs w:val="1"/>
                <w:color w:val="auto"/>
                <w:w w:val="99"/>
              </w:rPr>
              <w:t>Other</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4"/>
          </w:tcPr>
          <w:p>
            <w:pPr>
              <w:jc w:val="center"/>
              <w:ind w:right="200"/>
              <w:spacing w:after="0" w:line="124" w:lineRule="exact"/>
              <w:rPr>
                <w:sz w:val="20"/>
                <w:szCs w:val="20"/>
                <w:color w:val="auto"/>
              </w:rPr>
            </w:pPr>
            <w:r>
              <w:rPr>
                <w:rFonts w:ascii="Arial" w:cs="Arial" w:eastAsia="Arial" w:hAnsi="Arial"/>
                <w:sz w:val="12"/>
                <w:szCs w:val="12"/>
                <w:b w:val="1"/>
                <w:bCs w:val="1"/>
                <w:color w:val="auto"/>
                <w:w w:val="96"/>
              </w:rPr>
              <w:t>Financial, Inc.’s</w:t>
            </w:r>
          </w:p>
        </w:tc>
        <w:tc>
          <w:tcPr>
            <w:tcW w:w="120" w:type="dxa"/>
            <w:vAlign w:val="bottom"/>
          </w:tcPr>
          <w:p>
            <w:pPr>
              <w:spacing w:after="0"/>
              <w:rPr>
                <w:sz w:val="10"/>
                <w:szCs w:val="10"/>
                <w:color w:val="auto"/>
              </w:rPr>
            </w:pPr>
          </w:p>
        </w:tc>
        <w:tc>
          <w:tcPr>
            <w:tcW w:w="1120" w:type="dxa"/>
            <w:vAlign w:val="bottom"/>
            <w:gridSpan w:val="3"/>
            <w:vMerge w:val="restart"/>
          </w:tcPr>
          <w:p>
            <w:pPr>
              <w:jc w:val="center"/>
              <w:ind w:right="260"/>
              <w:spacing w:after="0"/>
              <w:rPr>
                <w:sz w:val="20"/>
                <w:szCs w:val="20"/>
                <w:color w:val="auto"/>
              </w:rPr>
            </w:pPr>
            <w:r>
              <w:rPr>
                <w:rFonts w:ascii="Arial" w:cs="Arial" w:eastAsia="Arial" w:hAnsi="Arial"/>
                <w:sz w:val="12"/>
                <w:szCs w:val="12"/>
                <w:b w:val="1"/>
                <w:bCs w:val="1"/>
                <w:color w:val="auto"/>
                <w:w w:val="91"/>
              </w:rPr>
              <w:t>Noncontrolling</w:t>
            </w:r>
          </w:p>
        </w:tc>
        <w:tc>
          <w:tcPr>
            <w:tcW w:w="100" w:type="dxa"/>
            <w:vAlign w:val="bottom"/>
          </w:tcPr>
          <w:p>
            <w:pPr>
              <w:spacing w:after="0"/>
              <w:rPr>
                <w:sz w:val="10"/>
                <w:szCs w:val="10"/>
                <w:color w:val="auto"/>
              </w:rPr>
            </w:pPr>
          </w:p>
        </w:tc>
        <w:tc>
          <w:tcPr>
            <w:tcW w:w="54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180"/>
              <w:spacing w:after="0" w:line="120" w:lineRule="exact"/>
              <w:rPr>
                <w:sz w:val="20"/>
                <w:szCs w:val="20"/>
                <w:color w:val="auto"/>
              </w:rPr>
            </w:pPr>
            <w:r>
              <w:rPr>
                <w:rFonts w:ascii="Arial" w:cs="Arial" w:eastAsia="Arial" w:hAnsi="Arial"/>
                <w:sz w:val="12"/>
                <w:szCs w:val="12"/>
                <w:b w:val="1"/>
                <w:bCs w:val="1"/>
                <w:color w:val="auto"/>
                <w:w w:val="94"/>
              </w:rPr>
              <w:t>Paid-in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tcPr>
          <w:p>
            <w:pPr>
              <w:jc w:val="center"/>
              <w:ind w:right="180"/>
              <w:spacing w:after="0" w:line="120" w:lineRule="exact"/>
              <w:rPr>
                <w:sz w:val="20"/>
                <w:szCs w:val="20"/>
                <w:color w:val="auto"/>
              </w:rPr>
            </w:pPr>
            <w:r>
              <w:rPr>
                <w:rFonts w:ascii="Arial" w:cs="Arial" w:eastAsia="Arial" w:hAnsi="Arial"/>
                <w:sz w:val="12"/>
                <w:szCs w:val="12"/>
                <w:b w:val="1"/>
                <w:bCs w:val="1"/>
                <w:color w:val="auto"/>
                <w:w w:val="93"/>
              </w:rPr>
              <w:t>Earnings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3"/>
          </w:tcPr>
          <w:p>
            <w:pPr>
              <w:jc w:val="center"/>
              <w:ind w:right="200"/>
              <w:spacing w:after="0" w:line="120" w:lineRule="exact"/>
              <w:rPr>
                <w:sz w:val="20"/>
                <w:szCs w:val="20"/>
                <w:color w:val="auto"/>
              </w:rPr>
            </w:pPr>
            <w:r>
              <w:rPr>
                <w:rFonts w:ascii="Arial" w:cs="Arial" w:eastAsia="Arial" w:hAnsi="Arial"/>
                <w:sz w:val="12"/>
                <w:szCs w:val="12"/>
                <w:b w:val="1"/>
                <w:bCs w:val="1"/>
                <w:color w:val="auto"/>
                <w:w w:val="91"/>
              </w:rPr>
              <w:t>Comprehensive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4"/>
          </w:tcPr>
          <w:p>
            <w:pPr>
              <w:jc w:val="center"/>
              <w:ind w:right="200"/>
              <w:spacing w:after="0" w:line="120" w:lineRule="exact"/>
              <w:rPr>
                <w:sz w:val="20"/>
                <w:szCs w:val="20"/>
                <w:color w:val="auto"/>
              </w:rPr>
            </w:pPr>
            <w:r>
              <w:rPr>
                <w:rFonts w:ascii="Arial" w:cs="Arial" w:eastAsia="Arial" w:hAnsi="Arial"/>
                <w:sz w:val="12"/>
                <w:szCs w:val="12"/>
                <w:b w:val="1"/>
                <w:bCs w:val="1"/>
                <w:color w:val="auto"/>
                <w:w w:val="93"/>
              </w:rPr>
              <w:t>Stockholders’</w:t>
            </w:r>
          </w:p>
        </w:tc>
        <w:tc>
          <w:tcPr>
            <w:tcW w:w="12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1"/>
              </w:rPr>
              <w:t>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1"/>
              </w:rPr>
              <w:t>Stock</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Capital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12"/>
                <w:szCs w:val="12"/>
                <w:b w:val="1"/>
                <w:bCs w:val="1"/>
                <w:color w:val="auto"/>
                <w:w w:val="98"/>
              </w:rPr>
              <w:t>(Deficit)</w:t>
            </w:r>
          </w:p>
        </w:tc>
        <w:tc>
          <w:tcPr>
            <w:tcW w:w="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Stock at Cost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90"/>
              </w:rPr>
              <w:t>Income (Loss)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4"/>
          </w:tcPr>
          <w:p>
            <w:pPr>
              <w:jc w:val="center"/>
              <w:ind w:right="200"/>
              <w:spacing w:after="0"/>
              <w:rPr>
                <w:sz w:val="20"/>
                <w:szCs w:val="20"/>
                <w:color w:val="auto"/>
              </w:rPr>
            </w:pPr>
            <w:r>
              <w:rPr>
                <w:rFonts w:ascii="Arial" w:cs="Arial" w:eastAsia="Arial" w:hAnsi="Arial"/>
                <w:sz w:val="12"/>
                <w:szCs w:val="12"/>
                <w:b w:val="1"/>
                <w:bCs w:val="1"/>
                <w:color w:val="auto"/>
                <w:w w:val="92"/>
              </w:rPr>
              <w:t>Equity</w:t>
            </w:r>
          </w:p>
        </w:tc>
        <w:tc>
          <w:tcPr>
            <w:tcW w:w="120" w:type="dxa"/>
            <w:vAlign w:val="bottom"/>
          </w:tcPr>
          <w:p>
            <w:pPr>
              <w:spacing w:after="0"/>
              <w:rPr>
                <w:sz w:val="14"/>
                <w:szCs w:val="14"/>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2"/>
                <w:szCs w:val="12"/>
                <w:b w:val="1"/>
                <w:bCs w:val="1"/>
                <w:color w:val="auto"/>
                <w:w w:val="91"/>
              </w:rPr>
              <w:t>Interests</w:t>
            </w:r>
          </w:p>
        </w:tc>
        <w:tc>
          <w:tcPr>
            <w:tcW w:w="100" w:type="dxa"/>
            <w:vAlign w:val="bottom"/>
          </w:tcPr>
          <w:p>
            <w:pPr>
              <w:spacing w:after="0"/>
              <w:rPr>
                <w:sz w:val="14"/>
                <w:szCs w:val="1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at December 31, 2021</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gridSpan w:val="2"/>
            <w:shd w:val="clear" w:color="auto" w:fill="CCEEFF"/>
          </w:tcPr>
          <w:p>
            <w:pPr>
              <w:ind w:left="50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14,154</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(4,274)</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(1,543)</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8,385</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tcPr>
          <w:p>
            <w:pPr>
              <w:ind w:left="20"/>
              <w:spacing w:after="0" w:line="132" w:lineRule="exact"/>
              <w:rPr>
                <w:sz w:val="20"/>
                <w:szCs w:val="20"/>
                <w:color w:val="auto"/>
              </w:rPr>
            </w:pPr>
            <w:r>
              <w:rPr>
                <w:rFonts w:ascii="Arial" w:cs="Arial" w:eastAsia="Arial" w:hAnsi="Arial"/>
                <w:sz w:val="12"/>
                <w:szCs w:val="12"/>
                <w:color w:val="auto"/>
                <w:w w:val="96"/>
              </w:rPr>
              <w:t>Treasury stock acquired in connection with share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60" w:type="dxa"/>
            <w:vAlign w:val="bottom"/>
          </w:tcPr>
          <w:p>
            <w:pPr>
              <w:ind w:left="180"/>
              <w:spacing w:after="0"/>
              <w:rPr>
                <w:sz w:val="20"/>
                <w:szCs w:val="20"/>
                <w:color w:val="auto"/>
              </w:rPr>
            </w:pPr>
            <w:r>
              <w:rPr>
                <w:rFonts w:ascii="Arial" w:cs="Arial" w:eastAsia="Arial" w:hAnsi="Arial"/>
                <w:sz w:val="12"/>
                <w:szCs w:val="12"/>
                <w:color w:val="auto"/>
              </w:rPr>
              <w:t>repurchases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(127)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(127)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Share-based compensation</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ind w:left="20"/>
              <w:spacing w:after="0"/>
              <w:rPr>
                <w:sz w:val="20"/>
                <w:szCs w:val="20"/>
                <w:color w:val="auto"/>
              </w:rPr>
            </w:pPr>
            <w:r>
              <w:rPr>
                <w:rFonts w:ascii="Arial" w:cs="Arial" w:eastAsia="Arial" w:hAnsi="Arial"/>
                <w:sz w:val="12"/>
                <w:szCs w:val="12"/>
                <w:color w:val="auto"/>
              </w:rPr>
              <w:t>Dividends on preferred 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 in noncontrolling interests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6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1,585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1,585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1,587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5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comprehensive income (loss), net of</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income tax</w:t>
            </w: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(2,588)</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(2,588)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60" w:type="dxa"/>
            <w:vAlign w:val="bottom"/>
          </w:tcPr>
          <w:p>
            <w:pPr>
              <w:ind w:left="20"/>
              <w:spacing w:after="0"/>
              <w:rPr>
                <w:sz w:val="20"/>
                <w:szCs w:val="20"/>
                <w:color w:val="auto"/>
              </w:rPr>
            </w:pPr>
            <w:r>
              <w:rPr>
                <w:rFonts w:ascii="Arial" w:cs="Arial" w:eastAsia="Arial" w:hAnsi="Arial"/>
                <w:sz w:val="12"/>
                <w:szCs w:val="12"/>
                <w:color w:val="auto"/>
              </w:rPr>
              <w:t>Balance at March 31, 2022</w:t>
            </w:r>
          </w:p>
        </w:tc>
        <w:tc>
          <w:tcPr>
            <w:tcW w:w="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gridSpan w:val="2"/>
          </w:tcPr>
          <w:p>
            <w:pPr>
              <w:ind w:left="5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14,133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(2,689)</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(2,541)</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7,223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6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Interim Condensed Consolidated Statements of Cash Flows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2023 and 2022 (Unaudited)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47" w:lineRule="exact"/>
        <w:rPr>
          <w:sz w:val="20"/>
          <w:szCs w:val="20"/>
          <w:color w:val="auto"/>
        </w:rPr>
      </w:pPr>
    </w:p>
    <w:p>
      <w:pPr>
        <w:jc w:val="center"/>
        <w:ind w:left="7640"/>
        <w:spacing w:after="0"/>
        <w:rPr>
          <w:sz w:val="20"/>
          <w:szCs w:val="20"/>
          <w:color w:val="auto"/>
        </w:rPr>
      </w:pPr>
      <w:r>
        <w:rPr>
          <w:rFonts w:ascii="Arial" w:cs="Arial" w:eastAsia="Arial" w:hAnsi="Arial"/>
          <w:sz w:val="14"/>
          <w:szCs w:val="14"/>
          <w:b w:val="1"/>
          <w:bCs w:val="1"/>
          <w:color w:val="auto"/>
        </w:rPr>
        <w:t>Three Months Ended</w:t>
      </w:r>
    </w:p>
    <w:p>
      <w:pPr>
        <w:spacing w:after="0" w:line="14" w:lineRule="exact"/>
        <w:rPr>
          <w:sz w:val="20"/>
          <w:szCs w:val="20"/>
          <w:color w:val="auto"/>
        </w:rPr>
      </w:pPr>
    </w:p>
    <w:p>
      <w:pPr>
        <w:jc w:val="center"/>
        <w:ind w:left="7640"/>
        <w:spacing w:after="0"/>
        <w:rPr>
          <w:sz w:val="20"/>
          <w:szCs w:val="20"/>
          <w:color w:val="auto"/>
        </w:rPr>
      </w:pPr>
      <w:r>
        <w:rPr>
          <w:rFonts w:ascii="Arial" w:cs="Arial" w:eastAsia="Arial" w:hAnsi="Arial"/>
          <w:sz w:val="14"/>
          <w:szCs w:val="14"/>
          <w:b w:val="1"/>
          <w:bCs w:val="1"/>
          <w:color w:val="auto"/>
        </w:rPr>
        <w:t>March 31,</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660" w:type="dxa"/>
            <w:vAlign w:val="bottom"/>
          </w:tcPr>
          <w:p>
            <w:pPr>
              <w:spacing w:after="0"/>
              <w:rPr>
                <w:sz w:val="17"/>
                <w:szCs w:val="17"/>
                <w:color w:val="auto"/>
              </w:rPr>
            </w:pPr>
          </w:p>
        </w:tc>
        <w:tc>
          <w:tcPr>
            <w:tcW w:w="11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649"/>
              <w:spacing w:after="0"/>
              <w:rPr>
                <w:sz w:val="20"/>
                <w:szCs w:val="20"/>
                <w:color w:val="auto"/>
              </w:rPr>
            </w:pPr>
            <w:r>
              <w:rPr>
                <w:rFonts w:ascii="Arial" w:cs="Arial" w:eastAsia="Arial" w:hAnsi="Arial"/>
                <w:sz w:val="14"/>
                <w:szCs w:val="14"/>
                <w:b w:val="1"/>
                <w:bCs w:val="1"/>
                <w:color w:val="auto"/>
              </w:rPr>
              <w:t>2022</w:t>
            </w:r>
          </w:p>
        </w:tc>
      </w:tr>
      <w:tr>
        <w:trPr>
          <w:trHeight w:val="38"/>
        </w:trPr>
        <w:tc>
          <w:tcPr>
            <w:tcW w:w="766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92"/>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1160" w:type="dxa"/>
            <w:vAlign w:val="bottom"/>
            <w:tcBorders>
              <w:bottom w:val="single" w:sz="8" w:color="auto"/>
            </w:tcBorders>
            <w:shd w:val="clear" w:color="auto" w:fill="CCEEFF"/>
          </w:tcPr>
          <w:p>
            <w:pPr>
              <w:jc w:val="right"/>
              <w:ind w:right="98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w:t>
            </w:r>
          </w:p>
        </w:tc>
      </w:tr>
      <w:tr>
        <w:trPr>
          <w:trHeight w:val="171"/>
        </w:trPr>
        <w:tc>
          <w:tcPr>
            <w:tcW w:w="766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06"/>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maturities and repayments of:</w:t>
            </w:r>
          </w:p>
        </w:tc>
        <w:tc>
          <w:tcPr>
            <w:tcW w:w="1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189"/>
        </w:trPr>
        <w:tc>
          <w:tcPr>
            <w:tcW w:w="7660" w:type="dxa"/>
            <w:vAlign w:val="bottom"/>
          </w:tcPr>
          <w:p>
            <w:pPr>
              <w:ind w:left="140"/>
              <w:spacing w:after="0"/>
              <w:rPr>
                <w:sz w:val="20"/>
                <w:szCs w:val="20"/>
                <w:color w:val="auto"/>
              </w:rPr>
            </w:pPr>
            <w:r>
              <w:rPr>
                <w:rFonts w:ascii="Arial" w:cs="Arial" w:eastAsia="Arial" w:hAnsi="Arial"/>
                <w:sz w:val="14"/>
                <w:szCs w:val="14"/>
                <w:color w:val="auto"/>
              </w:rPr>
              <w:t>Fixed maturity securities</w:t>
            </w:r>
          </w:p>
        </w:tc>
        <w:tc>
          <w:tcPr>
            <w:tcW w:w="1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1,474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3,715</w:t>
            </w:r>
          </w:p>
        </w:tc>
      </w:tr>
      <w:tr>
        <w:trPr>
          <w:trHeight w:val="208"/>
        </w:trPr>
        <w:tc>
          <w:tcPr>
            <w:tcW w:w="7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 securities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189"/>
        </w:trPr>
        <w:tc>
          <w:tcPr>
            <w:tcW w:w="7660" w:type="dxa"/>
            <w:vAlign w:val="bottom"/>
          </w:tcPr>
          <w:p>
            <w:pPr>
              <w:ind w:left="140"/>
              <w:spacing w:after="0"/>
              <w:rPr>
                <w:sz w:val="20"/>
                <w:szCs w:val="20"/>
                <w:color w:val="auto"/>
              </w:rPr>
            </w:pPr>
            <w:r>
              <w:rPr>
                <w:rFonts w:ascii="Arial" w:cs="Arial" w:eastAsia="Arial" w:hAnsi="Arial"/>
                <w:sz w:val="14"/>
                <w:szCs w:val="14"/>
                <w:color w:val="auto"/>
              </w:rPr>
              <w:t>Mortgage loans</w:t>
            </w:r>
          </w:p>
        </w:tc>
        <w:tc>
          <w:tcPr>
            <w:tcW w:w="1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461</w:t>
            </w:r>
          </w:p>
        </w:tc>
      </w:tr>
      <w:tr>
        <w:trPr>
          <w:trHeight w:val="208"/>
        </w:trPr>
        <w:tc>
          <w:tcPr>
            <w:tcW w:w="7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Limited partnerships and limited liability companies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r>
      <w:tr>
        <w:trPr>
          <w:trHeight w:val="189"/>
        </w:trPr>
        <w:tc>
          <w:tcPr>
            <w:tcW w:w="7660" w:type="dxa"/>
            <w:vAlign w:val="bottom"/>
          </w:tcPr>
          <w:p>
            <w:pPr>
              <w:ind w:left="20"/>
              <w:spacing w:after="0"/>
              <w:rPr>
                <w:sz w:val="20"/>
                <w:szCs w:val="20"/>
                <w:color w:val="auto"/>
              </w:rPr>
            </w:pPr>
            <w:r>
              <w:rPr>
                <w:rFonts w:ascii="Arial" w:cs="Arial" w:eastAsia="Arial" w:hAnsi="Arial"/>
                <w:sz w:val="14"/>
                <w:szCs w:val="14"/>
                <w:color w:val="auto"/>
              </w:rPr>
              <w:t>Purchases of:</w:t>
            </w: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8"/>
        </w:trPr>
        <w:tc>
          <w:tcPr>
            <w:tcW w:w="7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Fixed maturity securities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(5,532)</w:t>
            </w:r>
          </w:p>
        </w:tc>
      </w:tr>
      <w:tr>
        <w:trPr>
          <w:trHeight w:val="189"/>
        </w:trPr>
        <w:tc>
          <w:tcPr>
            <w:tcW w:w="7660" w:type="dxa"/>
            <w:vAlign w:val="bottom"/>
          </w:tcPr>
          <w:p>
            <w:pPr>
              <w:ind w:left="140"/>
              <w:spacing w:after="0"/>
              <w:rPr>
                <w:sz w:val="20"/>
                <w:szCs w:val="20"/>
                <w:color w:val="auto"/>
              </w:rPr>
            </w:pPr>
            <w:r>
              <w:rPr>
                <w:rFonts w:ascii="Arial" w:cs="Arial" w:eastAsia="Arial" w:hAnsi="Arial"/>
                <w:sz w:val="14"/>
                <w:szCs w:val="14"/>
                <w:color w:val="auto"/>
              </w:rPr>
              <w:t>Equity securities</w:t>
            </w:r>
          </w:p>
        </w:tc>
        <w:tc>
          <w:tcPr>
            <w:tcW w:w="1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7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Mortgage loans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(1,972)</w:t>
            </w:r>
          </w:p>
        </w:tc>
      </w:tr>
      <w:tr>
        <w:trPr>
          <w:trHeight w:val="189"/>
        </w:trPr>
        <w:tc>
          <w:tcPr>
            <w:tcW w:w="7660" w:type="dxa"/>
            <w:vAlign w:val="bottom"/>
          </w:tcPr>
          <w:p>
            <w:pPr>
              <w:ind w:left="140"/>
              <w:spacing w:after="0"/>
              <w:rPr>
                <w:sz w:val="20"/>
                <w:szCs w:val="20"/>
                <w:color w:val="auto"/>
              </w:rPr>
            </w:pPr>
            <w:r>
              <w:rPr>
                <w:rFonts w:ascii="Arial" w:cs="Arial" w:eastAsia="Arial" w:hAnsi="Arial"/>
                <w:sz w:val="14"/>
                <w:szCs w:val="14"/>
                <w:color w:val="auto"/>
              </w:rPr>
              <w:t>Limited partnerships and limited liability companies</w:t>
            </w:r>
          </w:p>
        </w:tc>
        <w:tc>
          <w:tcPr>
            <w:tcW w:w="1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(279)</w:t>
            </w:r>
          </w:p>
        </w:tc>
      </w:tr>
      <w:tr>
        <w:trPr>
          <w:trHeight w:val="208"/>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received in connection with freestanding derivatives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1,440</w:t>
            </w:r>
          </w:p>
        </w:tc>
      </w:tr>
      <w:tr>
        <w:trPr>
          <w:trHeight w:val="189"/>
        </w:trPr>
        <w:tc>
          <w:tcPr>
            <w:tcW w:w="7660" w:type="dxa"/>
            <w:vAlign w:val="bottom"/>
          </w:tcPr>
          <w:p>
            <w:pPr>
              <w:ind w:left="20"/>
              <w:spacing w:after="0"/>
              <w:rPr>
                <w:sz w:val="20"/>
                <w:szCs w:val="20"/>
                <w:color w:val="auto"/>
              </w:rPr>
            </w:pPr>
            <w:r>
              <w:rPr>
                <w:rFonts w:ascii="Arial" w:cs="Arial" w:eastAsia="Arial" w:hAnsi="Arial"/>
                <w:sz w:val="14"/>
                <w:szCs w:val="14"/>
                <w:color w:val="auto"/>
              </w:rPr>
              <w:t>Cash paid in connection with freestanding derivatives</w:t>
            </w:r>
          </w:p>
        </w:tc>
        <w:tc>
          <w:tcPr>
            <w:tcW w:w="1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(1,758)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(1,197)</w:t>
            </w:r>
          </w:p>
        </w:tc>
      </w:tr>
      <w:tr>
        <w:trPr>
          <w:trHeight w:val="208"/>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policy loans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9"/>
        </w:trPr>
        <w:tc>
          <w:tcPr>
            <w:tcW w:w="7660" w:type="dxa"/>
            <w:vAlign w:val="bottom"/>
          </w:tcPr>
          <w:p>
            <w:pPr>
              <w:ind w:left="20"/>
              <w:spacing w:after="0"/>
              <w:rPr>
                <w:sz w:val="20"/>
                <w:szCs w:val="20"/>
                <w:color w:val="auto"/>
              </w:rPr>
            </w:pPr>
            <w:r>
              <w:rPr>
                <w:rFonts w:ascii="Arial" w:cs="Arial" w:eastAsia="Arial" w:hAnsi="Arial"/>
                <w:sz w:val="14"/>
                <w:szCs w:val="14"/>
                <w:color w:val="auto"/>
              </w:rPr>
              <w:t>Net change in short-term investments</w:t>
            </w:r>
          </w:p>
        </w:tc>
        <w:tc>
          <w:tcPr>
            <w:tcW w:w="1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781</w:t>
            </w:r>
          </w:p>
        </w:tc>
      </w:tr>
      <w:tr>
        <w:trPr>
          <w:trHeight w:val="208"/>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other invested assets</w:t>
            </w:r>
          </w:p>
        </w:tc>
        <w:tc>
          <w:tcPr>
            <w:tcW w:w="1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185"/>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(2,519)</w:t>
            </w:r>
          </w:p>
        </w:tc>
      </w:tr>
      <w:tr>
        <w:trPr>
          <w:trHeight w:val="185"/>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4"/>
                <w:szCs w:val="14"/>
                <w:color w:val="auto"/>
              </w:rPr>
              <w:t>Policyholder account balances:</w:t>
            </w: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8"/>
        </w:trPr>
        <w:tc>
          <w:tcPr>
            <w:tcW w:w="76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Deposits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6,356</w:t>
            </w:r>
          </w:p>
        </w:tc>
      </w:tr>
      <w:tr>
        <w:trPr>
          <w:trHeight w:val="189"/>
        </w:trPr>
        <w:tc>
          <w:tcPr>
            <w:tcW w:w="7660" w:type="dxa"/>
            <w:vAlign w:val="bottom"/>
          </w:tcPr>
          <w:p>
            <w:pPr>
              <w:ind w:left="140"/>
              <w:spacing w:after="0"/>
              <w:rPr>
                <w:sz w:val="20"/>
                <w:szCs w:val="20"/>
                <w:color w:val="auto"/>
              </w:rPr>
            </w:pPr>
            <w:r>
              <w:rPr>
                <w:rFonts w:ascii="Arial" w:cs="Arial" w:eastAsia="Arial" w:hAnsi="Arial"/>
                <w:sz w:val="14"/>
                <w:szCs w:val="14"/>
                <w:color w:val="auto"/>
              </w:rPr>
              <w:t>Withdrawals</w:t>
            </w:r>
          </w:p>
        </w:tc>
        <w:tc>
          <w:tcPr>
            <w:tcW w:w="1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(5,298)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(3,707)</w:t>
            </w:r>
          </w:p>
        </w:tc>
      </w:tr>
      <w:tr>
        <w:trPr>
          <w:trHeight w:val="208"/>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payables for collateral under securities loaned and other transactions</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189"/>
        </w:trPr>
        <w:tc>
          <w:tcPr>
            <w:tcW w:w="7660" w:type="dxa"/>
            <w:vAlign w:val="bottom"/>
          </w:tcPr>
          <w:p>
            <w:pPr>
              <w:ind w:left="20"/>
              <w:spacing w:after="0"/>
              <w:rPr>
                <w:sz w:val="20"/>
                <w:szCs w:val="20"/>
                <w:color w:val="auto"/>
              </w:rPr>
            </w:pPr>
            <w:r>
              <w:rPr>
                <w:rFonts w:ascii="Arial" w:cs="Arial" w:eastAsia="Arial" w:hAnsi="Arial"/>
                <w:sz w:val="14"/>
                <w:szCs w:val="14"/>
                <w:color w:val="auto"/>
              </w:rPr>
              <w:t>Long-term debt repaid</w:t>
            </w:r>
          </w:p>
        </w:tc>
        <w:tc>
          <w:tcPr>
            <w:tcW w:w="116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8"/>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Dividends on preferred stock</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89"/>
        </w:trPr>
        <w:tc>
          <w:tcPr>
            <w:tcW w:w="7660" w:type="dxa"/>
            <w:vAlign w:val="bottom"/>
          </w:tcPr>
          <w:p>
            <w:pPr>
              <w:ind w:left="20"/>
              <w:spacing w:after="0"/>
              <w:rPr>
                <w:sz w:val="20"/>
                <w:szCs w:val="20"/>
                <w:color w:val="auto"/>
              </w:rPr>
            </w:pPr>
            <w:r>
              <w:rPr>
                <w:rFonts w:ascii="Arial" w:cs="Arial" w:eastAsia="Arial" w:hAnsi="Arial"/>
                <w:sz w:val="14"/>
                <w:szCs w:val="14"/>
                <w:color w:val="auto"/>
              </w:rPr>
              <w:t>Treasury stock acquired in connection with share repurchases</w:t>
            </w:r>
          </w:p>
        </w:tc>
        <w:tc>
          <w:tcPr>
            <w:tcW w:w="1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(127)</w:t>
            </w:r>
          </w:p>
        </w:tc>
      </w:tr>
      <w:tr>
        <w:trPr>
          <w:trHeight w:val="208"/>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Financing element on certain derivative instruments and other derivative related transactions, net</w:t>
            </w:r>
          </w:p>
        </w:tc>
        <w:tc>
          <w:tcPr>
            <w:tcW w:w="1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192"/>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net</w:t>
            </w:r>
          </w:p>
        </w:tc>
        <w:tc>
          <w:tcPr>
            <w:tcW w:w="1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199"/>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1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1,395</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2,345</w:t>
            </w:r>
          </w:p>
        </w:tc>
      </w:tr>
      <w:tr>
        <w:trPr>
          <w:trHeight w:val="183"/>
        </w:trPr>
        <w:tc>
          <w:tcPr>
            <w:tcW w:w="7660" w:type="dxa"/>
            <w:vAlign w:val="bottom"/>
          </w:tcPr>
          <w:p>
            <w:pPr>
              <w:ind w:left="20"/>
              <w:spacing w:after="0"/>
              <w:rPr>
                <w:sz w:val="20"/>
                <w:szCs w:val="20"/>
                <w:color w:val="auto"/>
              </w:rPr>
            </w:pPr>
            <w:r>
              <w:rPr>
                <w:rFonts w:ascii="Arial" w:cs="Arial" w:eastAsia="Arial" w:hAnsi="Arial"/>
                <w:sz w:val="14"/>
                <w:szCs w:val="14"/>
                <w:color w:val="auto"/>
              </w:rPr>
              <w:t>Change in cash, cash equivalents and restricted cash</w:t>
            </w:r>
          </w:p>
        </w:tc>
        <w:tc>
          <w:tcPr>
            <w:tcW w:w="11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(373)</w:t>
            </w:r>
          </w:p>
        </w:tc>
      </w:tr>
      <w:tr>
        <w:trPr>
          <w:trHeight w:val="201"/>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1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4,115</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4,474</w:t>
            </w:r>
          </w:p>
        </w:tc>
      </w:tr>
      <w:tr>
        <w:trPr>
          <w:trHeight w:val="199"/>
        </w:trPr>
        <w:tc>
          <w:tcPr>
            <w:tcW w:w="766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1160" w:type="dxa"/>
            <w:vAlign w:val="bottom"/>
            <w:tcBorders>
              <w:bottom w:val="single" w:sz="8" w:color="auto"/>
            </w:tcBorders>
          </w:tcPr>
          <w:p>
            <w:pPr>
              <w:jc w:val="right"/>
              <w:ind w:right="98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3,685</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4,101</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65"/>
        </w:trPr>
        <w:tc>
          <w:tcPr>
            <w:tcW w:w="7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1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89"/>
        </w:trPr>
        <w:tc>
          <w:tcPr>
            <w:tcW w:w="7660" w:type="dxa"/>
            <w:vAlign w:val="bottom"/>
          </w:tcPr>
          <w:p>
            <w:pPr>
              <w:ind w:left="20"/>
              <w:spacing w:after="0"/>
              <w:rPr>
                <w:sz w:val="20"/>
                <w:szCs w:val="20"/>
                <w:color w:val="auto"/>
              </w:rPr>
            </w:pPr>
            <w:r>
              <w:rPr>
                <w:rFonts w:ascii="Arial" w:cs="Arial" w:eastAsia="Arial" w:hAnsi="Arial"/>
                <w:sz w:val="14"/>
                <w:szCs w:val="14"/>
                <w:color w:val="auto"/>
              </w:rPr>
              <w:t>Net cash paid (received) for:</w:t>
            </w: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3"/>
        </w:trPr>
        <w:tc>
          <w:tcPr>
            <w:tcW w:w="7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Interest</w:t>
            </w:r>
          </w:p>
        </w:tc>
        <w:tc>
          <w:tcPr>
            <w:tcW w:w="1160" w:type="dxa"/>
            <w:vAlign w:val="bottom"/>
            <w:tcBorders>
              <w:bottom w:val="single" w:sz="8" w:color="auto"/>
            </w:tcBorders>
            <w:shd w:val="clear" w:color="auto" w:fill="CCEEFF"/>
          </w:tcPr>
          <w:p>
            <w:pPr>
              <w:jc w:val="right"/>
              <w:ind w:right="98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72"/>
        </w:trPr>
        <w:tc>
          <w:tcPr>
            <w:tcW w:w="7660" w:type="dxa"/>
            <w:vAlign w:val="bottom"/>
          </w:tcPr>
          <w:p>
            <w:pPr>
              <w:ind w:left="140"/>
              <w:spacing w:after="0"/>
              <w:rPr>
                <w:sz w:val="20"/>
                <w:szCs w:val="20"/>
                <w:color w:val="auto"/>
              </w:rPr>
            </w:pPr>
            <w:r>
              <w:rPr>
                <w:rFonts w:ascii="Arial" w:cs="Arial" w:eastAsia="Arial" w:hAnsi="Arial"/>
                <w:sz w:val="14"/>
                <w:szCs w:val="14"/>
                <w:color w:val="auto"/>
              </w:rPr>
              <w:t>Income tax</w:t>
            </w:r>
          </w:p>
        </w:tc>
        <w:tc>
          <w:tcPr>
            <w:tcW w:w="1160" w:type="dxa"/>
            <w:vAlign w:val="bottom"/>
            <w:tcBorders>
              <w:bottom w:val="single" w:sz="8" w:color="auto"/>
            </w:tcBorders>
          </w:tcPr>
          <w:p>
            <w:pPr>
              <w:jc w:val="right"/>
              <w:ind w:right="98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0"/>
        </w:trPr>
        <w:tc>
          <w:tcPr>
            <w:tcW w:w="76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5060"/>
        <w:spacing w:after="0" w:line="372" w:lineRule="auto"/>
        <w:rPr>
          <w:sz w:val="20"/>
          <w:szCs w:val="20"/>
          <w:color w:val="auto"/>
        </w:rPr>
      </w:pPr>
      <w:r>
        <w:rPr>
          <w:rFonts w:ascii="Arial" w:cs="Arial" w:eastAsia="Arial" w:hAnsi="Arial"/>
          <w:sz w:val="18"/>
          <w:szCs w:val="18"/>
          <w:b w:val="1"/>
          <w:bCs w:val="1"/>
          <w:color w:val="auto"/>
        </w:rPr>
        <w:t xml:space="preserve">1. Business, Basis of Presentation and Summary of Significant Accounting Policies </w:t>
      </w:r>
      <w:r>
        <w:rPr>
          <w:rFonts w:ascii="Arial" w:cs="Arial" w:eastAsia="Arial" w:hAnsi="Arial"/>
          <w:sz w:val="18"/>
          <w:szCs w:val="18"/>
          <w:b w:val="1"/>
          <w:bCs w:val="1"/>
          <w:i w:val="1"/>
          <w:iCs w:val="1"/>
          <w:color w:val="auto"/>
        </w:rPr>
        <w:t>Business</w:t>
      </w:r>
    </w:p>
    <w:p>
      <w:pPr>
        <w:jc w:val="both"/>
        <w:ind w:firstLine="318"/>
        <w:spacing w:after="0" w:line="268" w:lineRule="auto"/>
        <w:rPr>
          <w:sz w:val="20"/>
          <w:szCs w:val="20"/>
          <w:color w:val="auto"/>
        </w:rPr>
      </w:pPr>
      <w:r>
        <w:rPr>
          <w:rFonts w:ascii="Arial" w:cs="Arial" w:eastAsia="Arial" w:hAnsi="Arial"/>
          <w:sz w:val="17"/>
          <w:szCs w:val="17"/>
          <w:color w:val="auto"/>
        </w:rPr>
        <w:t>Brighthouse Financial, Inc. (“BHF” and together with its subsidiaries, “Brighthouse Financial” or the “Company”) is a holding company formed in 2016 to own the legal entities that historically operated a substantial portion of MetLife, Inc.’s former retail segment until becoming a separate, publicly-traded company in August 2017. Brighthouse Financial is one of the largest providers of annuity and life insurance products in the U.S. through multiple independent distribution channels and marketing arrangements with a diverse network of distribution partners. The Company is organized into three segments: Annuities; Life; and Run-off. In addition, the Company reports certain of its results of operations in Corporate &amp; Other.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consolidated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Consolidation</w:t>
      </w:r>
    </w:p>
    <w:p>
      <w:pPr>
        <w:spacing w:after="0" w:line="111" w:lineRule="exact"/>
        <w:rPr>
          <w:sz w:val="20"/>
          <w:szCs w:val="20"/>
          <w:color w:val="auto"/>
        </w:rPr>
      </w:pPr>
    </w:p>
    <w:p>
      <w:pPr>
        <w:jc w:val="both"/>
        <w:ind w:left="160" w:firstLine="318"/>
        <w:spacing w:after="0" w:line="294" w:lineRule="auto"/>
        <w:rPr>
          <w:sz w:val="20"/>
          <w:szCs w:val="20"/>
          <w:color w:val="auto"/>
        </w:rPr>
      </w:pPr>
      <w:r>
        <w:rPr>
          <w:rFonts w:ascii="Arial" w:cs="Arial" w:eastAsia="Arial" w:hAnsi="Arial"/>
          <w:sz w:val="17"/>
          <w:szCs w:val="17"/>
          <w:color w:val="auto"/>
        </w:rPr>
        <w:t>The accompanying interim condensed consolidated financial statements include the accounts of Brighthouse Financial, as well as partnerships and limited liability companies (“LLC”) that the Company controls. Intercompany accounts and transactions have been eliminated.</w:t>
      </w:r>
    </w:p>
    <w:p>
      <w:pPr>
        <w:spacing w:after="0" w:line="51" w:lineRule="exact"/>
        <w:rPr>
          <w:sz w:val="20"/>
          <w:szCs w:val="20"/>
          <w:color w:val="auto"/>
        </w:rPr>
      </w:pPr>
    </w:p>
    <w:p>
      <w:pPr>
        <w:jc w:val="both"/>
        <w:ind w:left="160" w:firstLine="318"/>
        <w:spacing w:after="0" w:line="318" w:lineRule="auto"/>
        <w:rPr>
          <w:sz w:val="20"/>
          <w:szCs w:val="20"/>
          <w:color w:val="auto"/>
        </w:rPr>
      </w:pPr>
      <w:r>
        <w:rPr>
          <w:rFonts w:ascii="Arial" w:cs="Arial" w:eastAsia="Arial" w:hAnsi="Arial"/>
          <w:sz w:val="15"/>
          <w:szCs w:val="15"/>
          <w:color w:val="auto"/>
        </w:rPr>
        <w:t>The Company uses the equity method of accounting for investments in limited partnerships and LLCs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When the Company has virtually no influence over the investee’s operations, the investment is carried at fair value.</w:t>
      </w:r>
    </w:p>
    <w:p>
      <w:pPr>
        <w:spacing w:after="0" w:line="40" w:lineRule="exact"/>
        <w:rPr>
          <w:sz w:val="20"/>
          <w:szCs w:val="20"/>
          <w:color w:val="auto"/>
        </w:rPr>
      </w:pPr>
    </w:p>
    <w:p>
      <w:pPr>
        <w:jc w:val="both"/>
        <w:ind w:left="160" w:firstLine="318"/>
        <w:spacing w:after="0" w:line="267" w:lineRule="auto"/>
        <w:rPr>
          <w:sz w:val="20"/>
          <w:szCs w:val="20"/>
          <w:color w:val="auto"/>
        </w:rPr>
      </w:pPr>
      <w:r>
        <w:rPr>
          <w:rFonts w:ascii="Arial" w:cs="Arial" w:eastAsia="Arial" w:hAnsi="Arial"/>
          <w:sz w:val="17"/>
          <w:szCs w:val="17"/>
          <w:color w:val="auto"/>
        </w:rPr>
        <w:t>The accompanying interim condensed consolidated financial statements are unaudited and reflect all adjustments (including normal recurring adjustments) necessary to present fairly the financial position, results of operations and cash flows for the interim periods presented in conformity with GAAP. Interim results are not necessarily indicative of full year performance. The December 31, 2022 consolidated balance sheet data was derived from audited consolidated financial statements included in Brighthouse Financial, Inc.’s Annual Report on Form 10-K for the year ended December 31, 2022 (the “2022 Annual Report”), which include all disclosures required by GAAP. Therefore, these interim condensed consolidated financial statements should be read in conjunction with the consolidated financial statements of the Company included in the 2022 Annual Report.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Certain amounts in the prior year period’s interim condensed consolidated financial statements and related footnotes thereto have been reclassified to conform with the 2023 presentation as discussed throughout the Notes to the Interim Condensed Consolidated Financial Statements. See “— Adoption of New Accounting Pronouncements” for discussion of the adoption of new guidance on long-duration contracts in the first quarter of 2023, parts of which were retrospectively applied to prior periods presented in the interim condensed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connection with the adoption of new guidance on long-duration insurance contracts, the Company updated its impacted accounting policies as described below. See Note 1 of the Notes to the Consolidated Financial Statements included in the 2022 Annual Report for a description of the Company’s accounting policies that did not change.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3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Insurance Contract Obligations</w:t>
      </w:r>
    </w:p>
    <w:p>
      <w:pPr>
        <w:spacing w:after="0" w:line="11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The Company has obligations under insurance contracts to pay benefits over an extended period of time. The Company establishes liabilities for future obligations under long-duration insurance contracts based on the accounting model appropriate for each type of contract or contract feature. Liabilities for insurance contract benefits are generally accrued over time as revenue is recognized, or established based on the balance that accrues to the contract holder. In addition, certain insurance contracts may contain features that are required to be measured at fair value separately from the base contracts, either as a market risk benefit or embedded derivative.</w:t>
      </w:r>
    </w:p>
    <w:p>
      <w:pPr>
        <w:spacing w:after="0" w:line="88"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The discussion below provides an overview of the different accounting models for insurance contract obligations and the applicability of such models to the Company’s insurance products.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Liability for Future Policy Benefits</w:t>
      </w:r>
    </w:p>
    <w:p>
      <w:pPr>
        <w:spacing w:after="0" w:line="111"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The Company establishes a liability for future policy benefits (“LFPB”) for non-participating term and whole life insurance and income annuities. LFPBs are accrued over time as revenue is recognized based on a net premium ratio. The net premium ratio is the portion of gross premiums required to provide for all future benefits. LFPBs are established using the Company’s current assumptions of future cash flows, discounted at a rate that approximates a single A corporate bond curve. The Company generally aggregates insurance contracts into groupings by issue year, product and segment for determining the net premium ratio and related LFPBs.</w:t>
      </w:r>
    </w:p>
    <w:p>
      <w:pPr>
        <w:spacing w:after="0" w:line="88"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The Company reviews cash flow assumptions regularly, and if they change significantly, LFPBs are adjusted by determining a revised net premium ratio. The revised net premium ratio is calculated as of contract inception using both actual historical experience and updated future cash flow assumptions. The recalculated net premium ratio is applied to derive a remeasurement gain or loss recognized in current period net income. For insurance policies in-force as of December 31, 2020, January 1, 2021 is considered the contract inception date. The net premium ratio is also updated quarterly for the difference between actual and expected experience.</w:t>
      </w:r>
    </w:p>
    <w:p>
      <w:pPr>
        <w:spacing w:after="0" w:line="88"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The net premium ratio is not updated for changes in discount rate assumptions, as changes in the discount rate are updated quarterly and the impacts are reflected in other comprehensive income (loss) (“OCI”). The discount rate assumption is determined by developing a yield curve based on market observable yields for upper-medium fixed income instruments derived from an external index. The yield curve is applied to the expected future cash flows used in the measurement of LFPBs based on the duration characteristics of those liabilities.</w:t>
      </w:r>
    </w:p>
    <w:p>
      <w:pPr>
        <w:spacing w:after="0" w:line="71"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8"/>
          <w:szCs w:val="18"/>
          <w:color w:val="auto"/>
        </w:rPr>
        <w:t>The most significant cash flow assumptions used in the establishment of LFPBs are mortality, policy lapses and market interest rates. See Note 4 for more information on the effect of changes in assumptions on the measurement of LFPBs.</w:t>
      </w:r>
    </w:p>
    <w:p>
      <w:pPr>
        <w:spacing w:after="0" w:line="75" w:lineRule="exact"/>
        <w:rPr>
          <w:sz w:val="20"/>
          <w:szCs w:val="20"/>
          <w:color w:val="auto"/>
        </w:rPr>
      </w:pPr>
    </w:p>
    <w:p>
      <w:pPr>
        <w:jc w:val="both"/>
        <w:ind w:left="320" w:firstLine="318"/>
        <w:spacing w:after="0" w:line="249" w:lineRule="auto"/>
        <w:rPr>
          <w:sz w:val="20"/>
          <w:szCs w:val="20"/>
          <w:color w:val="auto"/>
        </w:rPr>
      </w:pPr>
      <w:r>
        <w:rPr>
          <w:rFonts w:ascii="Arial" w:cs="Arial" w:eastAsia="Arial" w:hAnsi="Arial"/>
          <w:sz w:val="18"/>
          <w:szCs w:val="18"/>
          <w:color w:val="auto"/>
        </w:rPr>
        <w:t>The Company also establishes an LFPB for participating term and whole life insurance using a net premium ratio and the Company’s current assumptions of future cash flows. Assumptions are determined at issuance of the policy and are not updated unless a premium deficiency exists. A premium deficiency exists when the LFPB plus the present value of expected future gross premiums are less than expected future benefits and expenses (based on current assumptions). When a premium deficiency exists, the Company will reduce any deferred acquisition costs and may also establish an additional liability to eliminate the deficiency. See Note 4 for more information on assumptions used in establishing LFPBs related to participating term and whole life insurance.</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Policyholder Account Balances</w:t>
      </w:r>
    </w:p>
    <w:p>
      <w:pPr>
        <w:spacing w:after="0" w:line="111"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The Company establishes a policyholder account balance liability for customer deposits on universal life insurance, universal life insurance with secondary guarantees (“ULSG”) and deferred annuity contracts. The policyholder account balance liability is equal to the sum of deposits, plus interest credited, less charges and withdrawals, excluding the impact of any applicable charge that may be incurred upon surrender. The Company also holds additional liabilities for certain product features including secondary guarantees on universal life insurance contracts and the crediting rates associated with index-linked annuities.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Additional Liabilities for ULSG</w:t>
      </w:r>
    </w:p>
    <w:p>
      <w:pPr>
        <w:spacing w:after="0" w:line="111" w:lineRule="exact"/>
        <w:rPr>
          <w:sz w:val="20"/>
          <w:szCs w:val="20"/>
          <w:color w:val="auto"/>
        </w:rPr>
      </w:pPr>
    </w:p>
    <w:p>
      <w:pPr>
        <w:jc w:val="both"/>
        <w:ind w:left="320" w:firstLine="318"/>
        <w:spacing w:after="0" w:line="249" w:lineRule="auto"/>
        <w:rPr>
          <w:sz w:val="20"/>
          <w:szCs w:val="20"/>
          <w:color w:val="auto"/>
        </w:rPr>
      </w:pPr>
      <w:r>
        <w:rPr>
          <w:rFonts w:ascii="Arial" w:cs="Arial" w:eastAsia="Arial" w:hAnsi="Arial"/>
          <w:sz w:val="18"/>
          <w:szCs w:val="18"/>
          <w:color w:val="auto"/>
        </w:rPr>
        <w:t>The Company establishes a liability in addition to the account balance for secondary guarantees on universal life insurance. These liabilities are determined by estimating the expected value of death benefits payable when the account balance is projected to be zero and recognizing those benefits ratably over the contract period based on total expected assessments. The benefits used in calculating the liabilities are based on the average benefits payable over a range of scenarios. The Company also maintains a liability for profits followed by losses on ULSG determined by projecting future earnings and establishing a liability to offset losses that are expected to occur in later years. Both ULSG liabilities are adjusted for the effects of unrealized investment gains and losses.</w:t>
      </w:r>
    </w:p>
    <w:p>
      <w:pPr>
        <w:spacing w:after="0" w:line="90" w:lineRule="exact"/>
        <w:rPr>
          <w:sz w:val="20"/>
          <w:szCs w:val="20"/>
          <w:color w:val="auto"/>
        </w:rPr>
      </w:pPr>
    </w:p>
    <w:p>
      <w:pPr>
        <w:jc w:val="both"/>
        <w:ind w:left="320" w:firstLine="318"/>
        <w:spacing w:after="0" w:line="277" w:lineRule="auto"/>
        <w:rPr>
          <w:sz w:val="20"/>
          <w:szCs w:val="20"/>
          <w:color w:val="auto"/>
        </w:rPr>
      </w:pPr>
      <w:r>
        <w:rPr>
          <w:rFonts w:ascii="Arial" w:cs="Arial" w:eastAsia="Arial" w:hAnsi="Arial"/>
          <w:sz w:val="17"/>
          <w:szCs w:val="17"/>
          <w:color w:val="auto"/>
        </w:rPr>
        <w:t>The Company reviews cash flow assumptions regularly, and, if they change significantly, the liability for secondary guarantees is adjusted by a cumulative charge or credit to net income. Liabilities for secondary guarantees are presented within future policy benefits with changes in the liabilities reported in policyholder benefits and claims, except for the effects of unrealized investment gains and losses, which are reported in OCI.</w:t>
      </w:r>
    </w:p>
    <w:p>
      <w:pPr>
        <w:spacing w:after="0" w:line="65" w:lineRule="exact"/>
        <w:rPr>
          <w:sz w:val="20"/>
          <w:szCs w:val="20"/>
          <w:color w:val="auto"/>
        </w:rPr>
      </w:pPr>
    </w:p>
    <w:p>
      <w:pPr>
        <w:jc w:val="both"/>
        <w:ind w:left="320" w:firstLine="318"/>
        <w:spacing w:after="0" w:line="365" w:lineRule="auto"/>
        <w:rPr>
          <w:sz w:val="20"/>
          <w:szCs w:val="20"/>
          <w:color w:val="auto"/>
        </w:rPr>
      </w:pPr>
      <w:r>
        <w:rPr>
          <w:rFonts w:ascii="Arial" w:cs="Arial" w:eastAsia="Arial" w:hAnsi="Arial"/>
          <w:sz w:val="15"/>
          <w:szCs w:val="15"/>
          <w:color w:val="auto"/>
        </w:rPr>
        <w:t>The most significant assumptions used in estimating liabilities for secondary guarantees are the general account rate of return, premium persistency, mortality and lapses. See Note 4 for more information on the effect of changes in assumptions on the measurement of liabilities for secondary guarantees.</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Market Risk Benefits on Annuity Guarantees</w:t>
      </w:r>
    </w:p>
    <w:p>
      <w:pPr>
        <w:spacing w:after="0" w:line="111" w:lineRule="exact"/>
        <w:rPr>
          <w:sz w:val="20"/>
          <w:szCs w:val="20"/>
          <w:color w:val="auto"/>
        </w:rPr>
      </w:pPr>
    </w:p>
    <w:p>
      <w:pPr>
        <w:jc w:val="both"/>
        <w:ind w:left="320" w:firstLine="318"/>
        <w:spacing w:after="0" w:line="249" w:lineRule="auto"/>
        <w:rPr>
          <w:sz w:val="20"/>
          <w:szCs w:val="20"/>
          <w:color w:val="auto"/>
        </w:rPr>
      </w:pPr>
      <w:r>
        <w:rPr>
          <w:rFonts w:ascii="Arial" w:cs="Arial" w:eastAsia="Arial" w:hAnsi="Arial"/>
          <w:sz w:val="18"/>
          <w:szCs w:val="18"/>
          <w:color w:val="auto"/>
        </w:rPr>
        <w:t>Market risk benefits (“MRB”) are contracts or contract features that provide protection to the policyholder from capital markets risk by transferring such risks to the Company. MRBs are required to be separated from the deferred annuity host contract and measured at fair value. The Company establishes MRB assets and liabilities for guaranteed minimum benefits on variable annuity contracts including guaranteed minimum death benefits (“GMDB”), guaranteed minimum income benefits (“GMIB”), guaranteed minimum accumulation benefits (“GMAB”) and guaranteed minimum withdrawal benefits (“GMWB”). MRB assets are also established for reinsured benefits related to these guarantees. Certain index-linked annuity products may also have guaranteed minimum benefits classified as MRBs.</w:t>
      </w:r>
    </w:p>
    <w:p>
      <w:pPr>
        <w:spacing w:after="0" w:line="90"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The measurement of fair value includes an adjustment for the risk that the Company fails to satisfy its obligations, which is referred to as nonperformance risk, as well as risk margin to capture the non-capital markets risks of the instrument which represents the additional compensation a market participant would require to assume the risks related to the uncertainties in certain actuarial assumptions. MRBs are measured at estimated fair value, with changes reported in change in MRBs on the consolidated statements of operations, except for the change due to nonperformance risk, which is reported in OCI.</w:t>
      </w:r>
    </w:p>
    <w:p>
      <w:pPr>
        <w:spacing w:after="0" w:line="88" w:lineRule="exact"/>
        <w:rPr>
          <w:sz w:val="20"/>
          <w:szCs w:val="20"/>
          <w:color w:val="auto"/>
        </w:rPr>
      </w:pPr>
    </w:p>
    <w:p>
      <w:pPr>
        <w:jc w:val="both"/>
        <w:ind w:left="320" w:right="20" w:firstLine="318"/>
        <w:spacing w:after="0" w:line="264" w:lineRule="auto"/>
        <w:rPr>
          <w:sz w:val="20"/>
          <w:szCs w:val="20"/>
          <w:color w:val="auto"/>
        </w:rPr>
      </w:pPr>
      <w:r>
        <w:rPr>
          <w:rFonts w:ascii="Arial" w:cs="Arial" w:eastAsia="Arial" w:hAnsi="Arial"/>
          <w:sz w:val="18"/>
          <w:szCs w:val="18"/>
          <w:color w:val="auto"/>
        </w:rPr>
        <w:t>See Note 4 for more information on the effect of changes in inputs and assumptions on the measurement of MRBs and Note 8 for more information on the determination of fair value of MRBs.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Embedded Derivatives on Index-Linked Annuities</w:t>
      </w:r>
    </w:p>
    <w:p>
      <w:pPr>
        <w:spacing w:after="0" w:line="11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The Company issues, and assumes through reinsurance, index-linked annuities which allow the policyholder to participate in returns from certain specified equity indices. The crediting rates associated with these features are classified as embedded derivatives and measured at estimated fair value, with changes in estimated fair value reported in net derivative gains (losses). These embedded derivatives are classified within policyholder account balances on the consolidated balance sheets.</w:t>
      </w:r>
    </w:p>
    <w:p>
      <w:pPr>
        <w:spacing w:after="0" w:line="85"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Embedded derivative liabilities are required to be separated from the deferred annuity host contract and measured at fair value. The estimated fair value is determined using a combination of an option pricing model and an option-budget approach. Under this approach, the Company estimates the cost of funding the crediting rate using option pricing and establishes that cost on the balance sheet as a reduction to the initial deposit amount. The estimate of fair value includes an adjustment for nonperformance risk, as well as a risk margin.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368" w:lineRule="exact"/>
        <w:rPr>
          <w:sz w:val="20"/>
          <w:szCs w:val="20"/>
          <w:color w:val="auto"/>
        </w:rPr>
      </w:pPr>
    </w:p>
    <w:p>
      <w:pPr>
        <w:jc w:val="both"/>
        <w:ind w:left="320" w:firstLine="318"/>
        <w:spacing w:after="0" w:line="318" w:lineRule="auto"/>
        <w:rPr>
          <w:sz w:val="20"/>
          <w:szCs w:val="20"/>
          <w:color w:val="auto"/>
        </w:rPr>
      </w:pPr>
      <w:r>
        <w:rPr>
          <w:rFonts w:ascii="Arial" w:cs="Arial" w:eastAsia="Arial" w:hAnsi="Arial"/>
          <w:sz w:val="15"/>
          <w:szCs w:val="15"/>
          <w:color w:val="auto"/>
        </w:rPr>
        <w:t>Actuarial assumptions are reviewed at least annually, and if they change significantly, the estimated fair value is adjusted through net income. Capital market inputs used in the measurement of index-linked crediting rate embedded derivatives are updated quarterly through net income. The reduction to the initial deposit is accreted back up to the initial deposit over the estimated life of the contract. Embedded derivatives related to index-linked annuities are presented within policyholder account balances while changes in the estimated fair value are reported in net derivative gains (losses).</w:t>
      </w:r>
    </w:p>
    <w:p>
      <w:pPr>
        <w:spacing w:after="0" w:line="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more information on the determination of estimated fair value of embedded derivatives, see Note 8.</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Recognition of Revenues and Deposits on Insurance Contracts</w:t>
      </w:r>
    </w:p>
    <w:p>
      <w:pPr>
        <w:spacing w:after="0" w:line="111" w:lineRule="exact"/>
        <w:rPr>
          <w:sz w:val="20"/>
          <w:szCs w:val="20"/>
          <w:color w:val="auto"/>
        </w:rPr>
      </w:pPr>
    </w:p>
    <w:p>
      <w:pPr>
        <w:jc w:val="both"/>
        <w:ind w:left="320" w:firstLine="318"/>
        <w:spacing w:after="0" w:line="249" w:lineRule="auto"/>
        <w:rPr>
          <w:sz w:val="20"/>
          <w:szCs w:val="20"/>
          <w:color w:val="auto"/>
        </w:rPr>
      </w:pPr>
      <w:r>
        <w:rPr>
          <w:rFonts w:ascii="Arial" w:cs="Arial" w:eastAsia="Arial" w:hAnsi="Arial"/>
          <w:sz w:val="18"/>
          <w:szCs w:val="18"/>
          <w:color w:val="auto"/>
        </w:rPr>
        <w:t>Premiums related to traditional long-duration contracts are recognized as revenues when due from policyholders. When premiums for income annuities are due over a significantly shorter period than the period over which policyholder benefits are incurred, the Company establishes a deferred profit liability (“DPL”) for the excess of the gross premium over the net premium. DPLs are amortized into net income in proportion to the amount of expected future benefit payments. Assumptions used in the measurement of the DPL are updated at the same time as the related LFPBs, with the updated estimates used to recalculate the DPL as of contract inception. The remeasurement gain or loss from updating DPLs is recognized in current period net income along with the related change in LFPBs.</w:t>
      </w:r>
    </w:p>
    <w:p>
      <w:pPr>
        <w:spacing w:after="0" w:line="90"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Deposits related to universal life insurance, deferred annuity contracts and investment contracts are credited to policyholder account balances. Revenues from such contracts consist of asset-based investment management fees, cost of insurance charges, risk charges, policy administration fees and surrender charges. These fees, which are included in universal life and investment-type product policy fees, are recognized when assessed to the contract holder, except for non-level insurance charges which are deferred by the establishment of an unearned revenue liability and amortized over the expected life of the contracts.</w:t>
      </w:r>
    </w:p>
    <w:p>
      <w:pPr>
        <w:spacing w:after="0" w:line="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Premiums and policy fees are presented net of reinsurance.</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Deferred Policy Acquisition Costs, Value of Business Acquired and Other Intangibles</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The Company incurs significant costs in connection with acquiring new and renewal insurance business. Costs that are directly related to the successful acquisition or renewal of insurance contracts are capitalized as deferred policy acquisition costs (“DAC”). These costs mainly consist of commissions and include the portion of employees’ compensation and benefits related to time spent selling, underwriting or processing the issuance of new insurance contracts. All other acquisition-related costs are expensed as incurred.</w:t>
      </w:r>
    </w:p>
    <w:p>
      <w:pPr>
        <w:spacing w:after="0" w:line="85"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Value of business acquired (“VOBA”) is an intangible asset resulting from a business combination that represents the excess of book value over the estimated fair value of acquired insurance, annuity and investment-type contracts in-force as of the acquisition date.</w:t>
      </w:r>
    </w:p>
    <w:p>
      <w:pPr>
        <w:spacing w:after="0" w:line="75" w:lineRule="exact"/>
        <w:rPr>
          <w:sz w:val="20"/>
          <w:szCs w:val="20"/>
          <w:color w:val="auto"/>
        </w:rPr>
      </w:pPr>
    </w:p>
    <w:p>
      <w:pPr>
        <w:jc w:val="both"/>
        <w:ind w:left="160" w:firstLine="318"/>
        <w:spacing w:after="0" w:line="268" w:lineRule="auto"/>
        <w:rPr>
          <w:sz w:val="20"/>
          <w:szCs w:val="20"/>
          <w:color w:val="auto"/>
        </w:rPr>
      </w:pPr>
      <w:r>
        <w:rPr>
          <w:rFonts w:ascii="Arial" w:cs="Arial" w:eastAsia="Arial" w:hAnsi="Arial"/>
          <w:sz w:val="17"/>
          <w:szCs w:val="17"/>
          <w:color w:val="auto"/>
        </w:rPr>
        <w:t>The Company amortizes DAC and VOBA in a manner that approximates a straight-line basis over the expected life of the related contracts. For life insurance contracts, amortization is based on projections of amounts of insurance in-force, while projections of policy counts are used for deferred annuity contracts and expected future benefits payments for income annuities. These assumptions are reviewed at least annually, and if they change significantly, updates are recognized through changes to future amortization. VOBA balances are tested annually to determine if the balance is deemed unrecoverable from expected future profits. All changes in DAC and VOBA balances are recorded to net income.</w:t>
      </w:r>
    </w:p>
    <w:p>
      <w:pPr>
        <w:spacing w:after="0" w:line="75" w:lineRule="exact"/>
        <w:rPr>
          <w:sz w:val="20"/>
          <w:szCs w:val="20"/>
          <w:color w:val="auto"/>
        </w:rPr>
      </w:pPr>
    </w:p>
    <w:p>
      <w:pPr>
        <w:jc w:val="both"/>
        <w:ind w:left="160" w:firstLine="318"/>
        <w:spacing w:after="0" w:line="268" w:lineRule="auto"/>
        <w:rPr>
          <w:sz w:val="20"/>
          <w:szCs w:val="20"/>
          <w:color w:val="auto"/>
        </w:rPr>
      </w:pPr>
      <w:r>
        <w:rPr>
          <w:rFonts w:ascii="Arial" w:cs="Arial" w:eastAsia="Arial" w:hAnsi="Arial"/>
          <w:sz w:val="17"/>
          <w:szCs w:val="17"/>
          <w:color w:val="auto"/>
        </w:rPr>
        <w:t>Periodically, the Company modifies product benefits, features, rights or coverages that occur by the exchange of an existing contract for a new contract, or by amendment, endorsement, or rider to a contract, or by election or coverage within a contract. If a modification is considered to have substantially changed the contract, the associated DAC or VOBA is written off immediately through net income and any new acquisition costs associated with the replacement contract are deferred. If the modification does not substantially change the contract, the DAC or VOBA amortization on the original contract will continue and any acquisition costs associated with the related modification are expensed.</w:t>
      </w:r>
    </w:p>
    <w:p>
      <w:pPr>
        <w:spacing w:after="0" w:line="75"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Company also has intangible assets representing deferred sales inducements (“DSI”) included in other assets and unearned revenue liabilities included in other policy-related balances. The Company defers sales inducements and unearned revenue and amortizes the balances using the same methodology and assumptions used to amortize DAC and VOBA.</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Changes to GAAP are established by the Financial Accounting Standards Board (“FASB”) in the form of accounting standards updates (“ASU”) to the FASB Accounting Standards Codification. The Company considers the applicability and impact of all ASUs. Except as noted below, there were no significant ASUs adopted during the period ended March 31, 2023.</w:t>
      </w:r>
    </w:p>
    <w:p>
      <w:pPr>
        <w:spacing w:after="0" w:line="82"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March 2022, the FASB issued new guidance on Troubled Debt Restructurings (“TDR”) (ASU 2022-02, Financial Instruments—Credit Losses (Topic 326): Troubled Debt Restructurings and Vintage Disclosures). This ASU eliminates TDR recognition and measurement guidance and, instead, requires that an entity evaluate (consistent with the accounting for other loan modifications) whether the modification represents a new loan or a continuation of an existing loan. The amendments also enhance existing disclosure requirements and introduce new requirements related to certain modifications of receivables made to borrowers experiencing financial difficulty. The Company adopted this guidance on January 1, 2023. This ASU was applied prospectively and did not have a material impact on the consolidated financial statements upon adoption but could change the future recognition and measurement of modified loans and other receivables.</w:t>
      </w:r>
    </w:p>
    <w:p>
      <w:pPr>
        <w:spacing w:after="0" w:line="9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August 2018, the FASB issued new guidance on long-duration contracts (ASU 2018-12, Financial Services-Insurance (Topic 944): Targeted Improvements to the Accounting for Long-Duration Contracts (“LDTI”)). LDTI is effective for fiscal years beginning after January 1, 2023. LDTI resulted in significant changes to the measurement, presentation and disclosure requirements for long-duration insurance contracts. A summary of the most significant changes is provided below:</w:t>
      </w:r>
    </w:p>
    <w:p>
      <w:pPr>
        <w:spacing w:after="0" w:line="85" w:lineRule="exact"/>
        <w:rPr>
          <w:sz w:val="20"/>
          <w:szCs w:val="20"/>
          <w:color w:val="auto"/>
        </w:rPr>
      </w:pPr>
    </w:p>
    <w:p>
      <w:pPr>
        <w:jc w:val="both"/>
        <w:ind w:firstLine="324"/>
        <w:spacing w:after="0" w:line="255" w:lineRule="auto"/>
        <w:tabs>
          <w:tab w:leader="none" w:pos="606" w:val="left"/>
        </w:tabs>
        <w:numPr>
          <w:ilvl w:val="0"/>
          <w:numId w:val="3"/>
        </w:numPr>
        <w:rPr>
          <w:rFonts w:ascii="Arial" w:cs="Arial" w:eastAsia="Arial" w:hAnsi="Arial"/>
          <w:sz w:val="18"/>
          <w:szCs w:val="18"/>
          <w:color w:val="auto"/>
        </w:rPr>
      </w:pPr>
      <w:r>
        <w:rPr>
          <w:rFonts w:ascii="Arial" w:cs="Arial" w:eastAsia="Arial" w:hAnsi="Arial"/>
          <w:sz w:val="18"/>
          <w:szCs w:val="18"/>
          <w:color w:val="auto"/>
        </w:rPr>
        <w:t>Guaranteed benefits associated with variable annuity and certain fixed annuity contracts have been classified and presented separately on the consolidated balance sheets as MRBs. MRBs are now measured at estimated fair value through net income and reported separately on the consolidated statements of operations, except for nonperformance risk changes, which will be recognized in OCI.</w:t>
      </w:r>
    </w:p>
    <w:p>
      <w:pPr>
        <w:spacing w:after="0" w:line="82" w:lineRule="exact"/>
        <w:rPr>
          <w:rFonts w:ascii="Arial" w:cs="Arial" w:eastAsia="Arial" w:hAnsi="Arial"/>
          <w:sz w:val="18"/>
          <w:szCs w:val="18"/>
          <w:color w:val="auto"/>
        </w:rPr>
      </w:pPr>
    </w:p>
    <w:p>
      <w:pPr>
        <w:jc w:val="both"/>
        <w:ind w:firstLine="324"/>
        <w:spacing w:after="0" w:line="330" w:lineRule="auto"/>
        <w:tabs>
          <w:tab w:leader="none" w:pos="571" w:val="left"/>
        </w:tabs>
        <w:numPr>
          <w:ilvl w:val="0"/>
          <w:numId w:val="3"/>
        </w:numPr>
        <w:rPr>
          <w:rFonts w:ascii="Arial" w:cs="Arial" w:eastAsia="Arial" w:hAnsi="Arial"/>
          <w:sz w:val="15"/>
          <w:szCs w:val="15"/>
          <w:color w:val="auto"/>
        </w:rPr>
      </w:pPr>
      <w:r>
        <w:rPr>
          <w:rFonts w:ascii="Arial" w:cs="Arial" w:eastAsia="Arial" w:hAnsi="Arial"/>
          <w:sz w:val="15"/>
          <w:szCs w:val="15"/>
          <w:color w:val="auto"/>
        </w:rPr>
        <w:t>Cash flow assumptions used to measure the liability for LFPBs on traditional long-duration contracts (including term and non-participating whole life insurance and immediate annuities) have been updated on an annual basis using a retrospective method. The resulting remeasurement gain or loss is now reported separately on the consolidated statements of operations along with the remeasurement gain or loss on universal life-type contract liabilities.</w:t>
      </w:r>
    </w:p>
    <w:p>
      <w:pPr>
        <w:spacing w:after="0" w:line="30" w:lineRule="exact"/>
        <w:rPr>
          <w:rFonts w:ascii="Arial" w:cs="Arial" w:eastAsia="Arial" w:hAnsi="Arial"/>
          <w:sz w:val="15"/>
          <w:szCs w:val="15"/>
          <w:color w:val="auto"/>
        </w:rPr>
      </w:pPr>
    </w:p>
    <w:p>
      <w:pPr>
        <w:ind w:firstLine="324"/>
        <w:spacing w:after="0" w:line="264" w:lineRule="auto"/>
        <w:tabs>
          <w:tab w:leader="none" w:pos="59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discount rate assumption used to measure the liability for traditional long-duration contracts is now based on an upper-medium grade fixed income yield, updated quarterly, with changes recognized in OCI.</w:t>
      </w:r>
    </w:p>
    <w:p>
      <w:pPr>
        <w:spacing w:after="0" w:line="74" w:lineRule="exact"/>
        <w:rPr>
          <w:rFonts w:ascii="Arial" w:cs="Arial" w:eastAsia="Arial" w:hAnsi="Arial"/>
          <w:sz w:val="18"/>
          <w:szCs w:val="18"/>
          <w:color w:val="auto"/>
        </w:rPr>
      </w:pPr>
    </w:p>
    <w:p>
      <w:pPr>
        <w:jc w:val="both"/>
        <w:ind w:firstLine="324"/>
        <w:spacing w:after="0" w:line="255" w:lineRule="auto"/>
        <w:tabs>
          <w:tab w:leader="none" w:pos="587" w:val="left"/>
        </w:tabs>
        <w:numPr>
          <w:ilvl w:val="0"/>
          <w:numId w:val="3"/>
        </w:numPr>
        <w:rPr>
          <w:rFonts w:ascii="Arial" w:cs="Arial" w:eastAsia="Arial" w:hAnsi="Arial"/>
          <w:sz w:val="18"/>
          <w:szCs w:val="18"/>
          <w:color w:val="auto"/>
        </w:rPr>
      </w:pPr>
      <w:r>
        <w:rPr>
          <w:rFonts w:ascii="Arial" w:cs="Arial" w:eastAsia="Arial" w:hAnsi="Arial"/>
          <w:sz w:val="18"/>
          <w:szCs w:val="18"/>
          <w:color w:val="auto"/>
        </w:rPr>
        <w:t>DAC for all insurance products are required to be amortized on a constant-level basis over the expected term of the contracts, using amortization methods that are not a function of revenue or profit emergence. Changes in assumptions used to amortize DAC have been recognized as a revision to future amortization amounts.</w:t>
      </w:r>
    </w:p>
    <w:p>
      <w:pPr>
        <w:spacing w:after="0" w:line="82" w:lineRule="exact"/>
        <w:rPr>
          <w:rFonts w:ascii="Arial" w:cs="Arial" w:eastAsia="Arial" w:hAnsi="Arial"/>
          <w:sz w:val="18"/>
          <w:szCs w:val="18"/>
          <w:color w:val="auto"/>
        </w:rPr>
      </w:pPr>
    </w:p>
    <w:p>
      <w:pPr>
        <w:ind w:firstLine="324"/>
        <w:spacing w:after="0" w:line="365" w:lineRule="auto"/>
        <w:tabs>
          <w:tab w:leader="none" w:pos="571"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There was a significant increase in required disclosures, including disaggregated rollforwards of insurance contract assets and liabilities supplemented by qualitative and quantitative information regarding the cash flows, assumptions, methods and judgements used to measure those balances.</w:t>
      </w:r>
    </w:p>
    <w:p>
      <w:pPr>
        <w:spacing w:after="0" w:line="5"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transition date was January 1, 2021. MRB changes were required to be applied on a retrospective basis, while the changes for insurance liability assumption updates and DAC amortization were applied to existing carrying amounts on the transition date.</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cumulative effect, on an after-tax basis, of the adoption of ASU 2018-12 as of the transition date was a $5.4 billion decrease to retained earnings and a $3.9 billion decrease to accumulated other comprehensive income (loss) (“AOCI”). See Note 2 for more detailed information on the impacts of the ASU to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ASU 2018-12 Transition</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adopted ASU 2018-12 for LFPBs, DAC and other balances amortized on a basis consistent with DAC by applying the guidance to contracts in-force on the basis of their existing carrying amounts at the transition date. The Company adopted ASU 2018-12 for MRBs on a fully retrospective basis.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effect of transition adjustments on stockholders’ equity at January 1, 2021 due to the adoption of ASU 2018-12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gridSpan w:val="2"/>
          </w:tcPr>
          <w:p>
            <w:pPr>
              <w:spacing w:after="0"/>
              <w:rPr>
                <w:sz w:val="20"/>
                <w:szCs w:val="20"/>
                <w:color w:val="auto"/>
              </w:rPr>
            </w:pPr>
            <w:r>
              <w:rPr>
                <w:rFonts w:ascii="Arial" w:cs="Arial" w:eastAsia="Arial" w:hAnsi="Arial"/>
                <w:sz w:val="14"/>
                <w:szCs w:val="14"/>
                <w:b w:val="1"/>
                <w:bCs w:val="1"/>
                <w:color w:val="auto"/>
              </w:rPr>
              <w:t>Retained Earnings (Deficit)</w:t>
            </w:r>
          </w:p>
        </w:tc>
        <w:tc>
          <w:tcPr>
            <w:tcW w:w="540" w:type="dxa"/>
            <w:vAlign w:val="bottom"/>
          </w:tcPr>
          <w:p>
            <w:pPr>
              <w:spacing w:after="0"/>
              <w:rPr>
                <w:sz w:val="15"/>
                <w:szCs w:val="15"/>
                <w:color w:val="auto"/>
              </w:rPr>
            </w:pPr>
          </w:p>
        </w:tc>
        <w:tc>
          <w:tcPr>
            <w:tcW w:w="1360" w:type="dxa"/>
            <w:vAlign w:val="bottom"/>
          </w:tcPr>
          <w:p>
            <w:pPr>
              <w:jc w:val="right"/>
              <w:ind w:right="682"/>
              <w:spacing w:after="0"/>
              <w:rPr>
                <w:sz w:val="20"/>
                <w:szCs w:val="20"/>
                <w:color w:val="auto"/>
              </w:rPr>
            </w:pPr>
            <w:r>
              <w:rPr>
                <w:rFonts w:ascii="Arial" w:cs="Arial" w:eastAsia="Arial" w:hAnsi="Arial"/>
                <w:sz w:val="14"/>
                <w:szCs w:val="14"/>
                <w:b w:val="1"/>
                <w:bCs w:val="1"/>
                <w:color w:val="auto"/>
              </w:rPr>
              <w:t>AOCI</w:t>
            </w:r>
          </w:p>
        </w:tc>
      </w:tr>
      <w:tr>
        <w:trPr>
          <w:trHeight w:val="38"/>
        </w:trPr>
        <w:tc>
          <w:tcPr>
            <w:tcW w:w="73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3"/>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5"/>
        </w:trPr>
        <w:tc>
          <w:tcPr>
            <w:tcW w:w="7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3"/>
          </w:tcPr>
          <w:p>
            <w:pPr>
              <w:jc w:val="right"/>
              <w:ind w:right="141"/>
              <w:spacing w:after="0"/>
              <w:rPr>
                <w:sz w:val="20"/>
                <w:szCs w:val="20"/>
                <w:color w:val="auto"/>
              </w:rPr>
            </w:pPr>
            <w:r>
              <w:rPr>
                <w:rFonts w:ascii="Arial" w:cs="Arial" w:eastAsia="Arial" w:hAnsi="Arial"/>
                <w:sz w:val="14"/>
                <w:szCs w:val="14"/>
                <w:b w:val="1"/>
                <w:bCs w:val="1"/>
                <w:color w:val="auto"/>
              </w:rPr>
              <w:t>(In millions)</w:t>
            </w:r>
          </w:p>
        </w:tc>
        <w:tc>
          <w:tcPr>
            <w:tcW w:w="1360" w:type="dxa"/>
            <w:vAlign w:val="bottom"/>
          </w:tcPr>
          <w:p>
            <w:pPr>
              <w:spacing w:after="0"/>
              <w:rPr>
                <w:sz w:val="16"/>
                <w:szCs w:val="16"/>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Liability for future policy 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(2,073)</w:t>
            </w:r>
          </w:p>
        </w:tc>
      </w:tr>
      <w:tr>
        <w:trPr>
          <w:trHeight w:val="209"/>
        </w:trPr>
        <w:tc>
          <w:tcPr>
            <w:tcW w:w="7340" w:type="dxa"/>
            <w:vAlign w:val="bottom"/>
          </w:tcPr>
          <w:p>
            <w:pPr>
              <w:ind w:left="20"/>
              <w:spacing w:after="0"/>
              <w:rPr>
                <w:sz w:val="20"/>
                <w:szCs w:val="20"/>
                <w:color w:val="auto"/>
              </w:rPr>
            </w:pPr>
            <w:r>
              <w:rPr>
                <w:rFonts w:ascii="Arial" w:cs="Arial" w:eastAsia="Arial" w:hAnsi="Arial"/>
                <w:sz w:val="16"/>
                <w:szCs w:val="16"/>
                <w:color w:val="auto"/>
              </w:rPr>
              <w:t>Market risk benefits and related adjustments</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(6,237)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(3,454)</w:t>
            </w:r>
          </w:p>
        </w:tc>
      </w:tr>
      <w:tr>
        <w:trPr>
          <w:trHeight w:val="214"/>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DAC and VOBA</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w:t>
            </w:r>
          </w:p>
        </w:tc>
      </w:tr>
      <w:tr>
        <w:trPr>
          <w:trHeight w:val="210"/>
        </w:trPr>
        <w:tc>
          <w:tcPr>
            <w:tcW w:w="7340" w:type="dxa"/>
            <w:vAlign w:val="bottom"/>
          </w:tcPr>
          <w:p>
            <w:pPr>
              <w:ind w:left="20"/>
              <w:spacing w:after="0"/>
              <w:rPr>
                <w:sz w:val="20"/>
                <w:szCs w:val="20"/>
                <w:color w:val="auto"/>
              </w:rPr>
            </w:pPr>
            <w:r>
              <w:rPr>
                <w:rFonts w:ascii="Arial" w:cs="Arial" w:eastAsia="Arial" w:hAnsi="Arial"/>
                <w:sz w:val="16"/>
                <w:szCs w:val="16"/>
                <w:color w:val="auto"/>
              </w:rPr>
              <w:t>Reinsurance recoverables</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2"/>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 asset</w:t>
            </w:r>
          </w:p>
        </w:tc>
        <w:tc>
          <w:tcPr>
            <w:tcW w:w="1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1,044</w:t>
            </w:r>
          </w:p>
        </w:tc>
      </w:tr>
      <w:tr>
        <w:trPr>
          <w:trHeight w:val="208"/>
        </w:trPr>
        <w:tc>
          <w:tcPr>
            <w:tcW w:w="7340" w:type="dxa"/>
            <w:vAlign w:val="bottom"/>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(5,383)</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(3,929)</w:t>
            </w:r>
          </w:p>
        </w:tc>
      </w:tr>
      <w:tr>
        <w:trPr>
          <w:trHeight w:val="20"/>
        </w:trPr>
        <w:tc>
          <w:tcPr>
            <w:tcW w:w="7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LFPBs, the transition adjustment to retained earnings relates to instances where net premiums exceed gross premiums resulting in LFPBs being increased to eliminate the premium deficiency. The premium deficiency primarily relates to structured settlement annuities. The transition adjustment related to AOCI represents the effect of the requirement to discount LFPBs based on an upper-medium grade fixed income rate as well as the removal of amounts previously recorded in AOCI for the effects of unrealized investment gains and losses.</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MRBs, the transition adjustment to AOCI relates to the cumulative effect of changes in the nonperformance risk between contract issue date and transition date. The remaining difference between the estimated fair value and carrying amount of MRBs at transition, excluding the amounts recorded in AOCI, was recorded as an adjustment to retained earnings as of the transition date.</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DAC and VOBA, the Company removed amounts previously recorded in AOCI for the effect of unrealized investment gains and losses.</w:t>
      </w:r>
    </w:p>
    <w:p>
      <w:pPr>
        <w:spacing w:after="0" w:line="12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reinsurance, the adjustments to both retained earnings and AOCI were made to align the measurement of reinsurance recoverables with the related LFPBs.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balances of and changes in LFPBs at January 1, 2021 due to the adoption of ASU 2018-12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43"/>
              <w:spacing w:after="0"/>
              <w:rPr>
                <w:sz w:val="20"/>
                <w:szCs w:val="20"/>
                <w:color w:val="auto"/>
              </w:rPr>
            </w:pPr>
            <w:r>
              <w:rPr>
                <w:rFonts w:ascii="Arial" w:cs="Arial" w:eastAsia="Arial" w:hAnsi="Arial"/>
                <w:sz w:val="14"/>
                <w:szCs w:val="14"/>
                <w:b w:val="1"/>
                <w:bCs w:val="1"/>
                <w:color w:val="auto"/>
                <w:w w:val="93"/>
              </w:rPr>
              <w:t>Structured</w:t>
            </w:r>
          </w:p>
        </w:tc>
        <w:tc>
          <w:tcPr>
            <w:tcW w:w="0" w:type="dxa"/>
            <w:vAlign w:val="bottom"/>
          </w:tcPr>
          <w:p>
            <w:pPr>
              <w:spacing w:after="0"/>
              <w:rPr>
                <w:sz w:val="1"/>
                <w:szCs w:val="1"/>
                <w:color w:val="auto"/>
              </w:rPr>
            </w:pPr>
          </w:p>
        </w:tc>
      </w:tr>
      <w:tr>
        <w:trPr>
          <w:trHeight w:val="172"/>
        </w:trPr>
        <w:tc>
          <w:tcPr>
            <w:tcW w:w="7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43"/>
              <w:spacing w:after="0"/>
              <w:rPr>
                <w:sz w:val="20"/>
                <w:szCs w:val="20"/>
                <w:color w:val="auto"/>
              </w:rPr>
            </w:pPr>
            <w:r>
              <w:rPr>
                <w:rFonts w:ascii="Arial" w:cs="Arial" w:eastAsia="Arial" w:hAnsi="Arial"/>
                <w:sz w:val="14"/>
                <w:szCs w:val="14"/>
                <w:b w:val="1"/>
                <w:bCs w:val="1"/>
                <w:color w:val="auto"/>
                <w:w w:val="89"/>
              </w:rPr>
              <w:t>Settlement and</w:t>
            </w:r>
          </w:p>
        </w:tc>
        <w:tc>
          <w:tcPr>
            <w:tcW w:w="0" w:type="dxa"/>
            <w:vAlign w:val="bottom"/>
          </w:tcPr>
          <w:p>
            <w:pPr>
              <w:spacing w:after="0"/>
              <w:rPr>
                <w:sz w:val="1"/>
                <w:szCs w:val="1"/>
                <w:color w:val="auto"/>
              </w:rPr>
            </w:pPr>
          </w:p>
        </w:tc>
      </w:tr>
      <w:tr>
        <w:trPr>
          <w:trHeight w:val="195"/>
        </w:trPr>
        <w:tc>
          <w:tcPr>
            <w:tcW w:w="7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 and Whole</w:t>
            </w: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Income Annuities</w:t>
            </w:r>
          </w:p>
        </w:tc>
        <w:tc>
          <w:tcPr>
            <w:tcW w:w="120" w:type="dxa"/>
            <w:vAlign w:val="bottom"/>
          </w:tcPr>
          <w:p>
            <w:pPr>
              <w:spacing w:after="0"/>
              <w:rPr>
                <w:sz w:val="16"/>
                <w:szCs w:val="16"/>
                <w:color w:val="auto"/>
              </w:rPr>
            </w:pPr>
          </w:p>
        </w:tc>
        <w:tc>
          <w:tcPr>
            <w:tcW w:w="1100" w:type="dxa"/>
            <w:vAlign w:val="bottom"/>
          </w:tcPr>
          <w:p>
            <w:pPr>
              <w:jc w:val="center"/>
              <w:ind w:right="43"/>
              <w:spacing w:after="0"/>
              <w:rPr>
                <w:sz w:val="20"/>
                <w:szCs w:val="20"/>
                <w:color w:val="auto"/>
              </w:rPr>
            </w:pPr>
            <w:r>
              <w:rPr>
                <w:rFonts w:ascii="Arial" w:cs="Arial" w:eastAsia="Arial" w:hAnsi="Arial"/>
                <w:sz w:val="14"/>
                <w:szCs w:val="14"/>
                <w:b w:val="1"/>
                <w:bCs w:val="1"/>
                <w:color w:val="auto"/>
                <w:w w:val="88"/>
              </w:rPr>
              <w:t>Pension Risk</w:t>
            </w:r>
          </w:p>
        </w:tc>
        <w:tc>
          <w:tcPr>
            <w:tcW w:w="0" w:type="dxa"/>
            <w:vAlign w:val="bottom"/>
          </w:tcPr>
          <w:p>
            <w:pPr>
              <w:spacing w:after="0"/>
              <w:rPr>
                <w:sz w:val="1"/>
                <w:szCs w:val="1"/>
                <w:color w:val="auto"/>
              </w:rPr>
            </w:pPr>
          </w:p>
        </w:tc>
      </w:tr>
      <w:tr>
        <w:trPr>
          <w:trHeight w:val="192"/>
        </w:trPr>
        <w:tc>
          <w:tcPr>
            <w:tcW w:w="73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Life Insurance</w:t>
            </w:r>
          </w:p>
        </w:tc>
        <w:tc>
          <w:tcPr>
            <w:tcW w:w="1320" w:type="dxa"/>
            <w:vAlign w:val="bottom"/>
            <w:tcBorders>
              <w:bottom w:val="single" w:sz="8" w:color="auto"/>
            </w:tcBorders>
            <w:gridSpan w:val="3"/>
            <w:vMerge w:val="continue"/>
          </w:tcPr>
          <w:p>
            <w:pPr>
              <w:spacing w:after="0"/>
              <w:rPr>
                <w:sz w:val="16"/>
                <w:szCs w:val="16"/>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Transfer Annuities</w:t>
            </w:r>
          </w:p>
        </w:tc>
        <w:tc>
          <w:tcPr>
            <w:tcW w:w="0" w:type="dxa"/>
            <w:vAlign w:val="bottom"/>
          </w:tcPr>
          <w:p>
            <w:pPr>
              <w:spacing w:after="0"/>
              <w:rPr>
                <w:sz w:val="1"/>
                <w:szCs w:val="1"/>
                <w:color w:val="auto"/>
              </w:rPr>
            </w:pPr>
          </w:p>
        </w:tc>
      </w:tr>
      <w:tr>
        <w:trPr>
          <w:trHeight w:val="188"/>
        </w:trPr>
        <w:tc>
          <w:tcPr>
            <w:tcW w:w="7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7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10,115</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Arial" w:cs="Arial" w:eastAsia="Arial" w:hAnsi="Arial"/>
                <w:sz w:val="16"/>
                <w:szCs w:val="16"/>
                <w:color w:val="auto"/>
              </w:rPr>
              <w:t>Removal of related balances in AOCI</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(1,784)</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cash flow assumptions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Arial" w:cs="Arial" w:eastAsia="Arial" w:hAnsi="Arial"/>
                <w:sz w:val="16"/>
                <w:szCs w:val="16"/>
                <w:color w:val="auto"/>
              </w:rPr>
              <w:t>Initial recognition of deferred profit liabilities</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discount rate assumptions</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2,770</w:t>
            </w:r>
          </w:p>
        </w:tc>
        <w:tc>
          <w:tcPr>
            <w:tcW w:w="0" w:type="dxa"/>
            <w:vAlign w:val="bottom"/>
          </w:tcPr>
          <w:p>
            <w:pPr>
              <w:spacing w:after="0"/>
              <w:rPr>
                <w:sz w:val="1"/>
                <w:szCs w:val="1"/>
                <w:color w:val="auto"/>
              </w:rPr>
            </w:pPr>
          </w:p>
        </w:tc>
      </w:tr>
      <w:tr>
        <w:trPr>
          <w:trHeight w:val="203"/>
        </w:trPr>
        <w:tc>
          <w:tcPr>
            <w:tcW w:w="7380" w:type="dxa"/>
            <w:vAlign w:val="bottom"/>
          </w:tcPr>
          <w:p>
            <w:pPr>
              <w:ind w:left="20"/>
              <w:spacing w:after="0"/>
              <w:rPr>
                <w:sz w:val="20"/>
                <w:szCs w:val="20"/>
                <w:color w:val="auto"/>
              </w:rPr>
            </w:pPr>
            <w:r>
              <w:rPr>
                <w:rFonts w:ascii="Arial" w:cs="Arial" w:eastAsia="Arial" w:hAnsi="Arial"/>
                <w:sz w:val="16"/>
                <w:szCs w:val="16"/>
                <w:color w:val="auto"/>
              </w:rPr>
              <w:t>Adjusted balance at January 1, 2021</w:t>
            </w:r>
          </w:p>
        </w:tc>
        <w:tc>
          <w:tcPr>
            <w:tcW w:w="10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3,404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11,518</w:t>
            </w:r>
          </w:p>
        </w:tc>
        <w:tc>
          <w:tcPr>
            <w:tcW w:w="0" w:type="dxa"/>
            <w:vAlign w:val="bottom"/>
          </w:tcPr>
          <w:p>
            <w:pPr>
              <w:spacing w:after="0"/>
              <w:rPr>
                <w:sz w:val="1"/>
                <w:szCs w:val="1"/>
                <w:color w:val="auto"/>
              </w:rPr>
            </w:pPr>
          </w:p>
        </w:tc>
      </w:tr>
      <w:tr>
        <w:trPr>
          <w:trHeight w:val="212"/>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Reinsurance recoverable</w:t>
            </w: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8"/>
        </w:trPr>
        <w:tc>
          <w:tcPr>
            <w:tcW w:w="7380" w:type="dxa"/>
            <w:vAlign w:val="bottom"/>
          </w:tcPr>
          <w:p>
            <w:pPr>
              <w:ind w:left="20"/>
              <w:spacing w:after="0"/>
              <w:rPr>
                <w:sz w:val="20"/>
                <w:szCs w:val="20"/>
                <w:color w:val="auto"/>
              </w:rPr>
            </w:pPr>
            <w:r>
              <w:rPr>
                <w:rFonts w:ascii="Arial" w:cs="Arial" w:eastAsia="Arial" w:hAnsi="Arial"/>
                <w:sz w:val="16"/>
                <w:szCs w:val="16"/>
                <w:color w:val="auto"/>
              </w:rPr>
              <w:t>Adjusted balance at January 1, 2021, net of reinsurance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3,319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11,416</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ASU 2018-12 Transition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balance of and changes in liabilities classified as MRBs at January 1, 2021 due to the adoption of ASU 2018-12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2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Variable Annuities</w:t>
            </w:r>
          </w:p>
        </w:tc>
      </w:tr>
      <w:tr>
        <w:trPr>
          <w:trHeight w:val="38"/>
        </w:trPr>
        <w:tc>
          <w:tcPr>
            <w:tcW w:w="100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1"/>
        </w:trPr>
        <w:tc>
          <w:tcPr>
            <w:tcW w:w="10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62"/>
              <w:spacing w:after="0"/>
              <w:rPr>
                <w:sz w:val="20"/>
                <w:szCs w:val="20"/>
                <w:color w:val="auto"/>
              </w:rPr>
            </w:pPr>
            <w:r>
              <w:rPr>
                <w:rFonts w:ascii="Arial" w:cs="Arial" w:eastAsia="Arial" w:hAnsi="Arial"/>
                <w:sz w:val="14"/>
                <w:szCs w:val="14"/>
                <w:b w:val="1"/>
                <w:bCs w:val="1"/>
                <w:color w:val="auto"/>
                <w:w w:val="99"/>
              </w:rPr>
              <w:t>(In millions)</w:t>
            </w:r>
          </w:p>
        </w:tc>
      </w:tr>
      <w:tr>
        <w:trPr>
          <w:trHeight w:val="38"/>
        </w:trPr>
        <w:tc>
          <w:tcPr>
            <w:tcW w:w="10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2"/>
        </w:trPr>
        <w:tc>
          <w:tcPr>
            <w:tcW w:w="10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2020</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8,924</w:t>
            </w:r>
          </w:p>
        </w:tc>
      </w:tr>
      <w:tr>
        <w:trPr>
          <w:trHeight w:val="210"/>
        </w:trPr>
        <w:tc>
          <w:tcPr>
            <w:tcW w:w="10020" w:type="dxa"/>
            <w:vAlign w:val="bottom"/>
          </w:tcPr>
          <w:p>
            <w:pPr>
              <w:ind w:left="20"/>
              <w:spacing w:after="0"/>
              <w:rPr>
                <w:sz w:val="20"/>
                <w:szCs w:val="20"/>
                <w:color w:val="auto"/>
              </w:rPr>
            </w:pPr>
            <w:r>
              <w:rPr>
                <w:rFonts w:ascii="Arial" w:cs="Arial" w:eastAsia="Arial" w:hAnsi="Arial"/>
                <w:sz w:val="16"/>
                <w:szCs w:val="16"/>
                <w:color w:val="auto"/>
              </w:rPr>
              <w:t>Adjustment for the difference between carrying amount and estimated fair value, except for the difference due to nonperformance risk</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6,010</w:t>
            </w:r>
          </w:p>
        </w:tc>
      </w:tr>
      <w:tr>
        <w:trPr>
          <w:trHeight w:val="214"/>
        </w:trPr>
        <w:tc>
          <w:tcPr>
            <w:tcW w:w="10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 for cumulative effect of changes in nonperformance risk since issuance</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3,454</w:t>
            </w:r>
          </w:p>
        </w:tc>
      </w:tr>
      <w:tr>
        <w:trPr>
          <w:trHeight w:val="203"/>
        </w:trPr>
        <w:tc>
          <w:tcPr>
            <w:tcW w:w="10020" w:type="dxa"/>
            <w:vAlign w:val="bottom"/>
          </w:tcPr>
          <w:p>
            <w:pPr>
              <w:ind w:left="20"/>
              <w:spacing w:after="0"/>
              <w:rPr>
                <w:sz w:val="20"/>
                <w:szCs w:val="20"/>
                <w:color w:val="auto"/>
              </w:rPr>
            </w:pPr>
            <w:r>
              <w:rPr>
                <w:rFonts w:ascii="Arial" w:cs="Arial" w:eastAsia="Arial" w:hAnsi="Arial"/>
                <w:sz w:val="16"/>
                <w:szCs w:val="16"/>
                <w:color w:val="auto"/>
              </w:rPr>
              <w:t>Adjusted balance at January 1, 2021</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18,388</w:t>
            </w:r>
          </w:p>
        </w:tc>
      </w:tr>
      <w:tr>
        <w:trPr>
          <w:trHeight w:val="212"/>
        </w:trPr>
        <w:tc>
          <w:tcPr>
            <w:tcW w:w="10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Reinsurance recoverable</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08"/>
        </w:trPr>
        <w:tc>
          <w:tcPr>
            <w:tcW w:w="10020" w:type="dxa"/>
            <w:vAlign w:val="bottom"/>
          </w:tcPr>
          <w:p>
            <w:pPr>
              <w:ind w:left="20"/>
              <w:spacing w:after="0"/>
              <w:rPr>
                <w:sz w:val="20"/>
                <w:szCs w:val="20"/>
                <w:color w:val="auto"/>
              </w:rPr>
            </w:pPr>
            <w:r>
              <w:rPr>
                <w:rFonts w:ascii="Arial" w:cs="Arial" w:eastAsia="Arial" w:hAnsi="Arial"/>
                <w:sz w:val="16"/>
                <w:szCs w:val="16"/>
                <w:color w:val="auto"/>
              </w:rPr>
              <w:t>Adjusted balance at January 1, 2021, net of reinsurance</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18,219</w:t>
            </w:r>
          </w:p>
        </w:tc>
      </w:tr>
      <w:tr>
        <w:trPr>
          <w:trHeight w:val="20"/>
        </w:trPr>
        <w:tc>
          <w:tcPr>
            <w:tcW w:w="10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40" w:type="dxa"/>
            <w:vAlign w:val="bottom"/>
          </w:tcPr>
          <w:p>
            <w:pPr>
              <w:ind w:left="320"/>
              <w:spacing w:after="0"/>
              <w:rPr>
                <w:sz w:val="20"/>
                <w:szCs w:val="20"/>
                <w:color w:val="auto"/>
              </w:rPr>
            </w:pPr>
            <w:r>
              <w:rPr>
                <w:rFonts w:ascii="Arial" w:cs="Arial" w:eastAsia="Arial" w:hAnsi="Arial"/>
                <w:sz w:val="18"/>
                <w:szCs w:val="18"/>
                <w:color w:val="auto"/>
                <w:w w:val="97"/>
              </w:rPr>
              <w:t>The  balances  of  and  changes</w:t>
            </w:r>
          </w:p>
        </w:tc>
        <w:tc>
          <w:tcPr>
            <w:tcW w:w="2160" w:type="dxa"/>
            <w:vAlign w:val="bottom"/>
            <w:gridSpan w:val="2"/>
          </w:tcPr>
          <w:p>
            <w:pPr>
              <w:jc w:val="right"/>
              <w:ind w:right="9"/>
              <w:spacing w:after="0"/>
              <w:rPr>
                <w:sz w:val="20"/>
                <w:szCs w:val="20"/>
                <w:color w:val="auto"/>
              </w:rPr>
            </w:pPr>
            <w:r>
              <w:rPr>
                <w:rFonts w:ascii="Arial" w:cs="Arial" w:eastAsia="Arial" w:hAnsi="Arial"/>
                <w:sz w:val="18"/>
                <w:szCs w:val="18"/>
                <w:color w:val="auto"/>
              </w:rPr>
              <w:t>in  DAC  and  VOBA  on</w:t>
            </w:r>
          </w:p>
        </w:tc>
        <w:tc>
          <w:tcPr>
            <w:tcW w:w="940" w:type="dxa"/>
            <w:vAlign w:val="bottom"/>
          </w:tcPr>
          <w:p>
            <w:pPr>
              <w:jc w:val="right"/>
              <w:spacing w:after="0"/>
              <w:rPr>
                <w:sz w:val="20"/>
                <w:szCs w:val="20"/>
                <w:color w:val="auto"/>
              </w:rPr>
            </w:pPr>
            <w:r>
              <w:rPr>
                <w:rFonts w:ascii="Arial" w:cs="Arial" w:eastAsia="Arial" w:hAnsi="Arial"/>
                <w:sz w:val="18"/>
                <w:szCs w:val="18"/>
                <w:color w:val="auto"/>
                <w:w w:val="98"/>
              </w:rPr>
              <w:t>January  1,</w:t>
            </w:r>
          </w:p>
        </w:tc>
        <w:tc>
          <w:tcPr>
            <w:tcW w:w="940" w:type="dxa"/>
            <w:vAlign w:val="bottom"/>
            <w:gridSpan w:val="2"/>
          </w:tcPr>
          <w:p>
            <w:pPr>
              <w:ind w:left="100"/>
              <w:spacing w:after="0"/>
              <w:rPr>
                <w:sz w:val="20"/>
                <w:szCs w:val="20"/>
                <w:color w:val="auto"/>
              </w:rPr>
            </w:pPr>
            <w:r>
              <w:rPr>
                <w:rFonts w:ascii="Arial" w:cs="Arial" w:eastAsia="Arial" w:hAnsi="Arial"/>
                <w:sz w:val="18"/>
                <w:szCs w:val="18"/>
                <w:color w:val="auto"/>
              </w:rPr>
              <w:t>2021  due</w:t>
            </w:r>
          </w:p>
        </w:tc>
        <w:tc>
          <w:tcPr>
            <w:tcW w:w="340" w:type="dxa"/>
            <w:vAlign w:val="bottom"/>
          </w:tcPr>
          <w:p>
            <w:pPr>
              <w:jc w:val="right"/>
              <w:ind w:right="59"/>
              <w:spacing w:after="0"/>
              <w:rPr>
                <w:sz w:val="20"/>
                <w:szCs w:val="20"/>
                <w:color w:val="auto"/>
              </w:rPr>
            </w:pPr>
            <w:r>
              <w:rPr>
                <w:rFonts w:ascii="Arial" w:cs="Arial" w:eastAsia="Arial" w:hAnsi="Arial"/>
                <w:sz w:val="18"/>
                <w:szCs w:val="18"/>
                <w:color w:val="auto"/>
              </w:rPr>
              <w:t>to</w:t>
            </w:r>
          </w:p>
        </w:tc>
        <w:tc>
          <w:tcPr>
            <w:tcW w:w="300" w:type="dxa"/>
            <w:vAlign w:val="bottom"/>
            <w:gridSpan w:val="3"/>
          </w:tcPr>
          <w:p>
            <w:pPr>
              <w:jc w:val="right"/>
              <w:ind w:right="80"/>
              <w:spacing w:after="0"/>
              <w:rPr>
                <w:sz w:val="20"/>
                <w:szCs w:val="20"/>
                <w:color w:val="auto"/>
              </w:rPr>
            </w:pPr>
            <w:r>
              <w:rPr>
                <w:rFonts w:ascii="Arial" w:cs="Arial" w:eastAsia="Arial" w:hAnsi="Arial"/>
                <w:sz w:val="18"/>
                <w:szCs w:val="18"/>
                <w:color w:val="auto"/>
                <w:w w:val="79"/>
              </w:rPr>
              <w:t>the</w:t>
            </w:r>
          </w:p>
        </w:tc>
        <w:tc>
          <w:tcPr>
            <w:tcW w:w="1080" w:type="dxa"/>
            <w:vAlign w:val="bottom"/>
          </w:tcPr>
          <w:p>
            <w:pPr>
              <w:jc w:val="right"/>
              <w:ind w:right="22"/>
              <w:spacing w:after="0"/>
              <w:rPr>
                <w:sz w:val="20"/>
                <w:szCs w:val="20"/>
                <w:color w:val="auto"/>
              </w:rPr>
            </w:pPr>
            <w:r>
              <w:rPr>
                <w:rFonts w:ascii="Arial" w:cs="Arial" w:eastAsia="Arial" w:hAnsi="Arial"/>
                <w:sz w:val="18"/>
                <w:szCs w:val="18"/>
                <w:color w:val="auto"/>
              </w:rPr>
              <w:t>adoption  of</w:t>
            </w:r>
          </w:p>
        </w:tc>
        <w:tc>
          <w:tcPr>
            <w:tcW w:w="1260" w:type="dxa"/>
            <w:vAlign w:val="bottom"/>
            <w:gridSpan w:val="3"/>
          </w:tcPr>
          <w:p>
            <w:pPr>
              <w:jc w:val="right"/>
              <w:ind w:right="43"/>
              <w:spacing w:after="0"/>
              <w:rPr>
                <w:sz w:val="20"/>
                <w:szCs w:val="20"/>
                <w:color w:val="auto"/>
              </w:rPr>
            </w:pPr>
            <w:r>
              <w:rPr>
                <w:rFonts w:ascii="Arial" w:cs="Arial" w:eastAsia="Arial" w:hAnsi="Arial"/>
                <w:sz w:val="18"/>
                <w:szCs w:val="18"/>
                <w:color w:val="auto"/>
                <w:w w:val="99"/>
              </w:rPr>
              <w:t>ASU  2018-12</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w w:val="98"/>
              </w:rPr>
              <w:t>were  as  follows:</w:t>
            </w:r>
          </w:p>
        </w:tc>
      </w:tr>
      <w:tr>
        <w:trPr>
          <w:trHeight w:val="190"/>
        </w:trPr>
        <w:tc>
          <w:tcPr>
            <w:tcW w:w="28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rPr>
              <w:t>Fixed Rate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Index-Linked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1"/>
              </w:rPr>
              <w:t>Term and Whole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103"/>
              <w:spacing w:after="0"/>
              <w:rPr>
                <w:sz w:val="20"/>
                <w:szCs w:val="20"/>
                <w:color w:val="auto"/>
              </w:rPr>
            </w:pPr>
            <w:r>
              <w:rPr>
                <w:rFonts w:ascii="Arial" w:cs="Arial" w:eastAsia="Arial" w:hAnsi="Arial"/>
                <w:sz w:val="14"/>
                <w:szCs w:val="14"/>
                <w:b w:val="1"/>
                <w:bCs w:val="1"/>
                <w:color w:val="auto"/>
                <w:w w:val="95"/>
              </w:rPr>
              <w:t>Universal Life</w:t>
            </w:r>
          </w:p>
        </w:tc>
      </w:tr>
      <w:tr>
        <w:trPr>
          <w:trHeight w:val="197"/>
        </w:trPr>
        <w:tc>
          <w:tcPr>
            <w:tcW w:w="28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Variable Annuities</w:t>
            </w:r>
          </w:p>
        </w:tc>
        <w:tc>
          <w:tcPr>
            <w:tcW w:w="100" w:type="dxa"/>
            <w:vAlign w:val="bottom"/>
          </w:tcPr>
          <w:p>
            <w:pPr>
              <w:spacing w:after="0"/>
              <w:rPr>
                <w:sz w:val="17"/>
                <w:szCs w:val="17"/>
                <w:color w:val="auto"/>
              </w:rPr>
            </w:pPr>
          </w:p>
        </w:tc>
        <w:tc>
          <w:tcPr>
            <w:tcW w:w="118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Annuities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62"/>
              <w:spacing w:after="0"/>
              <w:rPr>
                <w:sz w:val="20"/>
                <w:szCs w:val="20"/>
                <w:color w:val="auto"/>
              </w:rPr>
            </w:pPr>
            <w:r>
              <w:rPr>
                <w:rFonts w:ascii="Arial" w:cs="Arial" w:eastAsia="Arial" w:hAnsi="Arial"/>
                <w:sz w:val="14"/>
                <w:szCs w:val="14"/>
                <w:b w:val="1"/>
                <w:bCs w:val="1"/>
                <w:color w:val="auto"/>
                <w:w w:val="90"/>
              </w:rPr>
              <w:t>Annuities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43"/>
              <w:spacing w:after="0"/>
              <w:rPr>
                <w:sz w:val="20"/>
                <w:szCs w:val="20"/>
                <w:color w:val="auto"/>
              </w:rPr>
            </w:pPr>
            <w:r>
              <w:rPr>
                <w:rFonts w:ascii="Arial" w:cs="Arial" w:eastAsia="Arial" w:hAnsi="Arial"/>
                <w:sz w:val="14"/>
                <w:szCs w:val="14"/>
                <w:b w:val="1"/>
                <w:bCs w:val="1"/>
                <w:color w:val="auto"/>
                <w:w w:val="96"/>
              </w:rPr>
              <w:t>Life Insurance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23"/>
              <w:spacing w:after="0"/>
              <w:rPr>
                <w:sz w:val="20"/>
                <w:szCs w:val="20"/>
                <w:color w:val="auto"/>
              </w:rPr>
            </w:pPr>
            <w:r>
              <w:rPr>
                <w:rFonts w:ascii="Arial" w:cs="Arial" w:eastAsia="Arial" w:hAnsi="Arial"/>
                <w:sz w:val="14"/>
                <w:szCs w:val="14"/>
                <w:b w:val="1"/>
                <w:bCs w:val="1"/>
                <w:color w:val="auto"/>
              </w:rPr>
              <w:t>Insurance</w:t>
            </w:r>
          </w:p>
        </w:tc>
      </w:tr>
      <w:tr>
        <w:trPr>
          <w:trHeight w:val="38"/>
        </w:trPr>
        <w:tc>
          <w:tcPr>
            <w:tcW w:w="28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28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8"/>
        </w:trPr>
        <w:tc>
          <w:tcPr>
            <w:tcW w:w="28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12"/>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DAC:</w:t>
            </w:r>
          </w:p>
        </w:tc>
        <w:tc>
          <w:tcPr>
            <w:tcW w:w="1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0"/>
        </w:trPr>
        <w:tc>
          <w:tcPr>
            <w:tcW w:w="2840" w:type="dxa"/>
            <w:vAlign w:val="bottom"/>
          </w:tcPr>
          <w:p>
            <w:pPr>
              <w:ind w:left="20"/>
              <w:spacing w:after="0"/>
              <w:rPr>
                <w:sz w:val="20"/>
                <w:szCs w:val="20"/>
                <w:color w:val="auto"/>
              </w:rPr>
            </w:pPr>
            <w:r>
              <w:rPr>
                <w:rFonts w:ascii="Arial" w:cs="Arial" w:eastAsia="Arial" w:hAnsi="Arial"/>
                <w:sz w:val="16"/>
                <w:szCs w:val="16"/>
                <w:color w:val="auto"/>
              </w:rPr>
              <w:t>Balance at December 31, 2020</w:t>
            </w:r>
          </w:p>
        </w:tc>
        <w:tc>
          <w:tcPr>
            <w:tcW w:w="2160" w:type="dxa"/>
            <w:vAlign w:val="bottom"/>
            <w:gridSpan w:val="2"/>
          </w:tcPr>
          <w:p>
            <w:pPr>
              <w:jc w:val="right"/>
              <w:ind w:right="10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2,440</w:t>
            </w:r>
          </w:p>
        </w:tc>
        <w:tc>
          <w:tcPr>
            <w:tcW w:w="9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64</w:t>
            </w:r>
          </w:p>
        </w:tc>
        <w:tc>
          <w:tcPr>
            <w:tcW w:w="3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886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527</w:t>
            </w:r>
          </w:p>
        </w:tc>
        <w:tc>
          <w:tcPr>
            <w:tcW w:w="3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492</w:t>
            </w:r>
          </w:p>
        </w:tc>
      </w:tr>
      <w:tr>
        <w:trPr>
          <w:trHeight w:val="212"/>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Removal of related amounts in AOCI</w:t>
            </w:r>
          </w:p>
        </w:tc>
        <w:tc>
          <w:tcPr>
            <w:tcW w:w="18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8"/>
        </w:trPr>
        <w:tc>
          <w:tcPr>
            <w:tcW w:w="2840" w:type="dxa"/>
            <w:vAlign w:val="bottom"/>
          </w:tcPr>
          <w:p>
            <w:pPr>
              <w:ind w:left="20"/>
              <w:spacing w:after="0"/>
              <w:rPr>
                <w:sz w:val="20"/>
                <w:szCs w:val="20"/>
                <w:color w:val="auto"/>
              </w:rPr>
            </w:pPr>
            <w:r>
              <w:rPr>
                <w:rFonts w:ascii="Arial" w:cs="Arial" w:eastAsia="Arial" w:hAnsi="Arial"/>
                <w:sz w:val="16"/>
                <w:szCs w:val="16"/>
                <w:color w:val="auto"/>
              </w:rPr>
              <w:t>Adjusted balance at January 1, 2021</w:t>
            </w:r>
          </w:p>
        </w:tc>
        <w:tc>
          <w:tcPr>
            <w:tcW w:w="2160" w:type="dxa"/>
            <w:vAlign w:val="bottom"/>
            <w:gridSpan w:val="2"/>
          </w:tcPr>
          <w:p>
            <w:pPr>
              <w:jc w:val="right"/>
              <w:ind w:right="10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2,912</w:t>
            </w:r>
          </w:p>
        </w:tc>
        <w:tc>
          <w:tcPr>
            <w:tcW w:w="9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64</w:t>
            </w:r>
          </w:p>
        </w:tc>
        <w:tc>
          <w:tcPr>
            <w:tcW w:w="3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886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527</w:t>
            </w:r>
          </w:p>
        </w:tc>
        <w:tc>
          <w:tcPr>
            <w:tcW w:w="3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469</w:t>
            </w: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79"/>
        </w:trPr>
        <w:tc>
          <w:tcPr>
            <w:tcW w:w="284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VOBA:</w:t>
            </w:r>
          </w:p>
        </w:tc>
        <w:tc>
          <w:tcPr>
            <w:tcW w:w="1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9"/>
        </w:trPr>
        <w:tc>
          <w:tcPr>
            <w:tcW w:w="2840" w:type="dxa"/>
            <w:vAlign w:val="bottom"/>
          </w:tcPr>
          <w:p>
            <w:pPr>
              <w:ind w:left="20"/>
              <w:spacing w:after="0"/>
              <w:rPr>
                <w:sz w:val="20"/>
                <w:szCs w:val="20"/>
                <w:color w:val="auto"/>
              </w:rPr>
            </w:pPr>
            <w:r>
              <w:rPr>
                <w:rFonts w:ascii="Arial" w:cs="Arial" w:eastAsia="Arial" w:hAnsi="Arial"/>
                <w:sz w:val="16"/>
                <w:szCs w:val="16"/>
                <w:color w:val="auto"/>
              </w:rPr>
              <w:t>Balance at December 31, 2020</w:t>
            </w:r>
          </w:p>
        </w:tc>
        <w:tc>
          <w:tcPr>
            <w:tcW w:w="2160" w:type="dxa"/>
            <w:vAlign w:val="bottom"/>
            <w:gridSpan w:val="2"/>
          </w:tcPr>
          <w:p>
            <w:pPr>
              <w:jc w:val="right"/>
              <w:ind w:right="10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363</w:t>
            </w:r>
          </w:p>
        </w:tc>
        <w:tc>
          <w:tcPr>
            <w:tcW w:w="9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76</w:t>
            </w:r>
          </w:p>
        </w:tc>
        <w:tc>
          <w:tcPr>
            <w:tcW w:w="3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3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2"/>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Removal of related amounts in AOCI</w:t>
            </w:r>
          </w:p>
        </w:tc>
        <w:tc>
          <w:tcPr>
            <w:tcW w:w="18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8"/>
        </w:trPr>
        <w:tc>
          <w:tcPr>
            <w:tcW w:w="2840" w:type="dxa"/>
            <w:vAlign w:val="bottom"/>
          </w:tcPr>
          <w:p>
            <w:pPr>
              <w:ind w:left="20"/>
              <w:spacing w:after="0"/>
              <w:rPr>
                <w:sz w:val="20"/>
                <w:szCs w:val="20"/>
                <w:color w:val="auto"/>
              </w:rPr>
            </w:pPr>
            <w:r>
              <w:rPr>
                <w:rFonts w:ascii="Arial" w:cs="Arial" w:eastAsia="Arial" w:hAnsi="Arial"/>
                <w:sz w:val="16"/>
                <w:szCs w:val="16"/>
                <w:color w:val="auto"/>
              </w:rPr>
              <w:t>Adjusted balance at January 1, 2021</w:t>
            </w:r>
          </w:p>
        </w:tc>
        <w:tc>
          <w:tcPr>
            <w:tcW w:w="2160" w:type="dxa"/>
            <w:vAlign w:val="bottom"/>
            <w:gridSpan w:val="2"/>
          </w:tcPr>
          <w:p>
            <w:pPr>
              <w:jc w:val="right"/>
              <w:ind w:right="10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428</w:t>
            </w:r>
          </w:p>
        </w:tc>
        <w:tc>
          <w:tcPr>
            <w:tcW w:w="9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76</w:t>
            </w:r>
          </w:p>
        </w:tc>
        <w:tc>
          <w:tcPr>
            <w:tcW w:w="3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3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0"/>
        </w:trPr>
        <w:tc>
          <w:tcPr>
            <w:tcW w:w="2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following tables present amounts previously reported in 2022 and 2021, the effect on those amounts of the change due to the adoption of ASU 2018-12 as described in Note 1, and the currently reported amounts in the Unaudited Interim Consolidated Balance Sheets and Unaudited Interim Consolidated Statements of Operations and Comprehensive Income (Loss). See Notes 4 and 5 for more information.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 2022</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December 31, 2021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8"/>
        </w:trPr>
        <w:tc>
          <w:tcPr>
            <w:tcW w:w="40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69"/>
        </w:trPr>
        <w:tc>
          <w:tcPr>
            <w:tcW w:w="4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122"/>
              <w:spacing w:after="0"/>
              <w:rPr>
                <w:sz w:val="20"/>
                <w:szCs w:val="20"/>
                <w:color w:val="auto"/>
              </w:rPr>
            </w:pPr>
            <w:r>
              <w:rPr>
                <w:rFonts w:ascii="Arial" w:cs="Arial" w:eastAsia="Arial" w:hAnsi="Arial"/>
                <w:sz w:val="14"/>
                <w:szCs w:val="14"/>
                <w:b w:val="1"/>
                <w:bCs w:val="1"/>
                <w:color w:val="auto"/>
                <w:w w:val="90"/>
              </w:rPr>
              <w:t>As Previously</w:t>
            </w:r>
          </w:p>
        </w:tc>
        <w:tc>
          <w:tcPr>
            <w:tcW w:w="260" w:type="dxa"/>
            <w:vAlign w:val="bottom"/>
          </w:tcPr>
          <w:p>
            <w:pPr>
              <w:spacing w:after="0"/>
              <w:rPr>
                <w:sz w:val="14"/>
                <w:szCs w:val="14"/>
                <w:color w:val="auto"/>
              </w:rPr>
            </w:pPr>
          </w:p>
        </w:tc>
        <w:tc>
          <w:tcPr>
            <w:tcW w:w="920" w:type="dxa"/>
            <w:vAlign w:val="bottom"/>
          </w:tcPr>
          <w:p>
            <w:pPr>
              <w:jc w:val="center"/>
              <w:ind w:right="222"/>
              <w:spacing w:after="0"/>
              <w:rPr>
                <w:sz w:val="20"/>
                <w:szCs w:val="20"/>
                <w:color w:val="auto"/>
              </w:rPr>
            </w:pPr>
            <w:r>
              <w:rPr>
                <w:rFonts w:ascii="Arial" w:cs="Arial" w:eastAsia="Arial" w:hAnsi="Arial"/>
                <w:sz w:val="14"/>
                <w:szCs w:val="14"/>
                <w:b w:val="1"/>
                <w:bCs w:val="1"/>
                <w:color w:val="auto"/>
                <w:w w:val="89"/>
              </w:rPr>
              <w:t>Effect of</w:t>
            </w:r>
          </w:p>
        </w:tc>
        <w:tc>
          <w:tcPr>
            <w:tcW w:w="12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As Currently</w:t>
            </w:r>
          </w:p>
        </w:tc>
        <w:tc>
          <w:tcPr>
            <w:tcW w:w="140" w:type="dxa"/>
            <w:vAlign w:val="bottom"/>
          </w:tcPr>
          <w:p>
            <w:pPr>
              <w:spacing w:after="0"/>
              <w:rPr>
                <w:sz w:val="14"/>
                <w:szCs w:val="14"/>
                <w:color w:val="auto"/>
              </w:rPr>
            </w:pPr>
          </w:p>
        </w:tc>
        <w:tc>
          <w:tcPr>
            <w:tcW w:w="1040" w:type="dxa"/>
            <w:vAlign w:val="bottom"/>
          </w:tcPr>
          <w:p>
            <w:pPr>
              <w:jc w:val="right"/>
              <w:ind w:right="102"/>
              <w:spacing w:after="0"/>
              <w:rPr>
                <w:sz w:val="20"/>
                <w:szCs w:val="20"/>
                <w:color w:val="auto"/>
              </w:rPr>
            </w:pPr>
            <w:r>
              <w:rPr>
                <w:rFonts w:ascii="Arial" w:cs="Arial" w:eastAsia="Arial" w:hAnsi="Arial"/>
                <w:sz w:val="14"/>
                <w:szCs w:val="14"/>
                <w:b w:val="1"/>
                <w:bCs w:val="1"/>
                <w:color w:val="auto"/>
                <w:w w:val="90"/>
              </w:rPr>
              <w:t>As Previously</w:t>
            </w:r>
          </w:p>
        </w:tc>
        <w:tc>
          <w:tcPr>
            <w:tcW w:w="260" w:type="dxa"/>
            <w:vAlign w:val="bottom"/>
          </w:tcPr>
          <w:p>
            <w:pPr>
              <w:spacing w:after="0"/>
              <w:rPr>
                <w:sz w:val="14"/>
                <w:szCs w:val="14"/>
                <w:color w:val="auto"/>
              </w:rPr>
            </w:pPr>
          </w:p>
        </w:tc>
        <w:tc>
          <w:tcPr>
            <w:tcW w:w="900" w:type="dxa"/>
            <w:vAlign w:val="bottom"/>
          </w:tcPr>
          <w:p>
            <w:pPr>
              <w:jc w:val="right"/>
              <w:ind w:right="242"/>
              <w:spacing w:after="0"/>
              <w:rPr>
                <w:sz w:val="20"/>
                <w:szCs w:val="20"/>
                <w:color w:val="auto"/>
              </w:rPr>
            </w:pPr>
            <w:r>
              <w:rPr>
                <w:rFonts w:ascii="Arial" w:cs="Arial" w:eastAsia="Arial" w:hAnsi="Arial"/>
                <w:sz w:val="14"/>
                <w:szCs w:val="14"/>
                <w:b w:val="1"/>
                <w:bCs w:val="1"/>
                <w:color w:val="auto"/>
                <w:w w:val="99"/>
              </w:rPr>
              <w:t>Effect of</w:t>
            </w:r>
          </w:p>
        </w:tc>
        <w:tc>
          <w:tcPr>
            <w:tcW w:w="120" w:type="dxa"/>
            <w:vAlign w:val="bottom"/>
          </w:tcPr>
          <w:p>
            <w:pPr>
              <w:spacing w:after="0"/>
              <w:rPr>
                <w:sz w:val="14"/>
                <w:szCs w:val="14"/>
                <w:color w:val="auto"/>
              </w:rPr>
            </w:pPr>
          </w:p>
        </w:tc>
        <w:tc>
          <w:tcPr>
            <w:tcW w:w="1040" w:type="dxa"/>
            <w:vAlign w:val="bottom"/>
          </w:tcPr>
          <w:p>
            <w:pPr>
              <w:jc w:val="right"/>
              <w:ind w:right="122"/>
              <w:spacing w:after="0"/>
              <w:rPr>
                <w:sz w:val="20"/>
                <w:szCs w:val="20"/>
                <w:color w:val="auto"/>
              </w:rPr>
            </w:pPr>
            <w:r>
              <w:rPr>
                <w:rFonts w:ascii="Arial" w:cs="Arial" w:eastAsia="Arial" w:hAnsi="Arial"/>
                <w:sz w:val="14"/>
                <w:szCs w:val="14"/>
                <w:b w:val="1"/>
                <w:bCs w:val="1"/>
                <w:color w:val="auto"/>
                <w:w w:val="97"/>
              </w:rPr>
              <w:t>As Currently</w:t>
            </w:r>
          </w:p>
        </w:tc>
      </w:tr>
      <w:tr>
        <w:trPr>
          <w:trHeight w:val="184"/>
        </w:trPr>
        <w:tc>
          <w:tcPr>
            <w:tcW w:w="4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222"/>
              <w:spacing w:after="0"/>
              <w:rPr>
                <w:sz w:val="20"/>
                <w:szCs w:val="20"/>
                <w:color w:val="auto"/>
              </w:rPr>
            </w:pPr>
            <w:r>
              <w:rPr>
                <w:rFonts w:ascii="Arial" w:cs="Arial" w:eastAsia="Arial" w:hAnsi="Arial"/>
                <w:sz w:val="14"/>
                <w:szCs w:val="14"/>
                <w:b w:val="1"/>
                <w:bCs w:val="1"/>
                <w:color w:val="auto"/>
              </w:rPr>
              <w:t>Reported</w:t>
            </w:r>
          </w:p>
        </w:tc>
        <w:tc>
          <w:tcPr>
            <w:tcW w:w="260" w:type="dxa"/>
            <w:vAlign w:val="bottom"/>
          </w:tcPr>
          <w:p>
            <w:pPr>
              <w:spacing w:after="0"/>
              <w:rPr>
                <w:sz w:val="15"/>
                <w:szCs w:val="15"/>
                <w:color w:val="auto"/>
              </w:rPr>
            </w:pPr>
          </w:p>
        </w:tc>
        <w:tc>
          <w:tcPr>
            <w:tcW w:w="920" w:type="dxa"/>
            <w:vAlign w:val="bottom"/>
          </w:tcPr>
          <w:p>
            <w:pPr>
              <w:jc w:val="center"/>
              <w:ind w:right="182"/>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Reported</w:t>
            </w:r>
          </w:p>
        </w:tc>
        <w:tc>
          <w:tcPr>
            <w:tcW w:w="140" w:type="dxa"/>
            <w:vAlign w:val="bottom"/>
          </w:tcPr>
          <w:p>
            <w:pPr>
              <w:spacing w:after="0"/>
              <w:rPr>
                <w:sz w:val="15"/>
                <w:szCs w:val="15"/>
                <w:color w:val="auto"/>
              </w:rPr>
            </w:pPr>
          </w:p>
        </w:tc>
        <w:tc>
          <w:tcPr>
            <w:tcW w:w="1040" w:type="dxa"/>
            <w:vAlign w:val="bottom"/>
          </w:tcPr>
          <w:p>
            <w:pPr>
              <w:jc w:val="right"/>
              <w:ind w:right="222"/>
              <w:spacing w:after="0"/>
              <w:rPr>
                <w:sz w:val="20"/>
                <w:szCs w:val="20"/>
                <w:color w:val="auto"/>
              </w:rPr>
            </w:pPr>
            <w:r>
              <w:rPr>
                <w:rFonts w:ascii="Arial" w:cs="Arial" w:eastAsia="Arial" w:hAnsi="Arial"/>
                <w:sz w:val="14"/>
                <w:szCs w:val="14"/>
                <w:b w:val="1"/>
                <w:bCs w:val="1"/>
                <w:color w:val="auto"/>
              </w:rPr>
              <w:t>Reported</w:t>
            </w:r>
          </w:p>
        </w:tc>
        <w:tc>
          <w:tcPr>
            <w:tcW w:w="260" w:type="dxa"/>
            <w:vAlign w:val="bottom"/>
          </w:tcPr>
          <w:p>
            <w:pPr>
              <w:spacing w:after="0"/>
              <w:rPr>
                <w:sz w:val="15"/>
                <w:szCs w:val="15"/>
                <w:color w:val="auto"/>
              </w:rPr>
            </w:pPr>
          </w:p>
        </w:tc>
        <w:tc>
          <w:tcPr>
            <w:tcW w:w="900" w:type="dxa"/>
            <w:vAlign w:val="bottom"/>
          </w:tcPr>
          <w:p>
            <w:pPr>
              <w:jc w:val="right"/>
              <w:ind w:right="262"/>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5"/>
                <w:szCs w:val="15"/>
                <w:color w:val="auto"/>
              </w:rPr>
            </w:pPr>
          </w:p>
        </w:tc>
        <w:tc>
          <w:tcPr>
            <w:tcW w:w="1040" w:type="dxa"/>
            <w:vAlign w:val="bottom"/>
          </w:tcPr>
          <w:p>
            <w:pPr>
              <w:jc w:val="right"/>
              <w:ind w:right="222"/>
              <w:spacing w:after="0"/>
              <w:rPr>
                <w:sz w:val="20"/>
                <w:szCs w:val="20"/>
                <w:color w:val="auto"/>
              </w:rPr>
            </w:pPr>
            <w:r>
              <w:rPr>
                <w:rFonts w:ascii="Arial" w:cs="Arial" w:eastAsia="Arial" w:hAnsi="Arial"/>
                <w:sz w:val="14"/>
                <w:szCs w:val="14"/>
                <w:b w:val="1"/>
                <w:bCs w:val="1"/>
                <w:color w:val="auto"/>
              </w:rPr>
              <w:t>Reported</w:t>
            </w:r>
          </w:p>
        </w:tc>
      </w:tr>
      <w:tr>
        <w:trPr>
          <w:trHeight w:val="38"/>
        </w:trPr>
        <w:tc>
          <w:tcPr>
            <w:tcW w:w="40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03"/>
        </w:trPr>
        <w:tc>
          <w:tcPr>
            <w:tcW w:w="4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gridSpan w:val="4"/>
          </w:tcPr>
          <w:p>
            <w:pPr>
              <w:jc w:val="right"/>
              <w:ind w:right="762"/>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4"/>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225,580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(733)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224,847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259,840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2,417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262,257</w:t>
            </w:r>
          </w:p>
        </w:tc>
      </w:tr>
      <w:tr>
        <w:trPr>
          <w:trHeight w:val="210"/>
        </w:trPr>
        <w:tc>
          <w:tcPr>
            <w:tcW w:w="4080" w:type="dxa"/>
            <w:vAlign w:val="bottom"/>
          </w:tcPr>
          <w:p>
            <w:pPr>
              <w:ind w:left="20"/>
              <w:spacing w:after="0"/>
              <w:rPr>
                <w:sz w:val="20"/>
                <w:szCs w:val="20"/>
                <w:color w:val="auto"/>
              </w:rPr>
            </w:pPr>
            <w:r>
              <w:rPr>
                <w:rFonts w:ascii="Arial" w:cs="Arial" w:eastAsia="Arial" w:hAnsi="Arial"/>
                <w:sz w:val="16"/>
                <w:szCs w:val="16"/>
                <w:color w:val="auto"/>
              </w:rPr>
              <w:t>Future policy benefits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41,569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(10,072)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31,497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43,807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(3,817)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39,990</w:t>
            </w:r>
          </w:p>
        </w:tc>
      </w:tr>
      <w:tr>
        <w:trPr>
          <w:trHeight w:val="215"/>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Policyholder account balances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74,836</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(1,309)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73,527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66,851</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(1,602)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65,249</w:t>
            </w:r>
          </w:p>
        </w:tc>
      </w:tr>
      <w:tr>
        <w:trPr>
          <w:trHeight w:val="209"/>
        </w:trPr>
        <w:tc>
          <w:tcPr>
            <w:tcW w:w="4080" w:type="dxa"/>
            <w:vAlign w:val="bottom"/>
          </w:tcPr>
          <w:p>
            <w:pPr>
              <w:ind w:left="20"/>
              <w:spacing w:after="0"/>
              <w:rPr>
                <w:sz w:val="20"/>
                <w:szCs w:val="20"/>
                <w:color w:val="auto"/>
              </w:rPr>
            </w:pPr>
            <w:r>
              <w:rPr>
                <w:rFonts w:ascii="Arial" w:cs="Arial" w:eastAsia="Arial" w:hAnsi="Arial"/>
                <w:sz w:val="16"/>
                <w:szCs w:val="16"/>
                <w:color w:val="auto"/>
              </w:rPr>
              <w:t>Market risk benefit liabilities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10,389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10,389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2"/>
              <w:spacing w:after="0"/>
              <w:rPr>
                <w:sz w:val="20"/>
                <w:szCs w:val="20"/>
                <w:color w:val="auto"/>
              </w:rPr>
            </w:pPr>
            <w:r>
              <w:rPr>
                <w:rFonts w:ascii="Arial" w:cs="Arial" w:eastAsia="Arial" w:hAnsi="Arial"/>
                <w:sz w:val="16"/>
                <w:szCs w:val="16"/>
                <w:color w:val="auto"/>
              </w:rPr>
              <w:t>16,034</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16,034</w:t>
            </w:r>
          </w:p>
        </w:tc>
      </w:tr>
      <w:tr>
        <w:trPr>
          <w:trHeight w:val="215"/>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219,542</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(293)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219,249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243,633</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10,174</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253,807</w:t>
            </w:r>
          </w:p>
        </w:tc>
      </w:tr>
      <w:tr>
        <w:trPr>
          <w:trHeight w:val="210"/>
        </w:trPr>
        <w:tc>
          <w:tcPr>
            <w:tcW w:w="4080" w:type="dxa"/>
            <w:vAlign w:val="bottom"/>
          </w:tcPr>
          <w:p>
            <w:pPr>
              <w:ind w:left="20"/>
              <w:spacing w:after="0"/>
              <w:rPr>
                <w:sz w:val="20"/>
                <w:szCs w:val="20"/>
                <w:color w:val="auto"/>
              </w:rPr>
            </w:pPr>
            <w:r>
              <w:rPr>
                <w:rFonts w:ascii="Arial" w:cs="Arial" w:eastAsia="Arial" w:hAnsi="Arial"/>
                <w:sz w:val="16"/>
                <w:szCs w:val="16"/>
                <w:color w:val="auto"/>
              </w:rPr>
              <w:t>Retained earnings (deficit)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(637)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02"/>
              <w:spacing w:after="0"/>
              <w:rPr>
                <w:sz w:val="20"/>
                <w:szCs w:val="20"/>
                <w:color w:val="auto"/>
              </w:rPr>
            </w:pPr>
            <w:r>
              <w:rPr>
                <w:rFonts w:ascii="Arial" w:cs="Arial" w:eastAsia="Arial" w:hAnsi="Arial"/>
                <w:sz w:val="16"/>
                <w:szCs w:val="16"/>
                <w:color w:val="auto"/>
              </w:rPr>
              <w:t>242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(395)</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(642)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(3,632)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(4,274)</w:t>
            </w:r>
          </w:p>
        </w:tc>
      </w:tr>
      <w:tr>
        <w:trPr>
          <w:trHeight w:val="215"/>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(5,424)</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(682)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4,172</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(4,125)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09"/>
        </w:trPr>
        <w:tc>
          <w:tcPr>
            <w:tcW w:w="4080" w:type="dxa"/>
            <w:vAlign w:val="bottom"/>
          </w:tcPr>
          <w:p>
            <w:pPr>
              <w:ind w:left="20"/>
              <w:spacing w:after="0"/>
              <w:rPr>
                <w:sz w:val="20"/>
                <w:szCs w:val="20"/>
                <w:color w:val="auto"/>
              </w:rPr>
            </w:pPr>
            <w:r>
              <w:rPr>
                <w:rFonts w:ascii="Arial" w:cs="Arial" w:eastAsia="Arial" w:hAnsi="Arial"/>
                <w:sz w:val="16"/>
                <w:szCs w:val="16"/>
                <w:color w:val="auto"/>
              </w:rPr>
              <w:t>Total equity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6,038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62"/>
              <w:spacing w:after="0"/>
              <w:rPr>
                <w:sz w:val="20"/>
                <w:szCs w:val="20"/>
                <w:color w:val="auto"/>
              </w:rPr>
            </w:pPr>
            <w:r>
              <w:rPr>
                <w:rFonts w:ascii="Arial" w:cs="Arial" w:eastAsia="Arial" w:hAnsi="Arial"/>
                <w:sz w:val="16"/>
                <w:szCs w:val="16"/>
                <w:color w:val="auto"/>
              </w:rPr>
              <w:t>(440)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2"/>
              <w:spacing w:after="0"/>
              <w:rPr>
                <w:sz w:val="20"/>
                <w:szCs w:val="20"/>
                <w:color w:val="auto"/>
              </w:rPr>
            </w:pPr>
            <w:r>
              <w:rPr>
                <w:rFonts w:ascii="Arial" w:cs="Arial" w:eastAsia="Arial" w:hAnsi="Arial"/>
                <w:sz w:val="16"/>
                <w:szCs w:val="16"/>
                <w:color w:val="auto"/>
              </w:rPr>
              <w:t>5,598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16,207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(7,757)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8,450</w:t>
            </w:r>
          </w:p>
        </w:tc>
      </w:tr>
      <w:tr>
        <w:trPr>
          <w:trHeight w:val="215"/>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225,580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(733)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224,847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259,840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2,417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262,257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ASU 2018-12 Transition (continued)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0"/>
              </w:rPr>
              <w:t>Year Ended December 31, 2022</w:t>
            </w:r>
          </w:p>
        </w:tc>
        <w:tc>
          <w:tcPr>
            <w:tcW w:w="120" w:type="dxa"/>
            <w:vAlign w:val="bottom"/>
          </w:tcPr>
          <w:p>
            <w:pPr>
              <w:spacing w:after="0"/>
              <w:rPr>
                <w:sz w:val="15"/>
                <w:szCs w:val="15"/>
                <w:color w:val="auto"/>
              </w:rPr>
            </w:pPr>
          </w:p>
        </w:tc>
        <w:tc>
          <w:tcPr>
            <w:tcW w:w="3340" w:type="dxa"/>
            <w:vAlign w:val="bottom"/>
            <w:gridSpan w:val="5"/>
          </w:tcPr>
          <w:p>
            <w:pPr>
              <w:jc w:val="center"/>
              <w:ind w:right="62"/>
              <w:spacing w:after="0"/>
              <w:rPr>
                <w:sz w:val="20"/>
                <w:szCs w:val="20"/>
                <w:color w:val="auto"/>
              </w:rPr>
            </w:pPr>
            <w:r>
              <w:rPr>
                <w:rFonts w:ascii="Arial" w:cs="Arial" w:eastAsia="Arial" w:hAnsi="Arial"/>
                <w:sz w:val="14"/>
                <w:szCs w:val="14"/>
                <w:b w:val="1"/>
                <w:bCs w:val="1"/>
                <w:color w:val="auto"/>
                <w:w w:val="90"/>
              </w:rPr>
              <w:t>Year Ended December 31, 2021</w:t>
            </w:r>
          </w:p>
        </w:tc>
      </w:tr>
      <w:tr>
        <w:trPr>
          <w:trHeight w:val="38"/>
        </w:trPr>
        <w:tc>
          <w:tcPr>
            <w:tcW w:w="38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69"/>
        </w:trPr>
        <w:tc>
          <w:tcPr>
            <w:tcW w:w="3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163"/>
              <w:spacing w:after="0"/>
              <w:rPr>
                <w:sz w:val="20"/>
                <w:szCs w:val="20"/>
                <w:color w:val="auto"/>
              </w:rPr>
            </w:pPr>
            <w:r>
              <w:rPr>
                <w:rFonts w:ascii="Arial" w:cs="Arial" w:eastAsia="Arial" w:hAnsi="Arial"/>
                <w:sz w:val="14"/>
                <w:szCs w:val="14"/>
                <w:b w:val="1"/>
                <w:bCs w:val="1"/>
                <w:color w:val="auto"/>
                <w:w w:val="90"/>
              </w:rPr>
              <w:t>As Previously</w:t>
            </w:r>
          </w:p>
        </w:tc>
        <w:tc>
          <w:tcPr>
            <w:tcW w:w="280" w:type="dxa"/>
            <w:vAlign w:val="bottom"/>
          </w:tcPr>
          <w:p>
            <w:pPr>
              <w:spacing w:after="0"/>
              <w:rPr>
                <w:sz w:val="14"/>
                <w:szCs w:val="14"/>
                <w:color w:val="auto"/>
              </w:rPr>
            </w:pPr>
          </w:p>
        </w:tc>
        <w:tc>
          <w:tcPr>
            <w:tcW w:w="1000" w:type="dxa"/>
            <w:vAlign w:val="bottom"/>
          </w:tcPr>
          <w:p>
            <w:pPr>
              <w:jc w:val="center"/>
              <w:ind w:right="202"/>
              <w:spacing w:after="0"/>
              <w:rPr>
                <w:sz w:val="20"/>
                <w:szCs w:val="20"/>
                <w:color w:val="auto"/>
              </w:rPr>
            </w:pPr>
            <w:r>
              <w:rPr>
                <w:rFonts w:ascii="Arial" w:cs="Arial" w:eastAsia="Arial" w:hAnsi="Arial"/>
                <w:sz w:val="14"/>
                <w:szCs w:val="14"/>
                <w:b w:val="1"/>
                <w:bCs w:val="1"/>
                <w:color w:val="auto"/>
                <w:w w:val="92"/>
              </w:rPr>
              <w:t>Effect of</w:t>
            </w:r>
          </w:p>
        </w:tc>
        <w:tc>
          <w:tcPr>
            <w:tcW w:w="2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As Currently</w:t>
            </w:r>
          </w:p>
        </w:tc>
        <w:tc>
          <w:tcPr>
            <w:tcW w:w="120" w:type="dxa"/>
            <w:vAlign w:val="bottom"/>
          </w:tcPr>
          <w:p>
            <w:pPr>
              <w:spacing w:after="0"/>
              <w:rPr>
                <w:sz w:val="14"/>
                <w:szCs w:val="14"/>
                <w:color w:val="auto"/>
              </w:rPr>
            </w:pPr>
          </w:p>
        </w:tc>
        <w:tc>
          <w:tcPr>
            <w:tcW w:w="1120" w:type="dxa"/>
            <w:vAlign w:val="bottom"/>
          </w:tcPr>
          <w:p>
            <w:pPr>
              <w:jc w:val="right"/>
              <w:ind w:right="183"/>
              <w:spacing w:after="0"/>
              <w:rPr>
                <w:sz w:val="20"/>
                <w:szCs w:val="20"/>
                <w:color w:val="auto"/>
              </w:rPr>
            </w:pPr>
            <w:r>
              <w:rPr>
                <w:rFonts w:ascii="Arial" w:cs="Arial" w:eastAsia="Arial" w:hAnsi="Arial"/>
                <w:sz w:val="14"/>
                <w:szCs w:val="14"/>
                <w:b w:val="1"/>
                <w:bCs w:val="1"/>
                <w:color w:val="auto"/>
                <w:w w:val="90"/>
              </w:rPr>
              <w:t>As Previously</w:t>
            </w:r>
          </w:p>
        </w:tc>
        <w:tc>
          <w:tcPr>
            <w:tcW w:w="180" w:type="dxa"/>
            <w:vAlign w:val="bottom"/>
          </w:tcPr>
          <w:p>
            <w:pPr>
              <w:spacing w:after="0"/>
              <w:rPr>
                <w:sz w:val="14"/>
                <w:szCs w:val="14"/>
                <w:color w:val="auto"/>
              </w:rPr>
            </w:pPr>
          </w:p>
        </w:tc>
        <w:tc>
          <w:tcPr>
            <w:tcW w:w="80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Effect of</w:t>
            </w:r>
          </w:p>
        </w:tc>
        <w:tc>
          <w:tcPr>
            <w:tcW w:w="200" w:type="dxa"/>
            <w:vAlign w:val="bottom"/>
          </w:tcPr>
          <w:p>
            <w:pPr>
              <w:spacing w:after="0"/>
              <w:rPr>
                <w:sz w:val="14"/>
                <w:szCs w:val="14"/>
                <w:color w:val="auto"/>
              </w:rPr>
            </w:pPr>
          </w:p>
        </w:tc>
        <w:tc>
          <w:tcPr>
            <w:tcW w:w="1040" w:type="dxa"/>
            <w:vAlign w:val="bottom"/>
          </w:tcPr>
          <w:p>
            <w:pPr>
              <w:jc w:val="center"/>
              <w:ind w:right="82"/>
              <w:spacing w:after="0"/>
              <w:rPr>
                <w:sz w:val="20"/>
                <w:szCs w:val="20"/>
                <w:color w:val="auto"/>
              </w:rPr>
            </w:pPr>
            <w:r>
              <w:rPr>
                <w:rFonts w:ascii="Arial" w:cs="Arial" w:eastAsia="Arial" w:hAnsi="Arial"/>
                <w:sz w:val="14"/>
                <w:szCs w:val="14"/>
                <w:b w:val="1"/>
                <w:bCs w:val="1"/>
                <w:color w:val="auto"/>
                <w:w w:val="95"/>
              </w:rPr>
              <w:t>As Currently</w:t>
            </w:r>
          </w:p>
        </w:tc>
      </w:tr>
      <w:tr>
        <w:trPr>
          <w:trHeight w:val="184"/>
        </w:trPr>
        <w:tc>
          <w:tcPr>
            <w:tcW w:w="3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63"/>
              <w:spacing w:after="0"/>
              <w:rPr>
                <w:sz w:val="20"/>
                <w:szCs w:val="20"/>
                <w:color w:val="auto"/>
              </w:rPr>
            </w:pPr>
            <w:r>
              <w:rPr>
                <w:rFonts w:ascii="Arial" w:cs="Arial" w:eastAsia="Arial" w:hAnsi="Arial"/>
                <w:sz w:val="14"/>
                <w:szCs w:val="14"/>
                <w:b w:val="1"/>
                <w:bCs w:val="1"/>
                <w:color w:val="auto"/>
              </w:rPr>
              <w:t>Reported</w:t>
            </w:r>
          </w:p>
        </w:tc>
        <w:tc>
          <w:tcPr>
            <w:tcW w:w="280" w:type="dxa"/>
            <w:vAlign w:val="bottom"/>
          </w:tcPr>
          <w:p>
            <w:pPr>
              <w:spacing w:after="0"/>
              <w:rPr>
                <w:sz w:val="15"/>
                <w:szCs w:val="15"/>
                <w:color w:val="auto"/>
              </w:rPr>
            </w:pPr>
          </w:p>
        </w:tc>
        <w:tc>
          <w:tcPr>
            <w:tcW w:w="1000" w:type="dxa"/>
            <w:vAlign w:val="bottom"/>
          </w:tcPr>
          <w:p>
            <w:pPr>
              <w:jc w:val="center"/>
              <w:ind w:right="182"/>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Reported</w:t>
            </w:r>
          </w:p>
        </w:tc>
        <w:tc>
          <w:tcPr>
            <w:tcW w:w="120" w:type="dxa"/>
            <w:vAlign w:val="bottom"/>
          </w:tcPr>
          <w:p>
            <w:pPr>
              <w:spacing w:after="0"/>
              <w:rPr>
                <w:sz w:val="15"/>
                <w:szCs w:val="15"/>
                <w:color w:val="auto"/>
              </w:rPr>
            </w:pPr>
          </w:p>
        </w:tc>
        <w:tc>
          <w:tcPr>
            <w:tcW w:w="1120" w:type="dxa"/>
            <w:vAlign w:val="bottom"/>
          </w:tcPr>
          <w:p>
            <w:pPr>
              <w:jc w:val="right"/>
              <w:ind w:right="283"/>
              <w:spacing w:after="0"/>
              <w:rPr>
                <w:sz w:val="20"/>
                <w:szCs w:val="20"/>
                <w:color w:val="auto"/>
              </w:rPr>
            </w:pPr>
            <w:r>
              <w:rPr>
                <w:rFonts w:ascii="Arial" w:cs="Arial" w:eastAsia="Arial" w:hAnsi="Arial"/>
                <w:sz w:val="14"/>
                <w:szCs w:val="14"/>
                <w:b w:val="1"/>
                <w:bCs w:val="1"/>
                <w:color w:val="auto"/>
              </w:rPr>
              <w:t>Reported</w:t>
            </w:r>
          </w:p>
        </w:tc>
        <w:tc>
          <w:tcPr>
            <w:tcW w:w="180" w:type="dxa"/>
            <w:vAlign w:val="bottom"/>
          </w:tcPr>
          <w:p>
            <w:pPr>
              <w:spacing w:after="0"/>
              <w:rPr>
                <w:sz w:val="15"/>
                <w:szCs w:val="15"/>
                <w:color w:val="auto"/>
              </w:rPr>
            </w:pPr>
          </w:p>
        </w:tc>
        <w:tc>
          <w:tcPr>
            <w:tcW w:w="800" w:type="dxa"/>
            <w:vAlign w:val="bottom"/>
          </w:tcPr>
          <w:p>
            <w:pPr>
              <w:jc w:val="center"/>
              <w:ind w:right="102"/>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5"/>
                <w:szCs w:val="15"/>
                <w:color w:val="auto"/>
              </w:rPr>
            </w:pPr>
          </w:p>
        </w:tc>
        <w:tc>
          <w:tcPr>
            <w:tcW w:w="1040" w:type="dxa"/>
            <w:vAlign w:val="bottom"/>
          </w:tcPr>
          <w:p>
            <w:pPr>
              <w:jc w:val="center"/>
              <w:ind w:right="42"/>
              <w:spacing w:after="0"/>
              <w:rPr>
                <w:sz w:val="20"/>
                <w:szCs w:val="20"/>
                <w:color w:val="auto"/>
              </w:rPr>
            </w:pPr>
            <w:r>
              <w:rPr>
                <w:rFonts w:ascii="Arial" w:cs="Arial" w:eastAsia="Arial" w:hAnsi="Arial"/>
                <w:sz w:val="14"/>
                <w:szCs w:val="14"/>
                <w:b w:val="1"/>
                <w:bCs w:val="1"/>
                <w:color w:val="auto"/>
                <w:w w:val="91"/>
              </w:rPr>
              <w:t>Reported</w:t>
            </w:r>
          </w:p>
        </w:tc>
      </w:tr>
      <w:tr>
        <w:trPr>
          <w:trHeight w:val="38"/>
        </w:trPr>
        <w:tc>
          <w:tcPr>
            <w:tcW w:w="38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3"/>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03"/>
        </w:trPr>
        <w:tc>
          <w:tcPr>
            <w:tcW w:w="3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80" w:type="dxa"/>
            <w:vAlign w:val="bottom"/>
            <w:gridSpan w:val="4"/>
          </w:tcPr>
          <w:p>
            <w:pPr>
              <w:jc w:val="right"/>
              <w:ind w:right="943"/>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4"/>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Universal life and investment-type product policy fees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3,141</w:t>
            </w: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3,636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center"/>
              <w:ind w:left="482"/>
              <w:spacing w:after="0"/>
              <w:rPr>
                <w:sz w:val="20"/>
                <w:szCs w:val="20"/>
                <w:color w:val="auto"/>
              </w:rPr>
            </w:pPr>
            <w:r>
              <w:rPr>
                <w:rFonts w:ascii="Arial" w:cs="Arial" w:eastAsia="Arial" w:hAnsi="Arial"/>
                <w:sz w:val="16"/>
                <w:szCs w:val="16"/>
                <w:color w:val="auto"/>
                <w:w w:val="89"/>
              </w:rPr>
              <w:t>2,980</w:t>
            </w:r>
          </w:p>
        </w:tc>
      </w:tr>
      <w:tr>
        <w:trPr>
          <w:trHeight w:val="210"/>
        </w:trPr>
        <w:tc>
          <w:tcPr>
            <w:tcW w:w="3840" w:type="dxa"/>
            <w:vAlign w:val="bottom"/>
          </w:tcPr>
          <w:p>
            <w:pPr>
              <w:ind w:left="20"/>
              <w:spacing w:after="0"/>
              <w:rPr>
                <w:sz w:val="20"/>
                <w:szCs w:val="20"/>
                <w:color w:val="auto"/>
              </w:rPr>
            </w:pPr>
            <w:r>
              <w:rPr>
                <w:rFonts w:ascii="Arial" w:cs="Arial" w:eastAsia="Arial" w:hAnsi="Arial"/>
                <w:sz w:val="16"/>
                <w:szCs w:val="16"/>
                <w:color w:val="auto"/>
              </w:rPr>
              <w:t>Net derivative gains (losses)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304</w:t>
            </w:r>
          </w:p>
        </w:tc>
        <w:tc>
          <w:tcPr>
            <w:tcW w:w="2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(896)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(592)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(2,469)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(1,514)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center"/>
              <w:ind w:left="462"/>
              <w:spacing w:after="0"/>
              <w:rPr>
                <w:sz w:val="20"/>
                <w:szCs w:val="20"/>
                <w:color w:val="auto"/>
              </w:rPr>
            </w:pPr>
            <w:r>
              <w:rPr>
                <w:rFonts w:ascii="Arial" w:cs="Arial" w:eastAsia="Arial" w:hAnsi="Arial"/>
                <w:sz w:val="16"/>
                <w:szCs w:val="16"/>
                <w:color w:val="auto"/>
                <w:w w:val="90"/>
              </w:rPr>
              <w:t>(3,983)</w:t>
            </w:r>
          </w:p>
        </w:tc>
      </w:tr>
      <w:tr>
        <w:trPr>
          <w:trHeight w:val="214"/>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8,473</w:t>
            </w: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7,142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(2,166)</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center"/>
              <w:ind w:left="482"/>
              <w:spacing w:after="0"/>
              <w:rPr>
                <w:sz w:val="20"/>
                <w:szCs w:val="20"/>
                <w:color w:val="auto"/>
              </w:rPr>
            </w:pPr>
            <w:r>
              <w:rPr>
                <w:rFonts w:ascii="Arial" w:cs="Arial" w:eastAsia="Arial" w:hAnsi="Arial"/>
                <w:sz w:val="16"/>
                <w:szCs w:val="16"/>
                <w:color w:val="auto"/>
                <w:w w:val="89"/>
              </w:rPr>
              <w:t>4,976</w:t>
            </w:r>
          </w:p>
        </w:tc>
      </w:tr>
      <w:tr>
        <w:trPr>
          <w:trHeight w:val="209"/>
        </w:trPr>
        <w:tc>
          <w:tcPr>
            <w:tcW w:w="3840" w:type="dxa"/>
            <w:vAlign w:val="bottom"/>
          </w:tcPr>
          <w:p>
            <w:pPr>
              <w:ind w:left="20"/>
              <w:spacing w:after="0"/>
              <w:rPr>
                <w:sz w:val="20"/>
                <w:szCs w:val="20"/>
                <w:color w:val="auto"/>
              </w:rPr>
            </w:pPr>
            <w:r>
              <w:rPr>
                <w:rFonts w:ascii="Arial" w:cs="Arial" w:eastAsia="Arial" w:hAnsi="Arial"/>
                <w:sz w:val="16"/>
                <w:szCs w:val="16"/>
                <w:color w:val="auto"/>
              </w:rPr>
              <w:t>Policyholder benefits and claims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4,165</w:t>
            </w:r>
          </w:p>
        </w:tc>
        <w:tc>
          <w:tcPr>
            <w:tcW w:w="2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(1,972)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2,193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3,443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(697)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center"/>
              <w:ind w:left="482"/>
              <w:spacing w:after="0"/>
              <w:rPr>
                <w:sz w:val="20"/>
                <w:szCs w:val="20"/>
                <w:color w:val="auto"/>
              </w:rPr>
            </w:pPr>
            <w:r>
              <w:rPr>
                <w:rFonts w:ascii="Arial" w:cs="Arial" w:eastAsia="Arial" w:hAnsi="Arial"/>
                <w:sz w:val="16"/>
                <w:szCs w:val="16"/>
                <w:color w:val="auto"/>
                <w:w w:val="89"/>
              </w:rPr>
              <w:t>2,746</w:t>
            </w:r>
          </w:p>
        </w:tc>
      </w:tr>
      <w:tr>
        <w:trPr>
          <w:trHeight w:val="215"/>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market risk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center"/>
              <w:ind w:left="462"/>
              <w:spacing w:after="0"/>
              <w:rPr>
                <w:sz w:val="20"/>
                <w:szCs w:val="20"/>
                <w:color w:val="auto"/>
              </w:rPr>
            </w:pPr>
            <w:r>
              <w:rPr>
                <w:rFonts w:ascii="Arial" w:cs="Arial" w:eastAsia="Arial" w:hAnsi="Arial"/>
                <w:sz w:val="16"/>
                <w:szCs w:val="16"/>
                <w:color w:val="auto"/>
                <w:w w:val="90"/>
              </w:rPr>
              <w:t>(4,134)</w:t>
            </w:r>
          </w:p>
        </w:tc>
      </w:tr>
      <w:tr>
        <w:trPr>
          <w:trHeight w:val="210"/>
        </w:trPr>
        <w:tc>
          <w:tcPr>
            <w:tcW w:w="3840" w:type="dxa"/>
            <w:vAlign w:val="bottom"/>
          </w:tcPr>
          <w:p>
            <w:pPr>
              <w:ind w:left="20"/>
              <w:spacing w:after="0"/>
              <w:rPr>
                <w:sz w:val="20"/>
                <w:szCs w:val="20"/>
                <w:color w:val="auto"/>
              </w:rPr>
            </w:pPr>
            <w:r>
              <w:rPr>
                <w:rFonts w:ascii="Arial" w:cs="Arial" w:eastAsia="Arial" w:hAnsi="Arial"/>
                <w:sz w:val="16"/>
                <w:szCs w:val="16"/>
                <w:color w:val="auto"/>
              </w:rPr>
              <w:t>Total expenses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8,645</w:t>
            </w:r>
          </w:p>
        </w:tc>
        <w:tc>
          <w:tcPr>
            <w:tcW w:w="2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(6,504)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2,141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7,350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(4,383)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center"/>
              <w:ind w:left="482"/>
              <w:spacing w:after="0"/>
              <w:rPr>
                <w:sz w:val="20"/>
                <w:szCs w:val="20"/>
                <w:color w:val="auto"/>
              </w:rPr>
            </w:pPr>
            <w:r>
              <w:rPr>
                <w:rFonts w:ascii="Arial" w:cs="Arial" w:eastAsia="Arial" w:hAnsi="Arial"/>
                <w:sz w:val="16"/>
                <w:szCs w:val="16"/>
                <w:color w:val="auto"/>
                <w:w w:val="89"/>
              </w:rPr>
              <w:t>2,967</w:t>
            </w:r>
          </w:p>
        </w:tc>
      </w:tr>
      <w:tr>
        <w:trPr>
          <w:trHeight w:val="214"/>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w:t>
            </w: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3,874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1,751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center"/>
              <w:ind w:left="482"/>
              <w:spacing w:after="0"/>
              <w:rPr>
                <w:sz w:val="20"/>
                <w:szCs w:val="20"/>
                <w:color w:val="auto"/>
              </w:rPr>
            </w:pPr>
            <w:r>
              <w:rPr>
                <w:rFonts w:ascii="Arial" w:cs="Arial" w:eastAsia="Arial" w:hAnsi="Arial"/>
                <w:sz w:val="16"/>
                <w:szCs w:val="16"/>
                <w:color w:val="auto"/>
                <w:w w:val="89"/>
              </w:rPr>
              <w:t>1,648</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w:t>
      </w:r>
    </w:p>
    <w:p>
      <w:pPr>
        <w:spacing w:after="0" w:line="11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Company is organized into three segments: Annuities; Life; and Run-off. In addition, the Company reports certain of its results of operations in Corporate &amp; Other.</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Annuities</w:t>
      </w:r>
    </w:p>
    <w:p>
      <w:pPr>
        <w:spacing w:after="0" w:line="111" w:lineRule="exact"/>
        <w:rPr>
          <w:sz w:val="20"/>
          <w:szCs w:val="20"/>
          <w:color w:val="auto"/>
        </w:rPr>
      </w:pPr>
    </w:p>
    <w:p>
      <w:pPr>
        <w:jc w:val="both"/>
        <w:ind w:left="160" w:right="20" w:firstLine="318"/>
        <w:spacing w:after="0" w:line="264" w:lineRule="auto"/>
        <w:rPr>
          <w:sz w:val="20"/>
          <w:szCs w:val="20"/>
          <w:color w:val="auto"/>
        </w:rPr>
      </w:pPr>
      <w:r>
        <w:rPr>
          <w:rFonts w:ascii="Arial" w:cs="Arial" w:eastAsia="Arial" w:hAnsi="Arial"/>
          <w:sz w:val="18"/>
          <w:szCs w:val="18"/>
          <w:color w:val="auto"/>
        </w:rPr>
        <w:t>The Annuities segment consists of a variety of variable, fixed, index-linked and income annuities designed to address contract holders’ needs for protected wealth accumulation on a tax-deferred basis, wealth transfer and income security.</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Life</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The Life segment consists of insurance products, including term, universal, whole and variable life products designed to address policyholders’ needs for financial security and protected wealth transfer, which may be on a tax-advantaged basis.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Run-off</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The Run-off segment consists of products that are no longer actively sold and are separately managed, including ULSG, structured settlements, pension risk transfer contracts, certain company-owned life insurance policies and certain funding agreements.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Corporate &amp; Other</w:t>
      </w:r>
    </w:p>
    <w:p>
      <w:pPr>
        <w:spacing w:after="0" w:line="111"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Corporate &amp; Other contains the excess capital not allocated to the segments and interest expense related to the Company’s outstanding debt, as well as expenses associated with certain legal proceedings and income tax audit issues. Corporate &amp; Other also includes long-term care business reinsured through 100% quota share reinsurance agreements and activities related to funding agreements associated with the Company’s institutional spread margin business.</w:t>
      </w:r>
    </w:p>
    <w:p>
      <w:pPr>
        <w:spacing w:after="0" w:line="31" w:lineRule="exact"/>
        <w:rPr>
          <w:sz w:val="20"/>
          <w:szCs w:val="20"/>
          <w:color w:val="auto"/>
        </w:rPr>
      </w:pPr>
    </w:p>
    <w:p>
      <w:pPr>
        <w:jc w:val="both"/>
        <w:ind w:left="160" w:firstLine="318"/>
        <w:spacing w:after="0" w:line="365" w:lineRule="auto"/>
        <w:rPr>
          <w:sz w:val="20"/>
          <w:szCs w:val="20"/>
          <w:color w:val="auto"/>
        </w:rPr>
      </w:pPr>
      <w:r>
        <w:rPr>
          <w:rFonts w:ascii="Arial" w:cs="Arial" w:eastAsia="Arial" w:hAnsi="Arial"/>
          <w:sz w:val="15"/>
          <w:szCs w:val="15"/>
          <w:color w:val="auto"/>
        </w:rPr>
        <w:t>In connection with the adoption of ASU 2018-12, the Company reclassified direct-to-consumer life insurance that is no longer sold from Corporate &amp; Other to the Life segment. The segment information below reflects the direct-to consumer life insurance in the Life segment for all periods presented.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Measures and Segment Accounting Policies</w:t>
      </w:r>
    </w:p>
    <w:p>
      <w:pPr>
        <w:spacing w:after="0" w:line="11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Adjusted earnings is a financial measure used by management to evaluate performance and facilitate comparisons to industry results. Consistent with GAAP guidance for segment reporting, adjusted earnings is also used to measure segment performance. The Company believes the presentation of adjusted earnings, as the Company measures it for management purposes, enhances the understanding of its performance by the investor community by highlighting the results of operations and the underlying profitability drivers of the business.</w:t>
      </w:r>
    </w:p>
    <w:p>
      <w:pPr>
        <w:spacing w:after="0" w:line="8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Adjusted earnings, which may be positive or negative, focuses on the Company’s primary businesses by excluding the impact of market volatility, which could distort trends.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 (continued)</w:t>
      </w: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are significant items excluded from total revenues in calculating adjusted earnings:</w:t>
      </w:r>
    </w:p>
    <w:p>
      <w:pPr>
        <w:spacing w:after="0" w:line="111"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investment gains (losses); and</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derivative gains (losses), excluding earned income and amortization of premium on derivatives that are hedges of investments or that are used to replicate certain investments, but do not qualify for hedge accounting treatment.</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are significant items excluded from total expenses in calculating adjusted earnings:</w:t>
      </w:r>
    </w:p>
    <w:p>
      <w:pPr>
        <w:spacing w:after="0" w:line="111" w:lineRule="exact"/>
        <w:rPr>
          <w:sz w:val="20"/>
          <w:szCs w:val="20"/>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 in MRBs;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 in fair value of the crediting rate on experience-rated contracts.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tax impact of the adjustments discussed above is calculated net of the statutory tax rate, which could differ from the Company’s effective tax rate.</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Company’s adjusted earnings definition and presentation has been updated for all periods presented to reflect the adoption of ASU 2018-12.</w:t>
      </w:r>
    </w:p>
    <w:p>
      <w:pPr>
        <w:spacing w:after="0" w:line="1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segment accounting policies are the same as those used to prepare the Company’s interim condensed consolidated financial statements, except for the adjustments to calculate adjusted earnings described above. In addition, segment accounting policies include the methods of capital allocation described below.</w:t>
      </w:r>
    </w:p>
    <w:p>
      <w:pPr>
        <w:spacing w:after="0" w:line="8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Segment investment and capitalization targets are based on statutory oriented risk principles and metrics. Segment invested assets backing liabilities are based on net statutory liabilities plus excess capital. For the variable annuity business, the excess capital held is based on the target statutory total asset requirement consistent with the Company’s variable annuity risk management strategy. For insurance businesses other than variable annuities, excess capital held is based on a percentage of required statutory risk-based capital. Assets in excess of those allocated to the segments, if any, are held in Corporate &amp; Other. Segment net investment income reflects the performance of each segment’s respective invested assets.</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Operating results by segment, as well as Corporate &amp; Other,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0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2"/>
              </w:rPr>
              <w:t>Three Months Ended March 31, 2023</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1"/>
                <w:szCs w:val="11"/>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Run-off</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2"/>
              </w:rPr>
              <w:t>Corporate</w:t>
            </w:r>
          </w:p>
        </w:tc>
        <w:tc>
          <w:tcPr>
            <w:tcW w:w="220" w:type="dxa"/>
            <w:vAlign w:val="bottom"/>
          </w:tcPr>
          <w:p>
            <w:pPr>
              <w:spacing w:after="0"/>
              <w:rPr>
                <w:sz w:val="11"/>
                <w:szCs w:val="11"/>
                <w:color w:val="auto"/>
              </w:rPr>
            </w:pPr>
          </w:p>
        </w:tc>
        <w:tc>
          <w:tcPr>
            <w:tcW w:w="78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&amp; Other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adjusted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09"/>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8"/>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Post-tax adjusted earnings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Preferred stock dividends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8"/>
        </w:trPr>
        <w:tc>
          <w:tcPr>
            <w:tcW w:w="580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8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Adjustments for:</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5"/>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Change in market risk benefits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5"/>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adjustments to net income (loss)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9"/>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33"/>
        </w:trPr>
        <w:tc>
          <w:tcPr>
            <w:tcW w:w="5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7"/>
              </w:rPr>
              <w:t>Net income (loss) available to Brighthouse Financial, Inc.’s common shareholders</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5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0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2"/>
              </w:rPr>
              <w:t>Three Months Ended March 31, 2022</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1"/>
                <w:szCs w:val="11"/>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1"/>
                <w:szCs w:val="11"/>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Run-off</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2"/>
              </w:rPr>
              <w:t>Corporate</w:t>
            </w:r>
          </w:p>
        </w:tc>
        <w:tc>
          <w:tcPr>
            <w:tcW w:w="220" w:type="dxa"/>
            <w:vAlign w:val="bottom"/>
          </w:tcPr>
          <w:p>
            <w:pPr>
              <w:spacing w:after="0"/>
              <w:rPr>
                <w:sz w:val="11"/>
                <w:szCs w:val="11"/>
                <w:color w:val="auto"/>
              </w:rPr>
            </w:pPr>
          </w:p>
        </w:tc>
        <w:tc>
          <w:tcPr>
            <w:tcW w:w="78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&amp; Other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adjusted earnings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0" w:type="dxa"/>
            <w:vAlign w:val="bottom"/>
          </w:tcPr>
          <w:p>
            <w:pPr>
              <w:spacing w:after="0"/>
              <w:rPr>
                <w:sz w:val="1"/>
                <w:szCs w:val="1"/>
                <w:color w:val="auto"/>
              </w:rPr>
            </w:pPr>
          </w:p>
        </w:tc>
      </w:tr>
      <w:tr>
        <w:trPr>
          <w:trHeight w:val="209"/>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8"/>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Post-tax adjusted earnings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Preferred stock dividends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8"/>
        </w:trPr>
        <w:tc>
          <w:tcPr>
            <w:tcW w:w="580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Adjustments for:</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5"/>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Change in market risk benefits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1,579</w:t>
            </w:r>
          </w:p>
        </w:tc>
        <w:tc>
          <w:tcPr>
            <w:tcW w:w="0" w:type="dxa"/>
            <w:vAlign w:val="bottom"/>
          </w:tcPr>
          <w:p>
            <w:pPr>
              <w:spacing w:after="0"/>
              <w:rPr>
                <w:sz w:val="1"/>
                <w:szCs w:val="1"/>
                <w:color w:val="auto"/>
              </w:rPr>
            </w:pPr>
          </w:p>
        </w:tc>
      </w:tr>
      <w:tr>
        <w:trPr>
          <w:trHeight w:val="214"/>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adjustments to net income (loss)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9"/>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33"/>
        </w:trPr>
        <w:tc>
          <w:tcPr>
            <w:tcW w:w="5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w w:val="97"/>
              </w:rPr>
              <w:t>Net income (loss) available to Brighthouse Financial, Inc.’s common shareholders</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1,558</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5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8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revenues by segment, as well as Corporate &amp; Other, were as follows:</w:t>
      </w:r>
    </w:p>
    <w:p>
      <w:pPr>
        <w:spacing w:after="0" w:line="234"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Three Months Ended</w:t>
      </w:r>
    </w:p>
    <w:p>
      <w:pPr>
        <w:jc w:val="center"/>
        <w:ind w:left="7540"/>
        <w:spacing w:after="0"/>
        <w:rPr>
          <w:sz w:val="20"/>
          <w:szCs w:val="20"/>
          <w:color w:val="auto"/>
        </w:rPr>
      </w:pPr>
      <w:r>
        <w:rPr>
          <w:rFonts w:ascii="Arial" w:cs="Arial" w:eastAsia="Arial" w:hAnsi="Arial"/>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6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4"/>
                <w:szCs w:val="14"/>
                <w:b w:val="1"/>
                <w:bCs w:val="1"/>
                <w:color w:val="auto"/>
              </w:rPr>
              <w:t>2022</w:t>
            </w:r>
          </w:p>
        </w:tc>
      </w:tr>
      <w:tr>
        <w:trPr>
          <w:trHeight w:val="191"/>
        </w:trPr>
        <w:tc>
          <w:tcPr>
            <w:tcW w:w="7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gridSpan w:val="3"/>
          </w:tcPr>
          <w:p>
            <w:pPr>
              <w:jc w:val="right"/>
              <w:ind w:right="121"/>
              <w:spacing w:after="0"/>
              <w:rPr>
                <w:sz w:val="20"/>
                <w:szCs w:val="20"/>
                <w:color w:val="auto"/>
              </w:rPr>
            </w:pPr>
            <w:r>
              <w:rPr>
                <w:rFonts w:ascii="Arial" w:cs="Arial" w:eastAsia="Arial" w:hAnsi="Arial"/>
                <w:sz w:val="14"/>
                <w:szCs w:val="14"/>
                <w:b w:val="1"/>
                <w:bCs w:val="1"/>
                <w:color w:val="auto"/>
              </w:rPr>
              <w:t>(In millions)</w:t>
            </w:r>
          </w:p>
        </w:tc>
        <w:tc>
          <w:tcPr>
            <w:tcW w:w="1260" w:type="dxa"/>
            <w:vAlign w:val="bottom"/>
          </w:tcPr>
          <w:p>
            <w:pPr>
              <w:spacing w:after="0"/>
              <w:rPr>
                <w:sz w:val="16"/>
                <w:szCs w:val="16"/>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Annuities</w:t>
            </w:r>
          </w:p>
        </w:tc>
        <w:tc>
          <w:tcPr>
            <w:tcW w:w="1200" w:type="dxa"/>
            <w:vAlign w:val="bottom"/>
            <w:shd w:val="clear" w:color="auto" w:fill="CCEEFF"/>
          </w:tcPr>
          <w:p>
            <w:pPr>
              <w:jc w:val="right"/>
              <w:ind w:right="1023"/>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w:t>
            </w:r>
          </w:p>
        </w:tc>
      </w:tr>
      <w:tr>
        <w:trPr>
          <w:trHeight w:val="209"/>
        </w:trPr>
        <w:tc>
          <w:tcPr>
            <w:tcW w:w="7560" w:type="dxa"/>
            <w:vAlign w:val="bottom"/>
          </w:tcPr>
          <w:p>
            <w:pPr>
              <w:ind w:left="20"/>
              <w:spacing w:after="0"/>
              <w:rPr>
                <w:sz w:val="20"/>
                <w:szCs w:val="20"/>
                <w:color w:val="auto"/>
              </w:rPr>
            </w:pPr>
            <w:r>
              <w:rPr>
                <w:rFonts w:ascii="Arial" w:cs="Arial" w:eastAsia="Arial" w:hAnsi="Arial"/>
                <w:sz w:val="16"/>
                <w:szCs w:val="16"/>
                <w:color w:val="auto"/>
              </w:rPr>
              <w:t>Life</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363</w:t>
            </w:r>
          </w:p>
        </w:tc>
      </w:tr>
      <w:tr>
        <w:trPr>
          <w:trHeight w:val="215"/>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Run-off</w:t>
            </w:r>
          </w:p>
        </w:tc>
        <w:tc>
          <w:tcPr>
            <w:tcW w:w="1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w:t>
            </w:r>
          </w:p>
        </w:tc>
      </w:tr>
      <w:tr>
        <w:trPr>
          <w:trHeight w:val="210"/>
        </w:trPr>
        <w:tc>
          <w:tcPr>
            <w:tcW w:w="7560" w:type="dxa"/>
            <w:vAlign w:val="bottom"/>
          </w:tcPr>
          <w:p>
            <w:pPr>
              <w:ind w:left="20"/>
              <w:spacing w:after="0"/>
              <w:rPr>
                <w:sz w:val="20"/>
                <w:szCs w:val="20"/>
                <w:color w:val="auto"/>
              </w:rPr>
            </w:pPr>
            <w:r>
              <w:rPr>
                <w:rFonts w:ascii="Arial" w:cs="Arial" w:eastAsia="Arial" w:hAnsi="Arial"/>
                <w:sz w:val="16"/>
                <w:szCs w:val="16"/>
                <w:color w:val="auto"/>
              </w:rPr>
              <w:t>Corporate &amp; Other</w:t>
            </w:r>
          </w:p>
        </w:tc>
        <w:tc>
          <w:tcPr>
            <w:tcW w:w="1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12"/>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w:t>
            </w:r>
          </w:p>
        </w:tc>
        <w:tc>
          <w:tcPr>
            <w:tcW w:w="1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r>
      <w:tr>
        <w:trPr>
          <w:trHeight w:val="208"/>
        </w:trPr>
        <w:tc>
          <w:tcPr>
            <w:tcW w:w="7560" w:type="dxa"/>
            <w:vAlign w:val="bottom"/>
          </w:tcPr>
          <w:p>
            <w:pPr>
              <w:ind w:left="180"/>
              <w:spacing w:after="0"/>
              <w:rPr>
                <w:sz w:val="20"/>
                <w:szCs w:val="20"/>
                <w:color w:val="auto"/>
              </w:rPr>
            </w:pPr>
            <w:r>
              <w:rPr>
                <w:rFonts w:ascii="Arial" w:cs="Arial" w:eastAsia="Arial" w:hAnsi="Arial"/>
                <w:sz w:val="16"/>
                <w:szCs w:val="16"/>
                <w:color w:val="auto"/>
              </w:rPr>
              <w:t>Total</w:t>
            </w:r>
          </w:p>
        </w:tc>
        <w:tc>
          <w:tcPr>
            <w:tcW w:w="1200" w:type="dxa"/>
            <w:vAlign w:val="bottom"/>
            <w:tcBorders>
              <w:bottom w:val="single" w:sz="8" w:color="auto"/>
            </w:tcBorders>
          </w:tcPr>
          <w:p>
            <w:pPr>
              <w:jc w:val="right"/>
              <w:ind w:right="1023"/>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1,284</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2,013</w:t>
            </w:r>
          </w:p>
        </w:tc>
      </w:tr>
      <w:tr>
        <w:trPr>
          <w:trHeight w:val="20"/>
        </w:trPr>
        <w:tc>
          <w:tcPr>
            <w:tcW w:w="75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assets by segment, as well as Corporate &amp; Other,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2023</w:t>
            </w:r>
          </w:p>
        </w:tc>
        <w:tc>
          <w:tcPr>
            <w:tcW w:w="320" w:type="dxa"/>
            <w:vAlign w:val="bottom"/>
          </w:tcPr>
          <w:p>
            <w:pPr>
              <w:spacing w:after="0"/>
              <w:rPr>
                <w:sz w:val="15"/>
                <w:szCs w:val="15"/>
                <w:color w:val="auto"/>
              </w:rPr>
            </w:pPr>
          </w:p>
        </w:tc>
        <w:tc>
          <w:tcPr>
            <w:tcW w:w="1460" w:type="dxa"/>
            <w:vAlign w:val="bottom"/>
          </w:tcPr>
          <w:p>
            <w:pPr>
              <w:jc w:val="right"/>
              <w:ind w:right="242"/>
              <w:spacing w:after="0"/>
              <w:rPr>
                <w:sz w:val="20"/>
                <w:szCs w:val="20"/>
                <w:color w:val="auto"/>
              </w:rPr>
            </w:pPr>
            <w:r>
              <w:rPr>
                <w:rFonts w:ascii="Arial" w:cs="Arial" w:eastAsia="Arial" w:hAnsi="Arial"/>
                <w:sz w:val="14"/>
                <w:szCs w:val="14"/>
                <w:b w:val="1"/>
                <w:bCs w:val="1"/>
                <w:color w:val="auto"/>
                <w:w w:val="88"/>
              </w:rPr>
              <w:t>December 31, 2022</w:t>
            </w:r>
          </w:p>
        </w:tc>
      </w:tr>
      <w:tr>
        <w:trPr>
          <w:trHeight w:val="24"/>
        </w:trPr>
        <w:tc>
          <w:tcPr>
            <w:tcW w:w="7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5"/>
        </w:trPr>
        <w:tc>
          <w:tcPr>
            <w:tcW w:w="7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60" w:type="dxa"/>
            <w:vAlign w:val="bottom"/>
          </w:tcPr>
          <w:p>
            <w:pPr>
              <w:spacing w:after="0"/>
              <w:rPr>
                <w:sz w:val="16"/>
                <w:szCs w:val="16"/>
                <w:color w:val="auto"/>
              </w:rPr>
            </w:pP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Annuities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155,541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151,192</w:t>
            </w:r>
          </w:p>
        </w:tc>
      </w:tr>
      <w:tr>
        <w:trPr>
          <w:trHeight w:val="210"/>
        </w:trPr>
        <w:tc>
          <w:tcPr>
            <w:tcW w:w="7560" w:type="dxa"/>
            <w:vAlign w:val="bottom"/>
          </w:tcPr>
          <w:p>
            <w:pPr>
              <w:ind w:left="20"/>
              <w:spacing w:after="0"/>
              <w:rPr>
                <w:sz w:val="20"/>
                <w:szCs w:val="20"/>
                <w:color w:val="auto"/>
              </w:rPr>
            </w:pPr>
            <w:r>
              <w:rPr>
                <w:rFonts w:ascii="Arial" w:cs="Arial" w:eastAsia="Arial" w:hAnsi="Arial"/>
                <w:sz w:val="16"/>
                <w:szCs w:val="16"/>
                <w:color w:val="auto"/>
              </w:rPr>
              <w:t>Life</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22,621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22,057</w:t>
            </w:r>
          </w:p>
        </w:tc>
      </w:tr>
      <w:tr>
        <w:trPr>
          <w:trHeight w:val="215"/>
        </w:trPr>
        <w:tc>
          <w:tcPr>
            <w:tcW w:w="7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Run-off</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28,436</w:t>
            </w:r>
          </w:p>
        </w:tc>
      </w:tr>
      <w:tr>
        <w:trPr>
          <w:trHeight w:val="21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&amp; Other</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22,714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23,162</w:t>
            </w:r>
          </w:p>
        </w:tc>
      </w:tr>
      <w:tr>
        <w:trPr>
          <w:trHeight w:val="233"/>
        </w:trPr>
        <w:tc>
          <w:tcPr>
            <w:tcW w:w="7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230,002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224,847</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Insurance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for Future Policy Benefits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regarding LFPBs for non-participating traditional and limited-payment contracts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5"/>
          </w:tcPr>
          <w:p>
            <w:pPr>
              <w:jc w:val="center"/>
              <w:ind w:right="220"/>
              <w:spacing w:after="0"/>
              <w:rPr>
                <w:sz w:val="20"/>
                <w:szCs w:val="20"/>
                <w:color w:val="auto"/>
              </w:rPr>
            </w:pPr>
            <w:r>
              <w:rPr>
                <w:rFonts w:ascii="Arial" w:cs="Arial" w:eastAsia="Arial" w:hAnsi="Arial"/>
                <w:sz w:val="12"/>
                <w:szCs w:val="12"/>
                <w:b w:val="1"/>
                <w:bCs w:val="1"/>
                <w:color w:val="auto"/>
                <w:w w:val="95"/>
              </w:rPr>
              <w:t>Three Months Ended March 31,</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4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370"/>
              <w:spacing w:after="0"/>
              <w:rPr>
                <w:sz w:val="20"/>
                <w:szCs w:val="20"/>
                <w:color w:val="auto"/>
              </w:rPr>
            </w:pPr>
            <w:r>
              <w:rPr>
                <w:rFonts w:ascii="Arial" w:cs="Arial" w:eastAsia="Arial" w:hAnsi="Arial"/>
                <w:sz w:val="12"/>
                <w:szCs w:val="12"/>
                <w:b w:val="1"/>
                <w:bCs w:val="1"/>
                <w:color w:val="auto"/>
              </w:rPr>
              <w:t>2023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ind w:right="350"/>
              <w:spacing w:after="0"/>
              <w:rPr>
                <w:sz w:val="20"/>
                <w:szCs w:val="20"/>
                <w:color w:val="auto"/>
              </w:rPr>
            </w:pPr>
            <w:r>
              <w:rPr>
                <w:rFonts w:ascii="Arial" w:cs="Arial" w:eastAsia="Arial" w:hAnsi="Arial"/>
                <w:sz w:val="12"/>
                <w:szCs w:val="12"/>
                <w:b w:val="1"/>
                <w:bCs w:val="1"/>
                <w:color w:val="auto"/>
              </w:rPr>
              <w:t>2022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5"/>
              </w:rPr>
              <w:t>Structured</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50"/>
              <w:spacing w:after="0"/>
              <w:rPr>
                <w:sz w:val="20"/>
                <w:szCs w:val="20"/>
                <w:color w:val="auto"/>
              </w:rPr>
            </w:pPr>
            <w:r>
              <w:rPr>
                <w:rFonts w:ascii="Arial" w:cs="Arial" w:eastAsia="Arial" w:hAnsi="Arial"/>
                <w:sz w:val="12"/>
                <w:szCs w:val="12"/>
                <w:b w:val="1"/>
                <w:bCs w:val="1"/>
                <w:color w:val="auto"/>
                <w:w w:val="92"/>
              </w:rPr>
              <w:t>Structured</w:t>
            </w:r>
          </w:p>
        </w:tc>
        <w:tc>
          <w:tcPr>
            <w:tcW w:w="0" w:type="dxa"/>
            <w:vAlign w:val="bottom"/>
          </w:tcPr>
          <w:p>
            <w:pPr>
              <w:spacing w:after="0"/>
              <w:rPr>
                <w:sz w:val="1"/>
                <w:szCs w:val="1"/>
                <w:color w:val="auto"/>
              </w:rPr>
            </w:pPr>
          </w:p>
        </w:tc>
      </w:tr>
      <w:tr>
        <w:trPr>
          <w:trHeight w:val="146"/>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Settlement and</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50"/>
              <w:spacing w:after="0"/>
              <w:rPr>
                <w:sz w:val="20"/>
                <w:szCs w:val="20"/>
                <w:color w:val="auto"/>
              </w:rPr>
            </w:pPr>
            <w:r>
              <w:rPr>
                <w:rFonts w:ascii="Arial" w:cs="Arial" w:eastAsia="Arial" w:hAnsi="Arial"/>
                <w:sz w:val="12"/>
                <w:szCs w:val="12"/>
                <w:b w:val="1"/>
                <w:bCs w:val="1"/>
                <w:color w:val="auto"/>
                <w:w w:val="92"/>
              </w:rPr>
              <w:t>Settlement and</w:t>
            </w:r>
          </w:p>
        </w:tc>
        <w:tc>
          <w:tcPr>
            <w:tcW w:w="0" w:type="dxa"/>
            <w:vAlign w:val="bottom"/>
          </w:tcPr>
          <w:p>
            <w:pPr>
              <w:spacing w:after="0"/>
              <w:rPr>
                <w:sz w:val="1"/>
                <w:szCs w:val="1"/>
                <w:color w:val="auto"/>
              </w:rPr>
            </w:pPr>
          </w:p>
        </w:tc>
      </w:tr>
      <w:tr>
        <w:trPr>
          <w:trHeight w:val="159"/>
        </w:trPr>
        <w:tc>
          <w:tcPr>
            <w:tcW w:w="4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Term and Whole</w:t>
            </w: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Pension Risk</w:t>
            </w:r>
          </w:p>
        </w:tc>
        <w:tc>
          <w:tcPr>
            <w:tcW w:w="10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Term and Whole</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50"/>
              <w:spacing w:after="0"/>
              <w:rPr>
                <w:sz w:val="20"/>
                <w:szCs w:val="20"/>
                <w:color w:val="auto"/>
              </w:rPr>
            </w:pPr>
            <w:r>
              <w:rPr>
                <w:rFonts w:ascii="Arial" w:cs="Arial" w:eastAsia="Arial" w:hAnsi="Arial"/>
                <w:sz w:val="12"/>
                <w:szCs w:val="12"/>
                <w:b w:val="1"/>
                <w:bCs w:val="1"/>
                <w:color w:val="auto"/>
                <w:w w:val="90"/>
              </w:rPr>
              <w:t>Pension Risk</w:t>
            </w: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3"/>
              </w:rPr>
              <w:t>Life Insurance</w:t>
            </w:r>
          </w:p>
        </w:tc>
        <w:tc>
          <w:tcPr>
            <w:tcW w:w="8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Income Annuities</w:t>
            </w:r>
          </w:p>
        </w:tc>
        <w:tc>
          <w:tcPr>
            <w:tcW w:w="122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4"/>
              </w:rPr>
              <w:t>Transfer Annuities</w:t>
            </w:r>
          </w:p>
        </w:tc>
        <w:tc>
          <w:tcPr>
            <w:tcW w:w="10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Life Insurance</w:t>
            </w:r>
          </w:p>
        </w:tc>
        <w:tc>
          <w:tcPr>
            <w:tcW w:w="80" w:type="dxa"/>
            <w:vAlign w:val="bottom"/>
          </w:tcPr>
          <w:p>
            <w:pPr>
              <w:spacing w:after="0"/>
              <w:rPr>
                <w:sz w:val="13"/>
                <w:szCs w:val="13"/>
                <w:color w:val="auto"/>
              </w:rPr>
            </w:pPr>
          </w:p>
        </w:tc>
        <w:tc>
          <w:tcPr>
            <w:tcW w:w="1140" w:type="dxa"/>
            <w:vAlign w:val="bottom"/>
            <w:gridSpan w:val="2"/>
          </w:tcPr>
          <w:p>
            <w:pPr>
              <w:spacing w:after="0"/>
              <w:rPr>
                <w:sz w:val="20"/>
                <w:szCs w:val="20"/>
                <w:color w:val="auto"/>
              </w:rPr>
            </w:pPr>
            <w:r>
              <w:rPr>
                <w:rFonts w:ascii="Arial" w:cs="Arial" w:eastAsia="Arial" w:hAnsi="Arial"/>
                <w:sz w:val="12"/>
                <w:szCs w:val="12"/>
                <w:b w:val="1"/>
                <w:bCs w:val="1"/>
                <w:color w:val="auto"/>
              </w:rPr>
              <w:t>Income Annuities</w:t>
            </w:r>
          </w:p>
        </w:tc>
        <w:tc>
          <w:tcPr>
            <w:tcW w:w="11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4"/>
              </w:rPr>
              <w:t>Transfer Annuities</w:t>
            </w:r>
          </w:p>
        </w:tc>
        <w:tc>
          <w:tcPr>
            <w:tcW w:w="0" w:type="dxa"/>
            <w:vAlign w:val="bottom"/>
          </w:tcPr>
          <w:p>
            <w:pPr>
              <w:spacing w:after="0"/>
              <w:rPr>
                <w:sz w:val="1"/>
                <w:szCs w:val="1"/>
                <w:color w:val="auto"/>
              </w:rPr>
            </w:pPr>
          </w:p>
        </w:tc>
      </w:tr>
      <w:tr>
        <w:trPr>
          <w:trHeight w:val="30"/>
        </w:trPr>
        <w:tc>
          <w:tcPr>
            <w:tcW w:w="40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5"/>
          </w:tcPr>
          <w:p>
            <w:pPr>
              <w:jc w:val="center"/>
              <w:ind w:right="220"/>
              <w:spacing w:after="0"/>
              <w:rPr>
                <w:sz w:val="20"/>
                <w:szCs w:val="20"/>
                <w:color w:val="auto"/>
              </w:rPr>
            </w:pPr>
            <w:r>
              <w:rPr>
                <w:rFonts w:ascii="Arial" w:cs="Arial" w:eastAsia="Arial" w:hAnsi="Arial"/>
                <w:sz w:val="12"/>
                <w:szCs w:val="12"/>
                <w:b w:val="1"/>
                <w:bCs w:val="1"/>
                <w:color w:val="auto"/>
                <w:w w:val="95"/>
              </w:rPr>
              <w:t>(Dollars in millions)</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Present value of expected net premiums: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20" w:type="dxa"/>
            <w:vAlign w:val="bottom"/>
          </w:tcPr>
          <w:p>
            <w:pPr>
              <w:ind w:left="20"/>
              <w:spacing w:after="0"/>
              <w:rPr>
                <w:sz w:val="20"/>
                <w:szCs w:val="20"/>
                <w:color w:val="auto"/>
              </w:rPr>
            </w:pPr>
            <w:r>
              <w:rPr>
                <w:rFonts w:ascii="Arial" w:cs="Arial" w:eastAsia="Arial" w:hAnsi="Arial"/>
                <w:sz w:val="14"/>
                <w:szCs w:val="14"/>
                <w:color w:val="auto"/>
              </w:rPr>
              <w:t>Balance, beginning of period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2,871</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3,325</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 at original discount rate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3,212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3,051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20" w:type="dxa"/>
            <w:vAlign w:val="bottom"/>
          </w:tcPr>
          <w:p>
            <w:pPr>
              <w:ind w:left="20"/>
              <w:spacing w:after="0"/>
              <w:rPr>
                <w:sz w:val="20"/>
                <w:szCs w:val="20"/>
                <w:color w:val="auto"/>
              </w:rPr>
            </w:pPr>
            <w:r>
              <w:rPr>
                <w:rFonts w:ascii="Arial" w:cs="Arial" w:eastAsia="Arial" w:hAnsi="Arial"/>
                <w:sz w:val="14"/>
                <w:szCs w:val="14"/>
                <w:color w:val="auto"/>
              </w:rPr>
              <w:t>Effect of model refinements</w:t>
            </w:r>
          </w:p>
        </w:tc>
        <w:tc>
          <w:tcPr>
            <w:tcW w:w="10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changes in cash flow assumptions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020" w:type="dxa"/>
            <w:vAlign w:val="bottom"/>
          </w:tcPr>
          <w:p>
            <w:pPr>
              <w:ind w:left="20"/>
              <w:spacing w:after="0"/>
              <w:rPr>
                <w:sz w:val="20"/>
                <w:szCs w:val="20"/>
                <w:color w:val="auto"/>
              </w:rPr>
            </w:pPr>
            <w:r>
              <w:rPr>
                <w:rFonts w:ascii="Arial" w:cs="Arial" w:eastAsia="Arial" w:hAnsi="Arial"/>
                <w:sz w:val="14"/>
                <w:szCs w:val="14"/>
                <w:color w:val="auto"/>
              </w:rPr>
              <w:t>Effect of actual variances from expected experience</w:t>
            </w:r>
          </w:p>
        </w:tc>
        <w:tc>
          <w:tcPr>
            <w:tcW w:w="100" w:type="dxa"/>
            <w:vAlign w:val="bottom"/>
          </w:tcPr>
          <w:p>
            <w:pPr>
              <w:spacing w:after="0"/>
              <w:rPr>
                <w:sz w:val="16"/>
                <w:szCs w:val="16"/>
                <w:color w:val="auto"/>
              </w:rPr>
            </w:pP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40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Adjusted beginning of period balance</w:t>
            </w: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3,203</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3,249</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20" w:type="dxa"/>
            <w:vAlign w:val="bottom"/>
          </w:tcPr>
          <w:p>
            <w:pPr>
              <w:ind w:left="20"/>
              <w:spacing w:after="0"/>
              <w:rPr>
                <w:sz w:val="20"/>
                <w:szCs w:val="20"/>
                <w:color w:val="auto"/>
              </w:rPr>
            </w:pPr>
            <w:r>
              <w:rPr>
                <w:rFonts w:ascii="Arial" w:cs="Arial" w:eastAsia="Arial" w:hAnsi="Arial"/>
                <w:sz w:val="14"/>
                <w:szCs w:val="14"/>
                <w:color w:val="auto"/>
              </w:rPr>
              <w:t>Issuances</w:t>
            </w:r>
          </w:p>
        </w:tc>
        <w:tc>
          <w:tcPr>
            <w:tcW w:w="1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accrual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020" w:type="dxa"/>
            <w:vAlign w:val="bottom"/>
          </w:tcPr>
          <w:p>
            <w:pPr>
              <w:ind w:left="20"/>
              <w:spacing w:after="0"/>
              <w:rPr>
                <w:sz w:val="20"/>
                <w:szCs w:val="20"/>
                <w:color w:val="auto"/>
              </w:rPr>
            </w:pPr>
            <w:r>
              <w:rPr>
                <w:rFonts w:ascii="Arial" w:cs="Arial" w:eastAsia="Arial" w:hAnsi="Arial"/>
                <w:sz w:val="14"/>
                <w:szCs w:val="14"/>
                <w:color w:val="auto"/>
              </w:rPr>
              <w:t>Net premiums collected</w:t>
            </w:r>
          </w:p>
        </w:tc>
        <w:tc>
          <w:tcPr>
            <w:tcW w:w="100" w:type="dxa"/>
            <w:vAlign w:val="bottom"/>
          </w:tcPr>
          <w:p>
            <w:pPr>
              <w:spacing w:after="0"/>
              <w:rPr>
                <w:sz w:val="16"/>
                <w:szCs w:val="16"/>
                <w:color w:val="auto"/>
              </w:rPr>
            </w:pP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40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Ending balance at original discount rate</w:t>
            </w: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3,165</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3,190</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020" w:type="dxa"/>
            <w:vAlign w:val="bottom"/>
          </w:tcPr>
          <w:p>
            <w:pPr>
              <w:ind w:left="20"/>
              <w:spacing w:after="0"/>
              <w:rPr>
                <w:sz w:val="20"/>
                <w:szCs w:val="20"/>
                <w:color w:val="auto"/>
              </w:rPr>
            </w:pPr>
            <w:r>
              <w:rPr>
                <w:rFonts w:ascii="Arial" w:cs="Arial" w:eastAsia="Arial" w:hAnsi="Arial"/>
                <w:sz w:val="14"/>
                <w:szCs w:val="14"/>
                <w:color w:val="auto"/>
              </w:rPr>
              <w:t>Effect of changes in discount rate assumptions</w:t>
            </w:r>
          </w:p>
        </w:tc>
        <w:tc>
          <w:tcPr>
            <w:tcW w:w="100" w:type="dxa"/>
            <w:vAlign w:val="bottom"/>
          </w:tcPr>
          <w:p>
            <w:pPr>
              <w:spacing w:after="0"/>
              <w:rPr>
                <w:sz w:val="16"/>
                <w:szCs w:val="16"/>
                <w:color w:val="auto"/>
              </w:rPr>
            </w:pP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40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Balance,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2,895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3,216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Present value of expected future policy benefits: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0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5,279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3,512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6,793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6,426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4,333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10,171</w:t>
            </w:r>
          </w:p>
        </w:tc>
        <w:tc>
          <w:tcPr>
            <w:tcW w:w="0" w:type="dxa"/>
            <w:vAlign w:val="bottom"/>
          </w:tcPr>
          <w:p>
            <w:pPr>
              <w:spacing w:after="0"/>
              <w:rPr>
                <w:sz w:val="1"/>
                <w:szCs w:val="1"/>
                <w:color w:val="auto"/>
              </w:rPr>
            </w:pPr>
          </w:p>
        </w:tc>
      </w:tr>
      <w:tr>
        <w:trPr>
          <w:trHeight w:val="189"/>
        </w:trPr>
        <w:tc>
          <w:tcPr>
            <w:tcW w:w="4020" w:type="dxa"/>
            <w:vAlign w:val="bottom"/>
          </w:tcPr>
          <w:p>
            <w:pPr>
              <w:ind w:left="20"/>
              <w:spacing w:after="0"/>
              <w:rPr>
                <w:sz w:val="20"/>
                <w:szCs w:val="20"/>
                <w:color w:val="auto"/>
              </w:rPr>
            </w:pPr>
            <w:r>
              <w:rPr>
                <w:rFonts w:ascii="Arial" w:cs="Arial" w:eastAsia="Arial" w:hAnsi="Arial"/>
                <w:sz w:val="14"/>
                <w:szCs w:val="14"/>
                <w:color w:val="auto"/>
              </w:rPr>
              <w:t>Beginning balance at original discount rate</w:t>
            </w:r>
          </w:p>
        </w:tc>
        <w:tc>
          <w:tcPr>
            <w:tcW w:w="1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5,922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3,897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7,410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5,820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3,865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8,165</w:t>
            </w:r>
          </w:p>
        </w:tc>
        <w:tc>
          <w:tcPr>
            <w:tcW w:w="0" w:type="dxa"/>
            <w:vAlign w:val="bottom"/>
          </w:tcPr>
          <w:p>
            <w:pPr>
              <w:spacing w:after="0"/>
              <w:rPr>
                <w:sz w:val="1"/>
                <w:szCs w:val="1"/>
                <w:color w:val="auto"/>
              </w:rPr>
            </w:pPr>
          </w:p>
        </w:tc>
      </w:tr>
      <w:tr>
        <w:trPr>
          <w:trHeight w:val="208"/>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model refinements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20" w:type="dxa"/>
            <w:vAlign w:val="bottom"/>
          </w:tcPr>
          <w:p>
            <w:pPr>
              <w:ind w:left="20"/>
              <w:spacing w:after="0"/>
              <w:rPr>
                <w:sz w:val="20"/>
                <w:szCs w:val="20"/>
                <w:color w:val="auto"/>
              </w:rPr>
            </w:pPr>
            <w:r>
              <w:rPr>
                <w:rFonts w:ascii="Arial" w:cs="Arial" w:eastAsia="Arial" w:hAnsi="Arial"/>
                <w:sz w:val="14"/>
                <w:szCs w:val="14"/>
                <w:color w:val="auto"/>
              </w:rPr>
              <w:t>Effect of changes in cash flow assumptions</w:t>
            </w:r>
          </w:p>
        </w:tc>
        <w:tc>
          <w:tcPr>
            <w:tcW w:w="10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actual variances from expected experience</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3"/>
        </w:trPr>
        <w:tc>
          <w:tcPr>
            <w:tcW w:w="4020" w:type="dxa"/>
            <w:vAlign w:val="bottom"/>
          </w:tcPr>
          <w:p>
            <w:pPr>
              <w:ind w:left="120"/>
              <w:spacing w:after="0"/>
              <w:rPr>
                <w:sz w:val="20"/>
                <w:szCs w:val="20"/>
                <w:color w:val="auto"/>
              </w:rPr>
            </w:pPr>
            <w:r>
              <w:rPr>
                <w:rFonts w:ascii="Arial" w:cs="Arial" w:eastAsia="Arial" w:hAnsi="Arial"/>
                <w:sz w:val="14"/>
                <w:szCs w:val="14"/>
                <w:color w:val="auto"/>
              </w:rPr>
              <w:t>Adjusted beginning of period balance</w:t>
            </w:r>
          </w:p>
        </w:tc>
        <w:tc>
          <w:tcPr>
            <w:tcW w:w="100" w:type="dxa"/>
            <w:vAlign w:val="bottom"/>
          </w:tcPr>
          <w:p>
            <w:pPr>
              <w:spacing w:after="0"/>
              <w:rPr>
                <w:sz w:val="15"/>
                <w:szCs w:val="15"/>
                <w:color w:val="auto"/>
              </w:rPr>
            </w:pP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5,913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3,866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7,379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6,040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3,856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8,143</w:t>
            </w:r>
          </w:p>
        </w:tc>
        <w:tc>
          <w:tcPr>
            <w:tcW w:w="0" w:type="dxa"/>
            <w:vAlign w:val="bottom"/>
          </w:tcPr>
          <w:p>
            <w:pPr>
              <w:spacing w:after="0"/>
              <w:rPr>
                <w:sz w:val="1"/>
                <w:szCs w:val="1"/>
                <w:color w:val="auto"/>
              </w:rPr>
            </w:pPr>
          </w:p>
        </w:tc>
      </w:tr>
      <w:tr>
        <w:trPr>
          <w:trHeight w:val="208"/>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20" w:type="dxa"/>
            <w:vAlign w:val="bottom"/>
          </w:tcPr>
          <w:p>
            <w:pPr>
              <w:ind w:left="20"/>
              <w:spacing w:after="0"/>
              <w:rPr>
                <w:sz w:val="20"/>
                <w:szCs w:val="20"/>
                <w:color w:val="auto"/>
              </w:rPr>
            </w:pPr>
            <w:r>
              <w:rPr>
                <w:rFonts w:ascii="Arial" w:cs="Arial" w:eastAsia="Arial" w:hAnsi="Arial"/>
                <w:sz w:val="14"/>
                <w:szCs w:val="14"/>
                <w:color w:val="auto"/>
              </w:rPr>
              <w:t>Interest accrual</w:t>
            </w:r>
          </w:p>
        </w:tc>
        <w:tc>
          <w:tcPr>
            <w:tcW w:w="10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08"/>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payments</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83"/>
        </w:trPr>
        <w:tc>
          <w:tcPr>
            <w:tcW w:w="4020" w:type="dxa"/>
            <w:vAlign w:val="bottom"/>
          </w:tcPr>
          <w:p>
            <w:pPr>
              <w:ind w:left="120"/>
              <w:spacing w:after="0"/>
              <w:rPr>
                <w:sz w:val="20"/>
                <w:szCs w:val="20"/>
                <w:color w:val="auto"/>
              </w:rPr>
            </w:pPr>
            <w:r>
              <w:rPr>
                <w:rFonts w:ascii="Arial" w:cs="Arial" w:eastAsia="Arial" w:hAnsi="Arial"/>
                <w:sz w:val="14"/>
                <w:szCs w:val="14"/>
                <w:color w:val="auto"/>
              </w:rPr>
              <w:t>Ending balance at original discount rate</w:t>
            </w:r>
          </w:p>
        </w:tc>
        <w:tc>
          <w:tcPr>
            <w:tcW w:w="100" w:type="dxa"/>
            <w:vAlign w:val="bottom"/>
          </w:tcPr>
          <w:p>
            <w:pPr>
              <w:spacing w:after="0"/>
              <w:rPr>
                <w:sz w:val="15"/>
                <w:szCs w:val="15"/>
                <w:color w:val="auto"/>
              </w:rPr>
            </w:pP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5,860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3,891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7,313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5,910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3,843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8,069</w:t>
            </w:r>
          </w:p>
        </w:tc>
        <w:tc>
          <w:tcPr>
            <w:tcW w:w="0" w:type="dxa"/>
            <w:vAlign w:val="bottom"/>
          </w:tcPr>
          <w:p>
            <w:pPr>
              <w:spacing w:after="0"/>
              <w:rPr>
                <w:sz w:val="1"/>
                <w:szCs w:val="1"/>
                <w:color w:val="auto"/>
              </w:rPr>
            </w:pPr>
          </w:p>
        </w:tc>
      </w:tr>
      <w:tr>
        <w:trPr>
          <w:trHeight w:val="201"/>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changes in discount rate assumptions</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(501)</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820</w:t>
            </w:r>
          </w:p>
        </w:tc>
        <w:tc>
          <w:tcPr>
            <w:tcW w:w="0" w:type="dxa"/>
            <w:vAlign w:val="bottom"/>
          </w:tcPr>
          <w:p>
            <w:pPr>
              <w:spacing w:after="0"/>
              <w:rPr>
                <w:sz w:val="1"/>
                <w:szCs w:val="1"/>
                <w:color w:val="auto"/>
              </w:rPr>
            </w:pPr>
          </w:p>
        </w:tc>
      </w:tr>
      <w:tr>
        <w:trPr>
          <w:trHeight w:val="199"/>
        </w:trPr>
        <w:tc>
          <w:tcPr>
            <w:tcW w:w="4020" w:type="dxa"/>
            <w:vAlign w:val="bottom"/>
          </w:tcPr>
          <w:p>
            <w:pPr>
              <w:ind w:left="120"/>
              <w:spacing w:after="0"/>
              <w:rPr>
                <w:sz w:val="20"/>
                <w:szCs w:val="20"/>
                <w:color w:val="auto"/>
              </w:rPr>
            </w:pPr>
            <w:r>
              <w:rPr>
                <w:rFonts w:ascii="Arial" w:cs="Arial" w:eastAsia="Arial" w:hAnsi="Arial"/>
                <w:sz w:val="14"/>
                <w:szCs w:val="14"/>
                <w:color w:val="auto"/>
              </w:rPr>
              <w:t>Balance,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5,359</w:t>
            </w: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3,604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6,928</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5,996</w:t>
            </w: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3,953</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8,889</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liability for future policy benefits,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2,464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3,604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6,928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2,780</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3,953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8,889</w:t>
            </w:r>
          </w:p>
        </w:tc>
        <w:tc>
          <w:tcPr>
            <w:tcW w:w="0" w:type="dxa"/>
            <w:vAlign w:val="bottom"/>
          </w:tcPr>
          <w:p>
            <w:pPr>
              <w:spacing w:after="0"/>
              <w:rPr>
                <w:sz w:val="1"/>
                <w:szCs w:val="1"/>
                <w:color w:val="auto"/>
              </w:rPr>
            </w:pPr>
          </w:p>
        </w:tc>
      </w:tr>
      <w:tr>
        <w:trPr>
          <w:trHeight w:val="192"/>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Reinsurance recoverable, end of period</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24"/>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7"/>
              </w:rPr>
              <w:t>Net liability for future policy benefits, after reinsurance recoverable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2,421</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3,578</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6,859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2,719</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3,928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8,807</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Weighted-average duration of liability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40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8.4 years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8.4 years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11.6 years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8.4 years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8.5 years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12.7 years</w:t>
            </w:r>
          </w:p>
        </w:tc>
        <w:tc>
          <w:tcPr>
            <w:tcW w:w="0" w:type="dxa"/>
            <w:vAlign w:val="bottom"/>
          </w:tcPr>
          <w:p>
            <w:pPr>
              <w:spacing w:after="0"/>
              <w:rPr>
                <w:sz w:val="1"/>
                <w:szCs w:val="1"/>
                <w:color w:val="auto"/>
              </w:rPr>
            </w:pPr>
          </w:p>
        </w:tc>
      </w:tr>
      <w:tr>
        <w:trPr>
          <w:trHeight w:val="208"/>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interest accretion rate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4.45 %</w:t>
            </w:r>
          </w:p>
        </w:tc>
        <w:tc>
          <w:tcPr>
            <w:tcW w:w="0" w:type="dxa"/>
            <w:vAlign w:val="bottom"/>
          </w:tcPr>
          <w:p>
            <w:pPr>
              <w:spacing w:after="0"/>
              <w:rPr>
                <w:sz w:val="1"/>
                <w:szCs w:val="1"/>
                <w:color w:val="auto"/>
              </w:rPr>
            </w:pPr>
          </w:p>
        </w:tc>
      </w:tr>
      <w:tr>
        <w:trPr>
          <w:trHeight w:val="189"/>
        </w:trPr>
        <w:tc>
          <w:tcPr>
            <w:tcW w:w="4020" w:type="dxa"/>
            <w:vAlign w:val="bottom"/>
          </w:tcPr>
          <w:p>
            <w:pPr>
              <w:ind w:left="20"/>
              <w:spacing w:after="0"/>
              <w:rPr>
                <w:sz w:val="20"/>
                <w:szCs w:val="20"/>
                <w:color w:val="auto"/>
              </w:rPr>
            </w:pPr>
            <w:r>
              <w:rPr>
                <w:rFonts w:ascii="Arial" w:cs="Arial" w:eastAsia="Arial" w:hAnsi="Arial"/>
                <w:sz w:val="14"/>
                <w:szCs w:val="14"/>
                <w:color w:val="auto"/>
              </w:rPr>
              <w:t>Gross premiums or assessments recognized during period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future gross premiums, undiscounted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6,618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6,954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020" w:type="dxa"/>
            <w:vAlign w:val="bottom"/>
          </w:tcPr>
          <w:p>
            <w:pPr>
              <w:ind w:left="20"/>
              <w:spacing w:after="0"/>
              <w:rPr>
                <w:sz w:val="20"/>
                <w:szCs w:val="20"/>
                <w:color w:val="auto"/>
              </w:rPr>
            </w:pPr>
            <w:r>
              <w:rPr>
                <w:rFonts w:ascii="Arial" w:cs="Arial" w:eastAsia="Arial" w:hAnsi="Arial"/>
                <w:sz w:val="14"/>
                <w:szCs w:val="14"/>
                <w:color w:val="auto"/>
              </w:rPr>
              <w:t>Expected future gross premiums, discounted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4,905</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5,138</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future benefit payments, undiscounted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8,099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5,375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14,224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8,195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5,479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17,046</w:t>
            </w:r>
          </w:p>
        </w:tc>
        <w:tc>
          <w:tcPr>
            <w:tcW w:w="0" w:type="dxa"/>
            <w:vAlign w:val="bottom"/>
          </w:tcPr>
          <w:p>
            <w:pPr>
              <w:spacing w:after="0"/>
              <w:rPr>
                <w:sz w:val="1"/>
                <w:szCs w:val="1"/>
                <w:color w:val="auto"/>
              </w:rPr>
            </w:pPr>
          </w:p>
        </w:tc>
      </w:tr>
      <w:tr>
        <w:trPr>
          <w:trHeight w:val="180"/>
        </w:trPr>
        <w:tc>
          <w:tcPr>
            <w:tcW w:w="4020" w:type="dxa"/>
            <w:vAlign w:val="bottom"/>
          </w:tcPr>
          <w:p>
            <w:pPr>
              <w:ind w:left="20"/>
              <w:spacing w:after="0"/>
              <w:rPr>
                <w:sz w:val="20"/>
                <w:szCs w:val="20"/>
                <w:color w:val="auto"/>
              </w:rPr>
            </w:pPr>
            <w:r>
              <w:rPr>
                <w:rFonts w:ascii="Arial" w:cs="Arial" w:eastAsia="Arial" w:hAnsi="Arial"/>
                <w:sz w:val="14"/>
                <w:szCs w:val="14"/>
                <w:color w:val="auto"/>
              </w:rPr>
              <w:t>Expected future benefit payments, discounted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5,860</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110"/>
              <w:spacing w:after="0"/>
              <w:rPr>
                <w:sz w:val="20"/>
                <w:szCs w:val="20"/>
                <w:color w:val="auto"/>
              </w:rPr>
            </w:pPr>
            <w:r>
              <w:rPr>
                <w:rFonts w:ascii="Arial" w:cs="Arial" w:eastAsia="Arial" w:hAnsi="Arial"/>
                <w:sz w:val="14"/>
                <w:szCs w:val="14"/>
                <w:color w:val="auto"/>
              </w:rPr>
              <w:t>3,891</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7,313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30"/>
              <w:spacing w:after="0"/>
              <w:rPr>
                <w:sz w:val="20"/>
                <w:szCs w:val="20"/>
                <w:color w:val="auto"/>
              </w:rPr>
            </w:pPr>
            <w:r>
              <w:rPr>
                <w:rFonts w:ascii="Arial" w:cs="Arial" w:eastAsia="Arial" w:hAnsi="Arial"/>
                <w:sz w:val="14"/>
                <w:szCs w:val="14"/>
                <w:color w:val="auto"/>
              </w:rPr>
              <w:t>5,910</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3,843</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8,069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Insurance (continued)</w:t>
      </w:r>
    </w:p>
    <w:p>
      <w:pPr>
        <w:spacing w:after="0" w:line="200" w:lineRule="exact"/>
        <w:rPr>
          <w:sz w:val="20"/>
          <w:szCs w:val="20"/>
          <w:color w:val="auto"/>
        </w:rPr>
      </w:pPr>
    </w:p>
    <w:p>
      <w:pPr>
        <w:spacing w:after="0" w:line="2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regarding the additional insurance liabilities for universal life-type contracts with secondary guarantees was as follows:</w:t>
      </w:r>
    </w:p>
    <w:p>
      <w:pPr>
        <w:spacing w:after="0" w:line="207"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8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4"/>
          </w:tcPr>
          <w:p>
            <w:pPr>
              <w:jc w:val="right"/>
              <w:ind w:right="161"/>
              <w:spacing w:after="0"/>
              <w:rPr>
                <w:sz w:val="20"/>
                <w:szCs w:val="20"/>
                <w:color w:val="auto"/>
              </w:rPr>
            </w:pPr>
            <w:r>
              <w:rPr>
                <w:rFonts w:ascii="Arial" w:cs="Arial" w:eastAsia="Arial" w:hAnsi="Arial"/>
                <w:sz w:val="14"/>
                <w:szCs w:val="14"/>
                <w:b w:val="1"/>
                <w:bCs w:val="1"/>
                <w:color w:val="auto"/>
              </w:rPr>
              <w:t>Three Months Ended March 31,</w:t>
            </w:r>
          </w:p>
        </w:tc>
      </w:tr>
      <w:tr>
        <w:trPr>
          <w:trHeight w:val="38"/>
        </w:trPr>
        <w:tc>
          <w:tcPr>
            <w:tcW w:w="84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1"/>
        </w:trPr>
        <w:tc>
          <w:tcPr>
            <w:tcW w:w="8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46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jc w:val="right"/>
              <w:ind w:right="241"/>
              <w:spacing w:after="0"/>
              <w:rPr>
                <w:sz w:val="20"/>
                <w:szCs w:val="20"/>
                <w:color w:val="auto"/>
              </w:rPr>
            </w:pPr>
            <w:r>
              <w:rPr>
                <w:rFonts w:ascii="Arial" w:cs="Arial" w:eastAsia="Arial" w:hAnsi="Arial"/>
                <w:sz w:val="14"/>
                <w:szCs w:val="14"/>
                <w:b w:val="1"/>
                <w:bCs w:val="1"/>
                <w:color w:val="auto"/>
              </w:rPr>
              <w:t>2022</w:t>
            </w:r>
          </w:p>
        </w:tc>
      </w:tr>
      <w:tr>
        <w:trPr>
          <w:trHeight w:val="38"/>
        </w:trPr>
        <w:tc>
          <w:tcPr>
            <w:tcW w:w="84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gridSpan w:val="4"/>
          </w:tcPr>
          <w:p>
            <w:pPr>
              <w:spacing w:after="0"/>
              <w:rPr>
                <w:sz w:val="3"/>
                <w:szCs w:val="3"/>
                <w:color w:val="auto"/>
              </w:rPr>
            </w:pPr>
          </w:p>
        </w:tc>
      </w:tr>
      <w:tr>
        <w:trPr>
          <w:trHeight w:val="181"/>
        </w:trPr>
        <w:tc>
          <w:tcPr>
            <w:tcW w:w="8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rPr>
              <w:t>(Dollars in millions)</w:t>
            </w:r>
          </w:p>
        </w:tc>
      </w:tr>
      <w:tr>
        <w:trPr>
          <w:trHeight w:val="38"/>
        </w:trPr>
        <w:tc>
          <w:tcPr>
            <w:tcW w:w="8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6,935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7,168</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Beginning balance before the effect of unrealized gains and losses</w:t>
            </w:r>
          </w:p>
        </w:tc>
        <w:tc>
          <w:tcPr>
            <w:tcW w:w="260" w:type="dxa"/>
            <w:vAlign w:val="bottom"/>
          </w:tcPr>
          <w:p>
            <w:pPr>
              <w:spacing w:after="0"/>
              <w:rPr>
                <w:sz w:val="18"/>
                <w:szCs w:val="18"/>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7,175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6,731</w:t>
            </w:r>
          </w:p>
        </w:tc>
      </w:tr>
      <w:tr>
        <w:trPr>
          <w:trHeight w:val="214"/>
        </w:trPr>
        <w:tc>
          <w:tcPr>
            <w:tcW w:w="8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Effect of changes in cash flow assumptions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Effect of actual variances from expected experience</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208"/>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beginning of period balance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7,209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6,797</w:t>
            </w:r>
          </w:p>
        </w:tc>
      </w:tr>
      <w:tr>
        <w:trPr>
          <w:trHeight w:val="210"/>
        </w:trPr>
        <w:tc>
          <w:tcPr>
            <w:tcW w:w="8400" w:type="dxa"/>
            <w:vAlign w:val="bottom"/>
          </w:tcPr>
          <w:p>
            <w:pPr>
              <w:ind w:left="180"/>
              <w:spacing w:after="0"/>
              <w:rPr>
                <w:sz w:val="20"/>
                <w:szCs w:val="20"/>
                <w:color w:val="auto"/>
              </w:rPr>
            </w:pPr>
            <w:r>
              <w:rPr>
                <w:rFonts w:ascii="Arial" w:cs="Arial" w:eastAsia="Arial" w:hAnsi="Arial"/>
                <w:sz w:val="16"/>
                <w:szCs w:val="16"/>
                <w:color w:val="auto"/>
              </w:rPr>
              <w:t>Interest accrual</w:t>
            </w:r>
          </w:p>
        </w:tc>
        <w:tc>
          <w:tcPr>
            <w:tcW w:w="260" w:type="dxa"/>
            <w:vAlign w:val="bottom"/>
          </w:tcPr>
          <w:p>
            <w:pPr>
              <w:spacing w:after="0"/>
              <w:rPr>
                <w:sz w:val="18"/>
                <w:szCs w:val="18"/>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4"/>
        </w:trPr>
        <w:tc>
          <w:tcPr>
            <w:tcW w:w="8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assessments collected</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r>
      <w:tr>
        <w:trPr>
          <w:trHeight w:val="210"/>
        </w:trPr>
        <w:tc>
          <w:tcPr>
            <w:tcW w:w="8400" w:type="dxa"/>
            <w:vAlign w:val="bottom"/>
          </w:tcPr>
          <w:p>
            <w:pPr>
              <w:ind w:left="180"/>
              <w:spacing w:after="0"/>
              <w:rPr>
                <w:sz w:val="20"/>
                <w:szCs w:val="20"/>
                <w:color w:val="auto"/>
              </w:rPr>
            </w:pPr>
            <w:r>
              <w:rPr>
                <w:rFonts w:ascii="Arial" w:cs="Arial" w:eastAsia="Arial" w:hAnsi="Arial"/>
                <w:sz w:val="16"/>
                <w:szCs w:val="16"/>
                <w:color w:val="auto"/>
              </w:rPr>
              <w:t>Benefit payments</w:t>
            </w:r>
          </w:p>
        </w:tc>
        <w:tc>
          <w:tcPr>
            <w:tcW w:w="260" w:type="dxa"/>
            <w:vAlign w:val="bottom"/>
          </w:tcPr>
          <w:p>
            <w:pPr>
              <w:spacing w:after="0"/>
              <w:rPr>
                <w:sz w:val="18"/>
                <w:szCs w:val="18"/>
                <w:color w:val="auto"/>
              </w:rPr>
            </w:pPr>
          </w:p>
        </w:tc>
        <w:tc>
          <w:tcPr>
            <w:tcW w:w="1100" w:type="dxa"/>
            <w:vAlign w:val="bottom"/>
          </w:tcPr>
          <w:p>
            <w:pPr>
              <w:jc w:val="right"/>
              <w:ind w:right="82"/>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14"/>
        </w:trPr>
        <w:tc>
          <w:tcPr>
            <w:tcW w:w="8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Effect of realized capital gains (losses)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3"/>
        </w:trPr>
        <w:tc>
          <w:tcPr>
            <w:tcW w:w="8400" w:type="dxa"/>
            <w:vAlign w:val="bottom"/>
          </w:tcPr>
          <w:p>
            <w:pPr>
              <w:ind w:left="20"/>
              <w:spacing w:after="0"/>
              <w:rPr>
                <w:sz w:val="20"/>
                <w:szCs w:val="20"/>
                <w:color w:val="auto"/>
              </w:rPr>
            </w:pPr>
            <w:r>
              <w:rPr>
                <w:rFonts w:ascii="Arial" w:cs="Arial" w:eastAsia="Arial" w:hAnsi="Arial"/>
                <w:sz w:val="16"/>
                <w:szCs w:val="16"/>
                <w:color w:val="auto"/>
              </w:rPr>
              <w:t>Ending balance before the effect of unrealized gains and losses</w:t>
            </w: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22"/>
              <w:spacing w:after="0"/>
              <w:rPr>
                <w:sz w:val="20"/>
                <w:szCs w:val="20"/>
                <w:color w:val="auto"/>
              </w:rPr>
            </w:pPr>
            <w:r>
              <w:rPr>
                <w:rFonts w:ascii="Arial" w:cs="Arial" w:eastAsia="Arial" w:hAnsi="Arial"/>
                <w:sz w:val="16"/>
                <w:szCs w:val="16"/>
                <w:color w:val="auto"/>
              </w:rPr>
              <w:t>7,294</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6,830</w:t>
            </w:r>
          </w:p>
        </w:tc>
      </w:tr>
      <w:tr>
        <w:trPr>
          <w:trHeight w:val="214"/>
        </w:trPr>
        <w:tc>
          <w:tcPr>
            <w:tcW w:w="8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Effect of unrealized gains and losses</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03"/>
        </w:trPr>
        <w:tc>
          <w:tcPr>
            <w:tcW w:w="840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260" w:type="dxa"/>
            <w:vAlign w:val="bottom"/>
          </w:tcPr>
          <w:p>
            <w:pPr>
              <w:spacing w:after="0"/>
              <w:rPr>
                <w:sz w:val="17"/>
                <w:szCs w:val="17"/>
                <w:color w:val="auto"/>
              </w:rPr>
            </w:pPr>
          </w:p>
        </w:tc>
        <w:tc>
          <w:tcPr>
            <w:tcW w:w="1100" w:type="dxa"/>
            <w:vAlign w:val="bottom"/>
          </w:tcPr>
          <w:p>
            <w:pPr>
              <w:jc w:val="right"/>
              <w:ind w:right="122"/>
              <w:spacing w:after="0"/>
              <w:rPr>
                <w:sz w:val="20"/>
                <w:szCs w:val="20"/>
                <w:color w:val="auto"/>
              </w:rPr>
            </w:pPr>
            <w:r>
              <w:rPr>
                <w:rFonts w:ascii="Arial" w:cs="Arial" w:eastAsia="Arial" w:hAnsi="Arial"/>
                <w:sz w:val="16"/>
                <w:szCs w:val="16"/>
                <w:color w:val="auto"/>
              </w:rPr>
              <w:t>7,123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6,986</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Reinsurance recoverable, end of period</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1,397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1,304</w:t>
            </w:r>
          </w:p>
        </w:tc>
      </w:tr>
      <w:tr>
        <w:trPr>
          <w:trHeight w:val="208"/>
        </w:trPr>
        <w:tc>
          <w:tcPr>
            <w:tcW w:w="8400" w:type="dxa"/>
            <w:vAlign w:val="bottom"/>
          </w:tcPr>
          <w:p>
            <w:pPr>
              <w:ind w:left="20"/>
              <w:spacing w:after="0"/>
              <w:rPr>
                <w:sz w:val="20"/>
                <w:szCs w:val="20"/>
                <w:color w:val="auto"/>
              </w:rPr>
            </w:pPr>
            <w:r>
              <w:rPr>
                <w:rFonts w:ascii="Arial" w:cs="Arial" w:eastAsia="Arial" w:hAnsi="Arial"/>
                <w:sz w:val="16"/>
                <w:szCs w:val="16"/>
                <w:color w:val="auto"/>
              </w:rPr>
              <w:t>Net additional liability, after reinsurance recoverable</w:t>
            </w:r>
          </w:p>
        </w:tc>
        <w:tc>
          <w:tcPr>
            <w:tcW w:w="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5,726</w:t>
            </w:r>
          </w:p>
        </w:tc>
        <w:tc>
          <w:tcPr>
            <w:tcW w:w="100" w:type="dxa"/>
            <w:vAlign w:val="bottom"/>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5,682</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05"/>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duration of liability</w:t>
            </w: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6.7 years</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 ye</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Weighted-average interest accretion rate</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4.91 %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4.90</w:t>
            </w:r>
          </w:p>
        </w:tc>
      </w:tr>
      <w:tr>
        <w:trPr>
          <w:trHeight w:val="214"/>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premiums or assessments recognized during period</w:t>
            </w: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239" w:lineRule="exact"/>
        <w:rPr>
          <w:sz w:val="20"/>
          <w:szCs w:val="20"/>
          <w:color w:val="auto"/>
        </w:rPr>
      </w:pPr>
    </w:p>
    <w:p>
      <w:pPr>
        <w:ind w:left="160" w:right="100" w:firstLine="318"/>
        <w:spacing w:after="0" w:line="365" w:lineRule="auto"/>
        <w:rPr>
          <w:sz w:val="20"/>
          <w:szCs w:val="20"/>
          <w:color w:val="auto"/>
        </w:rPr>
      </w:pPr>
      <w:r>
        <w:rPr>
          <w:rFonts w:ascii="Arial" w:cs="Arial" w:eastAsia="Arial" w:hAnsi="Arial"/>
          <w:sz w:val="15"/>
          <w:szCs w:val="15"/>
          <w:color w:val="auto"/>
        </w:rPr>
        <w:t>A reconciliation of the net LFPBs for nonparticipating traditional and limited-payment contracts and the additional insurance liabilities for universal life-type contracts with secondary guarantees reported in the preceding rollforward tables to LFPBs on the consolidated balance sheets was as follows at:</w:t>
      </w:r>
    </w:p>
    <w:p>
      <w:pPr>
        <w:spacing w:after="0" w:line="101"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8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3"/>
          </w:tcPr>
          <w:p>
            <w:pPr>
              <w:jc w:val="right"/>
              <w:ind w:right="61"/>
              <w:spacing w:after="0"/>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5"/>
                <w:szCs w:val="15"/>
                <w:color w:val="auto"/>
              </w:rPr>
            </w:pPr>
          </w:p>
        </w:tc>
      </w:tr>
      <w:tr>
        <w:trPr>
          <w:trHeight w:val="38"/>
        </w:trPr>
        <w:tc>
          <w:tcPr>
            <w:tcW w:w="87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181"/>
        </w:trPr>
        <w:tc>
          <w:tcPr>
            <w:tcW w:w="8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0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jc w:val="right"/>
              <w:ind w:right="162"/>
              <w:spacing w:after="0"/>
              <w:rPr>
                <w:sz w:val="20"/>
                <w:szCs w:val="20"/>
                <w:color w:val="auto"/>
              </w:rPr>
            </w:pPr>
            <w:r>
              <w:rPr>
                <w:rFonts w:ascii="Arial" w:cs="Arial" w:eastAsia="Arial" w:hAnsi="Arial"/>
                <w:sz w:val="14"/>
                <w:szCs w:val="14"/>
                <w:b w:val="1"/>
                <w:bCs w:val="1"/>
                <w:color w:val="auto"/>
              </w:rPr>
              <w:t>2022</w:t>
            </w:r>
          </w:p>
        </w:tc>
      </w:tr>
      <w:tr>
        <w:trPr>
          <w:trHeight w:val="38"/>
        </w:trPr>
        <w:tc>
          <w:tcPr>
            <w:tcW w:w="87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181"/>
        </w:trPr>
        <w:tc>
          <w:tcPr>
            <w:tcW w:w="8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3"/>
          </w:tcPr>
          <w:p>
            <w:pPr>
              <w:jc w:val="right"/>
              <w:ind w:right="1"/>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5"/>
                <w:szCs w:val="15"/>
                <w:color w:val="auto"/>
              </w:rPr>
            </w:pPr>
          </w:p>
        </w:tc>
      </w:tr>
      <w:tr>
        <w:trPr>
          <w:trHeight w:val="37"/>
        </w:trPr>
        <w:tc>
          <w:tcPr>
            <w:tcW w:w="8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12"/>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reported in the preceding rollforward tables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20,119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r>
      <w:tr>
        <w:trPr>
          <w:trHeight w:val="210"/>
        </w:trPr>
        <w:tc>
          <w:tcPr>
            <w:tcW w:w="8700" w:type="dxa"/>
            <w:vAlign w:val="bottom"/>
          </w:tcPr>
          <w:p>
            <w:pPr>
              <w:ind w:left="20"/>
              <w:spacing w:after="0"/>
              <w:rPr>
                <w:sz w:val="20"/>
                <w:szCs w:val="20"/>
                <w:color w:val="auto"/>
              </w:rPr>
            </w:pPr>
            <w:r>
              <w:rPr>
                <w:rFonts w:ascii="Arial" w:cs="Arial" w:eastAsia="Arial" w:hAnsi="Arial"/>
                <w:sz w:val="16"/>
                <w:szCs w:val="16"/>
                <w:color w:val="auto"/>
              </w:rPr>
              <w:t>Long-term care insurance (1)</w:t>
            </w:r>
          </w:p>
        </w:tc>
        <w:tc>
          <w:tcPr>
            <w:tcW w:w="28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5,763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5"/>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ULSG liability for profits followed by losses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2,654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09"/>
        </w:trPr>
        <w:tc>
          <w:tcPr>
            <w:tcW w:w="8700" w:type="dxa"/>
            <w:vAlign w:val="bottom"/>
          </w:tcPr>
          <w:p>
            <w:pPr>
              <w:ind w:left="20"/>
              <w:spacing w:after="0"/>
              <w:rPr>
                <w:sz w:val="20"/>
                <w:szCs w:val="20"/>
                <w:color w:val="auto"/>
              </w:rPr>
            </w:pPr>
            <w:r>
              <w:rPr>
                <w:rFonts w:ascii="Arial" w:cs="Arial" w:eastAsia="Arial" w:hAnsi="Arial"/>
                <w:sz w:val="16"/>
                <w:szCs w:val="16"/>
                <w:color w:val="auto"/>
              </w:rPr>
              <w:t>Participating whole life insurance (2)</w:t>
            </w:r>
          </w:p>
        </w:tc>
        <w:tc>
          <w:tcPr>
            <w:tcW w:w="28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2,986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5"/>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profit liabilities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8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391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33"/>
        </w:trPr>
        <w:tc>
          <w:tcPr>
            <w:tcW w:w="8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liability for future policy benefits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32,286</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23" w:lineRule="exact"/>
        <w:rPr>
          <w:sz w:val="20"/>
          <w:szCs w:val="20"/>
          <w:color w:val="auto"/>
        </w:rPr>
      </w:pPr>
    </w:p>
    <w:p>
      <w:pPr>
        <w:ind w:left="320" w:hanging="314"/>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liabilities related to fully reinsured individual long-term care insurance. See Note 3.</w:t>
      </w:r>
    </w:p>
    <w:p>
      <w:pPr>
        <w:spacing w:after="0" w:line="111" w:lineRule="exact"/>
        <w:rPr>
          <w:rFonts w:ascii="Arial" w:cs="Arial" w:eastAsia="Arial" w:hAnsi="Arial"/>
          <w:sz w:val="18"/>
          <w:szCs w:val="18"/>
          <w:color w:val="auto"/>
        </w:rPr>
      </w:pPr>
    </w:p>
    <w:p>
      <w:pPr>
        <w:jc w:val="both"/>
        <w:ind w:left="320" w:right="100" w:hanging="314"/>
        <w:spacing w:after="0" w:line="252" w:lineRule="auto"/>
        <w:tabs>
          <w:tab w:leader="none" w:pos="314" w:val="left"/>
        </w:tabs>
        <w:numPr>
          <w:ilvl w:val="0"/>
          <w:numId w:val="6"/>
        </w:numPr>
        <w:rPr>
          <w:rFonts w:ascii="Arial" w:cs="Arial" w:eastAsia="Arial" w:hAnsi="Arial"/>
          <w:sz w:val="18"/>
          <w:szCs w:val="18"/>
          <w:color w:val="auto"/>
        </w:rPr>
      </w:pPr>
      <w:r>
        <w:rPr>
          <w:rFonts w:ascii="Arial" w:cs="Arial" w:eastAsia="Arial" w:hAnsi="Arial"/>
          <w:sz w:val="18"/>
          <w:szCs w:val="18"/>
          <w:color w:val="auto"/>
        </w:rPr>
        <w:t>Participating whole life insurance uses an interest assumption based on the non-forfeiture interest rate, ranging from 3.5% to 4.5%, and mortality rates guaranteed in calculating the cash surrender values described in such contracts, and also includes a liability for terminal dividends. Participating whole life insurance represented 3% of the Company’s life insurance in-force at both March 31, 2023 and 2022, and 39% and 34% of gross traditional life insurance premiums for the three months ended March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232"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Insurance (continued)</w:t>
      </w:r>
    </w:p>
    <w:p>
      <w:pPr>
        <w:spacing w:after="0" w:line="200" w:lineRule="exact"/>
        <w:rPr>
          <w:sz w:val="20"/>
          <w:szCs w:val="20"/>
          <w:color w:val="auto"/>
        </w:rPr>
      </w:pPr>
    </w:p>
    <w:p>
      <w:pPr>
        <w:spacing w:after="0" w:line="2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Information regarding LFPBs for non-participating traditional and limited-payment contracts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Years Ended December 31,</w:t>
            </w: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2"/>
                <w:szCs w:val="12"/>
                <w:b w:val="1"/>
                <w:bCs w:val="1"/>
                <w:color w:val="auto"/>
              </w:rPr>
              <w:t>2021</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center"/>
              <w:ind w:right="31"/>
              <w:spacing w:after="0" w:line="119" w:lineRule="exact"/>
              <w:rPr>
                <w:sz w:val="20"/>
                <w:szCs w:val="20"/>
                <w:color w:val="auto"/>
              </w:rPr>
            </w:pPr>
            <w:r>
              <w:rPr>
                <w:rFonts w:ascii="Arial" w:cs="Arial" w:eastAsia="Arial" w:hAnsi="Arial"/>
                <w:sz w:val="12"/>
                <w:szCs w:val="12"/>
                <w:b w:val="1"/>
                <w:bCs w:val="1"/>
                <w:color w:val="auto"/>
                <w:w w:val="95"/>
              </w:rPr>
              <w:t>Structured</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right="50"/>
              <w:spacing w:after="0" w:line="119" w:lineRule="exact"/>
              <w:rPr>
                <w:sz w:val="20"/>
                <w:szCs w:val="20"/>
                <w:color w:val="auto"/>
              </w:rPr>
            </w:pPr>
            <w:r>
              <w:rPr>
                <w:rFonts w:ascii="Arial" w:cs="Arial" w:eastAsia="Arial" w:hAnsi="Arial"/>
                <w:sz w:val="12"/>
                <w:szCs w:val="12"/>
                <w:b w:val="1"/>
                <w:bCs w:val="1"/>
                <w:color w:val="auto"/>
                <w:w w:val="95"/>
              </w:rPr>
              <w:t>Structured</w:t>
            </w:r>
          </w:p>
        </w:tc>
        <w:tc>
          <w:tcPr>
            <w:tcW w:w="0" w:type="dxa"/>
            <w:vAlign w:val="bottom"/>
          </w:tcPr>
          <w:p>
            <w:pPr>
              <w:spacing w:after="0"/>
              <w:rPr>
                <w:sz w:val="1"/>
                <w:szCs w:val="1"/>
                <w:color w:val="auto"/>
              </w:rPr>
            </w:pPr>
          </w:p>
        </w:tc>
      </w:tr>
      <w:tr>
        <w:trPr>
          <w:trHeight w:val="128"/>
        </w:trPr>
        <w:tc>
          <w:tcPr>
            <w:tcW w:w="4400" w:type="dxa"/>
            <w:vAlign w:val="bottom"/>
          </w:tcPr>
          <w:p>
            <w:pPr>
              <w:spacing w:after="0"/>
              <w:rPr>
                <w:sz w:val="11"/>
                <w:szCs w:val="11"/>
                <w:color w:val="auto"/>
              </w:rPr>
            </w:pPr>
          </w:p>
        </w:tc>
        <w:tc>
          <w:tcPr>
            <w:tcW w:w="114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4"/>
              </w:rPr>
              <w:t>Term and Whole</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90"/>
              </w:rPr>
              <w:t>Settlement and</w:t>
            </w:r>
          </w:p>
        </w:tc>
        <w:tc>
          <w:tcPr>
            <w:tcW w:w="116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6"/>
              </w:rPr>
              <w:t>Term and Whole</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center"/>
              <w:ind w:right="50"/>
              <w:spacing w:after="0" w:line="128" w:lineRule="exact"/>
              <w:rPr>
                <w:sz w:val="20"/>
                <w:szCs w:val="20"/>
                <w:color w:val="auto"/>
              </w:rPr>
            </w:pPr>
            <w:r>
              <w:rPr>
                <w:rFonts w:ascii="Arial" w:cs="Arial" w:eastAsia="Arial" w:hAnsi="Arial"/>
                <w:sz w:val="12"/>
                <w:szCs w:val="12"/>
                <w:b w:val="1"/>
                <w:bCs w:val="1"/>
                <w:color w:val="auto"/>
                <w:w w:val="90"/>
              </w:rPr>
              <w:t>Settlement and</w:t>
            </w:r>
          </w:p>
        </w:tc>
        <w:tc>
          <w:tcPr>
            <w:tcW w:w="0" w:type="dxa"/>
            <w:vAlign w:val="bottom"/>
          </w:tcPr>
          <w:p>
            <w:pPr>
              <w:spacing w:after="0"/>
              <w:rPr>
                <w:sz w:val="1"/>
                <w:szCs w:val="1"/>
                <w:color w:val="auto"/>
              </w:rPr>
            </w:pPr>
          </w:p>
        </w:tc>
      </w:tr>
      <w:tr>
        <w:trPr>
          <w:trHeight w:val="124"/>
        </w:trPr>
        <w:tc>
          <w:tcPr>
            <w:tcW w:w="440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Income Annuities</w:t>
            </w: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4" w:lineRule="exact"/>
              <w:rPr>
                <w:sz w:val="20"/>
                <w:szCs w:val="20"/>
                <w:color w:val="auto"/>
              </w:rPr>
            </w:pPr>
            <w:r>
              <w:rPr>
                <w:rFonts w:ascii="Arial" w:cs="Arial" w:eastAsia="Arial" w:hAnsi="Arial"/>
                <w:sz w:val="12"/>
                <w:szCs w:val="12"/>
                <w:b w:val="1"/>
                <w:bCs w:val="1"/>
                <w:color w:val="auto"/>
                <w:w w:val="90"/>
              </w:rPr>
              <w:t>Pension Risk</w:t>
            </w:r>
          </w:p>
        </w:tc>
        <w:tc>
          <w:tcPr>
            <w:tcW w:w="1160" w:type="dxa"/>
            <w:vAlign w:val="bottom"/>
            <w:gridSpan w:val="3"/>
            <w:vMerge w:val="continue"/>
          </w:tcPr>
          <w:p>
            <w:pPr>
              <w:spacing w:after="0"/>
              <w:rPr>
                <w:sz w:val="10"/>
                <w:szCs w:val="10"/>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Income Annuities</w:t>
            </w:r>
          </w:p>
        </w:tc>
        <w:tc>
          <w:tcPr>
            <w:tcW w:w="120" w:type="dxa"/>
            <w:vAlign w:val="bottom"/>
          </w:tcPr>
          <w:p>
            <w:pPr>
              <w:spacing w:after="0"/>
              <w:rPr>
                <w:sz w:val="10"/>
                <w:szCs w:val="10"/>
                <w:color w:val="auto"/>
              </w:rPr>
            </w:pPr>
          </w:p>
        </w:tc>
        <w:tc>
          <w:tcPr>
            <w:tcW w:w="940" w:type="dxa"/>
            <w:vAlign w:val="bottom"/>
          </w:tcPr>
          <w:p>
            <w:pPr>
              <w:jc w:val="center"/>
              <w:ind w:right="30"/>
              <w:spacing w:after="0" w:line="124" w:lineRule="exact"/>
              <w:rPr>
                <w:sz w:val="20"/>
                <w:szCs w:val="20"/>
                <w:color w:val="auto"/>
              </w:rPr>
            </w:pPr>
            <w:r>
              <w:rPr>
                <w:rFonts w:ascii="Arial" w:cs="Arial" w:eastAsia="Arial" w:hAnsi="Arial"/>
                <w:sz w:val="12"/>
                <w:szCs w:val="12"/>
                <w:b w:val="1"/>
                <w:bCs w:val="1"/>
                <w:color w:val="auto"/>
                <w:w w:val="90"/>
              </w:rPr>
              <w:t>Pension Risk</w:t>
            </w:r>
          </w:p>
        </w:tc>
        <w:tc>
          <w:tcPr>
            <w:tcW w:w="0" w:type="dxa"/>
            <w:vAlign w:val="bottom"/>
          </w:tcPr>
          <w:p>
            <w:pPr>
              <w:spacing w:after="0"/>
              <w:rPr>
                <w:sz w:val="1"/>
                <w:szCs w:val="1"/>
                <w:color w:val="auto"/>
              </w:rPr>
            </w:pPr>
          </w:p>
        </w:tc>
      </w:tr>
      <w:tr>
        <w:trPr>
          <w:trHeight w:val="166"/>
        </w:trPr>
        <w:tc>
          <w:tcPr>
            <w:tcW w:w="4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5"/>
              </w:rPr>
              <w:t>Life Insurance</w:t>
            </w:r>
          </w:p>
        </w:tc>
        <w:tc>
          <w:tcPr>
            <w:tcW w:w="1160" w:type="dxa"/>
            <w:vAlign w:val="bottom"/>
            <w:tcBorders>
              <w:bottom w:val="single" w:sz="8" w:color="auto"/>
            </w:tcBorders>
            <w:gridSpan w:val="3"/>
            <w:vMerge w:val="continue"/>
          </w:tcPr>
          <w:p>
            <w:pPr>
              <w:spacing w:after="0"/>
              <w:rPr>
                <w:sz w:val="14"/>
                <w:szCs w:val="14"/>
                <w:color w:val="auto"/>
              </w:rPr>
            </w:pPr>
          </w:p>
        </w:tc>
        <w:tc>
          <w:tcPr>
            <w:tcW w:w="116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Transfer Annuities</w:t>
            </w:r>
          </w:p>
        </w:tc>
        <w:tc>
          <w:tcPr>
            <w:tcW w:w="11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2"/>
                <w:szCs w:val="12"/>
                <w:b w:val="1"/>
                <w:bCs w:val="1"/>
                <w:color w:val="auto"/>
                <w:w w:val="95"/>
              </w:rPr>
              <w:t>Life Insurance</w:t>
            </w:r>
          </w:p>
        </w:tc>
        <w:tc>
          <w:tcPr>
            <w:tcW w:w="1160" w:type="dxa"/>
            <w:vAlign w:val="bottom"/>
            <w:tcBorders>
              <w:bottom w:val="single" w:sz="8" w:color="auto"/>
            </w:tcBorders>
            <w:gridSpan w:val="3"/>
            <w:vMerge w:val="continue"/>
          </w:tcPr>
          <w:p>
            <w:pPr>
              <w:spacing w:after="0"/>
              <w:rPr>
                <w:sz w:val="14"/>
                <w:szCs w:val="14"/>
                <w:color w:val="auto"/>
              </w:rPr>
            </w:pPr>
          </w:p>
        </w:tc>
        <w:tc>
          <w:tcPr>
            <w:tcW w:w="106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94"/>
              </w:rPr>
              <w:t>Transfer Annuities</w:t>
            </w:r>
          </w:p>
        </w:tc>
        <w:tc>
          <w:tcPr>
            <w:tcW w:w="0" w:type="dxa"/>
            <w:vAlign w:val="bottom"/>
          </w:tcPr>
          <w:p>
            <w:pPr>
              <w:spacing w:after="0"/>
              <w:rPr>
                <w:sz w:val="1"/>
                <w:szCs w:val="1"/>
                <w:color w:val="auto"/>
              </w:rPr>
            </w:pPr>
          </w:p>
        </w:tc>
      </w:tr>
      <w:tr>
        <w:trPr>
          <w:trHeight w:val="166"/>
        </w:trPr>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3"/>
          </w:tcPr>
          <w:p>
            <w:pPr>
              <w:jc w:val="right"/>
              <w:ind w:right="112"/>
              <w:spacing w:after="0"/>
              <w:rPr>
                <w:sz w:val="20"/>
                <w:szCs w:val="20"/>
                <w:color w:val="auto"/>
              </w:rPr>
            </w:pPr>
            <w:r>
              <w:rPr>
                <w:rFonts w:ascii="Arial" w:cs="Arial" w:eastAsia="Arial" w:hAnsi="Arial"/>
                <w:sz w:val="12"/>
                <w:szCs w:val="12"/>
                <w:b w:val="1"/>
                <w:bCs w:val="1"/>
                <w:color w:val="auto"/>
              </w:rPr>
              <w:t>(Dollars in millions)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Present value of expected net premiums: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Balance, beginning of year</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3,325</w:t>
            </w:r>
          </w:p>
        </w:tc>
        <w:tc>
          <w:tcPr>
            <w:tcW w:w="100" w:type="dxa"/>
            <w:vAlign w:val="bottom"/>
          </w:tcPr>
          <w:p>
            <w:pPr>
              <w:spacing w:after="0"/>
              <w:rPr>
                <w:sz w:val="16"/>
                <w:szCs w:val="16"/>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2"/>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w w:val="85"/>
              </w:rPr>
              <w:t>3,448</w:t>
            </w:r>
          </w:p>
        </w:tc>
        <w:tc>
          <w:tcPr>
            <w:tcW w:w="120" w:type="dxa"/>
            <w:vAlign w:val="bottom"/>
          </w:tcPr>
          <w:p>
            <w:pPr>
              <w:spacing w:after="0"/>
              <w:rPr>
                <w:sz w:val="16"/>
                <w:szCs w:val="16"/>
                <w:color w:val="auto"/>
              </w:rPr>
            </w:pP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 at original discount rate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2,994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Effect of model refinements</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changes in cash flow assumptions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400" w:type="dxa"/>
            <w:vAlign w:val="bottom"/>
          </w:tcPr>
          <w:p>
            <w:pPr>
              <w:ind w:left="20"/>
              <w:spacing w:after="0"/>
              <w:rPr>
                <w:sz w:val="20"/>
                <w:szCs w:val="20"/>
                <w:color w:val="auto"/>
              </w:rPr>
            </w:pPr>
            <w:r>
              <w:rPr>
                <w:rFonts w:ascii="Arial" w:cs="Arial" w:eastAsia="Arial" w:hAnsi="Arial"/>
                <w:sz w:val="14"/>
                <w:szCs w:val="14"/>
                <w:color w:val="auto"/>
              </w:rPr>
              <w:t>Effect of actual variances from expected experience</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44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Adjusted beginning of year balance</w:t>
            </w: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3,429</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3,217</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Issuances</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accrual</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400" w:type="dxa"/>
            <w:vAlign w:val="bottom"/>
          </w:tcPr>
          <w:p>
            <w:pPr>
              <w:ind w:left="20"/>
              <w:spacing w:after="0"/>
              <w:rPr>
                <w:sz w:val="20"/>
                <w:szCs w:val="20"/>
                <w:color w:val="auto"/>
              </w:rPr>
            </w:pPr>
            <w:r>
              <w:rPr>
                <w:rFonts w:ascii="Arial" w:cs="Arial" w:eastAsia="Arial" w:hAnsi="Arial"/>
                <w:sz w:val="14"/>
                <w:szCs w:val="14"/>
                <w:color w:val="auto"/>
              </w:rPr>
              <w:t>Net premiums collected</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44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Ending balance at original discount rate</w:t>
            </w: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3,212</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3,051</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400" w:type="dxa"/>
            <w:vAlign w:val="bottom"/>
          </w:tcPr>
          <w:p>
            <w:pPr>
              <w:ind w:left="20"/>
              <w:spacing w:after="0"/>
              <w:rPr>
                <w:sz w:val="20"/>
                <w:szCs w:val="20"/>
                <w:color w:val="auto"/>
              </w:rPr>
            </w:pPr>
            <w:r>
              <w:rPr>
                <w:rFonts w:ascii="Arial" w:cs="Arial" w:eastAsia="Arial" w:hAnsi="Arial"/>
                <w:sz w:val="14"/>
                <w:szCs w:val="14"/>
                <w:color w:val="auto"/>
              </w:rPr>
              <w:t>Effect of changes in discount rate assumptions</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274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44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Balance, end of year</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3,325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Present value of expected future policy benefits: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beginning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4,333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10,171</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92"/>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6,852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11,301</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Beginning balance at original discount rate</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3,865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8,165</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5"/>
              </w:rPr>
              <w:t>5,862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8,531</w:t>
            </w: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model refinements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Effect of changes in cash flow assumptions</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actual variances from expected experience</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3"/>
        </w:trPr>
        <w:tc>
          <w:tcPr>
            <w:tcW w:w="4400" w:type="dxa"/>
            <w:vAlign w:val="bottom"/>
          </w:tcPr>
          <w:p>
            <w:pPr>
              <w:ind w:left="120"/>
              <w:spacing w:after="0"/>
              <w:rPr>
                <w:sz w:val="20"/>
                <w:szCs w:val="20"/>
                <w:color w:val="auto"/>
              </w:rPr>
            </w:pPr>
            <w:r>
              <w:rPr>
                <w:rFonts w:ascii="Arial" w:cs="Arial" w:eastAsia="Arial" w:hAnsi="Arial"/>
                <w:sz w:val="14"/>
                <w:szCs w:val="14"/>
                <w:color w:val="auto"/>
              </w:rPr>
              <w:t>Adjusted beginning of year balance</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6,267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3,899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7,707</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5"/>
              </w:rPr>
              <w:t>6,085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3,891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8,474</w:t>
            </w: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4"/>
                <w:szCs w:val="14"/>
                <w:color w:val="auto"/>
              </w:rPr>
              <w:t>Interest accrual</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208"/>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payments</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(624)</w:t>
            </w:r>
          </w:p>
        </w:tc>
        <w:tc>
          <w:tcPr>
            <w:tcW w:w="10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183"/>
        </w:trPr>
        <w:tc>
          <w:tcPr>
            <w:tcW w:w="4400" w:type="dxa"/>
            <w:vAlign w:val="bottom"/>
          </w:tcPr>
          <w:p>
            <w:pPr>
              <w:ind w:left="120"/>
              <w:spacing w:after="0"/>
              <w:rPr>
                <w:sz w:val="20"/>
                <w:szCs w:val="20"/>
                <w:color w:val="auto"/>
              </w:rPr>
            </w:pPr>
            <w:r>
              <w:rPr>
                <w:rFonts w:ascii="Arial" w:cs="Arial" w:eastAsia="Arial" w:hAnsi="Arial"/>
                <w:sz w:val="14"/>
                <w:szCs w:val="14"/>
                <w:color w:val="auto"/>
              </w:rPr>
              <w:t>Ending balance at original discount rate</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5,922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10"/>
              <w:spacing w:after="0"/>
              <w:rPr>
                <w:sz w:val="20"/>
                <w:szCs w:val="20"/>
                <w:color w:val="auto"/>
              </w:rPr>
            </w:pPr>
            <w:r>
              <w:rPr>
                <w:rFonts w:ascii="Arial" w:cs="Arial" w:eastAsia="Arial" w:hAnsi="Arial"/>
                <w:sz w:val="14"/>
                <w:szCs w:val="14"/>
                <w:color w:val="auto"/>
              </w:rPr>
              <w:t>3,897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7,410</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5"/>
              </w:rPr>
              <w:t>5,820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3,865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8,165</w:t>
            </w:r>
          </w:p>
        </w:tc>
        <w:tc>
          <w:tcPr>
            <w:tcW w:w="0" w:type="dxa"/>
            <w:vAlign w:val="bottom"/>
          </w:tcPr>
          <w:p>
            <w:pPr>
              <w:spacing w:after="0"/>
              <w:rPr>
                <w:sz w:val="1"/>
                <w:szCs w:val="1"/>
                <w:color w:val="auto"/>
              </w:rPr>
            </w:pPr>
          </w:p>
        </w:tc>
      </w:tr>
      <w:tr>
        <w:trPr>
          <w:trHeight w:val="201"/>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changes in discount rate assumptions</w:t>
            </w: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2,006</w:t>
            </w:r>
          </w:p>
        </w:tc>
        <w:tc>
          <w:tcPr>
            <w:tcW w:w="0" w:type="dxa"/>
            <w:vAlign w:val="bottom"/>
          </w:tcPr>
          <w:p>
            <w:pPr>
              <w:spacing w:after="0"/>
              <w:rPr>
                <w:sz w:val="1"/>
                <w:szCs w:val="1"/>
                <w:color w:val="auto"/>
              </w:rPr>
            </w:pPr>
          </w:p>
        </w:tc>
      </w:tr>
      <w:tr>
        <w:trPr>
          <w:trHeight w:val="199"/>
        </w:trPr>
        <w:tc>
          <w:tcPr>
            <w:tcW w:w="4400" w:type="dxa"/>
            <w:vAlign w:val="bottom"/>
          </w:tcPr>
          <w:p>
            <w:pPr>
              <w:ind w:left="120"/>
              <w:spacing w:after="0"/>
              <w:rPr>
                <w:sz w:val="20"/>
                <w:szCs w:val="20"/>
                <w:color w:val="auto"/>
              </w:rPr>
            </w:pPr>
            <w:r>
              <w:rPr>
                <w:rFonts w:ascii="Arial" w:cs="Arial" w:eastAsia="Arial" w:hAnsi="Arial"/>
                <w:sz w:val="14"/>
                <w:szCs w:val="14"/>
                <w:color w:val="auto"/>
              </w:rPr>
              <w:t>Balance, end of year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3,512</w:t>
            </w:r>
          </w:p>
        </w:tc>
        <w:tc>
          <w:tcPr>
            <w:tcW w:w="10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6,793</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6,426</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4,333</w:t>
            </w:r>
          </w:p>
        </w:tc>
        <w:tc>
          <w:tcPr>
            <w:tcW w:w="100" w:type="dxa"/>
            <w:vAlign w:val="bottom"/>
          </w:tcPr>
          <w:p>
            <w:pPr>
              <w:spacing w:after="0"/>
              <w:rPr>
                <w:sz w:val="17"/>
                <w:szCs w:val="17"/>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10,171</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liability for future policy benefits,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3,512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6,793</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92"/>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3,101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10,171</w:t>
            </w:r>
          </w:p>
        </w:tc>
        <w:tc>
          <w:tcPr>
            <w:tcW w:w="0" w:type="dxa"/>
            <w:vAlign w:val="bottom"/>
          </w:tcPr>
          <w:p>
            <w:pPr>
              <w:spacing w:after="0"/>
              <w:rPr>
                <w:sz w:val="1"/>
                <w:szCs w:val="1"/>
                <w:color w:val="auto"/>
              </w:rPr>
            </w:pPr>
          </w:p>
        </w:tc>
      </w:tr>
      <w:tr>
        <w:trPr>
          <w:trHeight w:val="192"/>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Reinsurance recoverable, end of year</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17"/>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liability for future policy benefits, after reinsurance recoverable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2,363</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3,488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6,725</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3,037</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10,078</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Insurance (continued)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Policyholder Account Balances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regarding policyholder account balances was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3"/>
              </w:rPr>
              <w:t>Universal Life</w:t>
            </w:r>
          </w:p>
        </w:tc>
        <w:tc>
          <w:tcPr>
            <w:tcW w:w="80" w:type="dxa"/>
            <w:vAlign w:val="bottom"/>
          </w:tcPr>
          <w:p>
            <w:pPr>
              <w:spacing w:after="0"/>
              <w:rPr>
                <w:sz w:val="12"/>
                <w:szCs w:val="12"/>
                <w:color w:val="auto"/>
              </w:rPr>
            </w:pP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Variable Annuities</w:t>
            </w:r>
          </w:p>
        </w:tc>
        <w:tc>
          <w:tcPr>
            <w:tcW w:w="180" w:type="dxa"/>
            <w:vAlign w:val="bottom"/>
          </w:tcPr>
          <w:p>
            <w:pPr>
              <w:spacing w:after="0"/>
              <w:rPr>
                <w:sz w:val="12"/>
                <w:szCs w:val="12"/>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7"/>
              </w:rPr>
              <w:t>Index-linked</w:t>
            </w: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ind w:left="40"/>
              <w:spacing w:after="0"/>
              <w:rPr>
                <w:sz w:val="20"/>
                <w:szCs w:val="20"/>
                <w:color w:val="auto"/>
              </w:rPr>
            </w:pPr>
            <w:r>
              <w:rPr>
                <w:rFonts w:ascii="Arial" w:cs="Arial" w:eastAsia="Arial" w:hAnsi="Arial"/>
                <w:sz w:val="12"/>
                <w:szCs w:val="12"/>
                <w:b w:val="1"/>
                <w:bCs w:val="1"/>
                <w:color w:val="auto"/>
                <w:w w:val="91"/>
              </w:rPr>
              <w:t>Company-Owned</w:t>
            </w:r>
          </w:p>
        </w:tc>
        <w:tc>
          <w:tcPr>
            <w:tcW w:w="140" w:type="dxa"/>
            <w:vAlign w:val="bottom"/>
          </w:tcPr>
          <w:p>
            <w:pPr>
              <w:spacing w:after="0"/>
              <w:rPr>
                <w:sz w:val="12"/>
                <w:szCs w:val="12"/>
                <w:color w:val="auto"/>
              </w:rPr>
            </w:pPr>
          </w:p>
        </w:tc>
      </w:tr>
      <w:tr>
        <w:trPr>
          <w:trHeight w:val="179"/>
        </w:trPr>
        <w:tc>
          <w:tcPr>
            <w:tcW w:w="36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5"/>
              </w:rPr>
              <w:t>Insurance</w:t>
            </w: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2"/>
                <w:szCs w:val="12"/>
                <w:b w:val="1"/>
                <w:bCs w:val="1"/>
                <w:color w:val="auto"/>
              </w:rPr>
              <w:t>(1)</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w w:val="95"/>
              </w:rPr>
              <w:t>Annuities</w:t>
            </w: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2"/>
                <w:szCs w:val="12"/>
                <w:b w:val="1"/>
                <w:bCs w:val="1"/>
                <w:color w:val="auto"/>
              </w:rPr>
              <w:t>Fixed Rate Annuities</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2"/>
                <w:szCs w:val="12"/>
                <w:b w:val="1"/>
                <w:bCs w:val="1"/>
                <w:color w:val="auto"/>
              </w:rPr>
              <w:t>ULSG</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Life Insurance (1)</w:t>
            </w:r>
          </w:p>
        </w:tc>
      </w:tr>
      <w:tr>
        <w:trPr>
          <w:trHeight w:val="168"/>
        </w:trPr>
        <w:tc>
          <w:tcPr>
            <w:tcW w:w="3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3"/>
          </w:tcPr>
          <w:p>
            <w:pPr>
              <w:ind w:left="540"/>
              <w:spacing w:after="0"/>
              <w:rPr>
                <w:sz w:val="20"/>
                <w:szCs w:val="20"/>
                <w:color w:val="auto"/>
              </w:rPr>
            </w:pPr>
            <w:r>
              <w:rPr>
                <w:rFonts w:ascii="Arial" w:cs="Arial" w:eastAsia="Arial" w:hAnsi="Arial"/>
                <w:sz w:val="12"/>
                <w:szCs w:val="12"/>
                <w:b w:val="1"/>
                <w:bCs w:val="1"/>
                <w:color w:val="auto"/>
                <w:w w:val="98"/>
              </w:rPr>
              <w:t>(Dollars in millions)</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30"/>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99"/>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March 31, 2023</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4"/>
                <w:szCs w:val="14"/>
                <w:color w:val="auto"/>
              </w:rPr>
              <w:t>Balance, beginning of period</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2,658</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4,908</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33,896</w:t>
            </w:r>
          </w:p>
        </w:tc>
        <w:tc>
          <w:tcPr>
            <w:tcW w:w="120" w:type="dxa"/>
            <w:vAlign w:val="bottom"/>
          </w:tcPr>
          <w:p>
            <w:pPr>
              <w:spacing w:after="0"/>
              <w:rPr>
                <w:sz w:val="16"/>
                <w:szCs w:val="16"/>
                <w:color w:val="auto"/>
              </w:rPr>
            </w:pPr>
          </w:p>
        </w:tc>
        <w:tc>
          <w:tcPr>
            <w:tcW w:w="54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9"/>
              <w:spacing w:after="0"/>
              <w:rPr>
                <w:sz w:val="20"/>
                <w:szCs w:val="20"/>
                <w:color w:val="auto"/>
              </w:rPr>
            </w:pPr>
            <w:r>
              <w:rPr>
                <w:rFonts w:ascii="Arial" w:cs="Arial" w:eastAsia="Arial" w:hAnsi="Arial"/>
                <w:sz w:val="14"/>
                <w:szCs w:val="14"/>
                <w:color w:val="auto"/>
              </w:rPr>
              <w:t>14,274</w:t>
            </w:r>
          </w:p>
        </w:tc>
        <w:tc>
          <w:tcPr>
            <w:tcW w:w="80" w:type="dxa"/>
            <w:vAlign w:val="bottom"/>
          </w:tcPr>
          <w:p>
            <w:pPr>
              <w:spacing w:after="0"/>
              <w:rPr>
                <w:sz w:val="16"/>
                <w:szCs w:val="16"/>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30"/>
              <w:spacing w:after="0"/>
              <w:rPr>
                <w:sz w:val="20"/>
                <w:szCs w:val="20"/>
                <w:color w:val="auto"/>
              </w:rPr>
            </w:pPr>
            <w:r>
              <w:rPr>
                <w:rFonts w:ascii="Arial" w:cs="Arial" w:eastAsia="Arial" w:hAnsi="Arial"/>
                <w:sz w:val="14"/>
                <w:szCs w:val="14"/>
                <w:color w:val="auto"/>
              </w:rPr>
              <w:t>5,307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641</w:t>
            </w:r>
          </w:p>
        </w:tc>
        <w:tc>
          <w:tcPr>
            <w:tcW w:w="140" w:type="dxa"/>
            <w:vAlign w:val="bottom"/>
          </w:tcPr>
          <w:p>
            <w:pPr>
              <w:spacing w:after="0"/>
              <w:rPr>
                <w:sz w:val="16"/>
                <w:szCs w:val="16"/>
                <w:color w:val="auto"/>
              </w:rPr>
            </w:pPr>
          </w:p>
        </w:tc>
      </w:tr>
      <w:tr>
        <w:trPr>
          <w:trHeight w:val="208"/>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Premiums and deposits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1,677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4"/>
                <w:szCs w:val="14"/>
                <w:color w:val="auto"/>
              </w:rPr>
              <w:t>Surrenders and withdrawals</w:t>
            </w:r>
          </w:p>
        </w:tc>
        <w:tc>
          <w:tcPr>
            <w:tcW w:w="160" w:type="dxa"/>
            <w:vAlign w:val="bottom"/>
          </w:tcPr>
          <w:p>
            <w:pPr>
              <w:spacing w:after="0"/>
              <w:rPr>
                <w:sz w:val="16"/>
                <w:szCs w:val="16"/>
                <w:color w:val="auto"/>
              </w:rPr>
            </w:pP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71"/>
              <w:spacing w:after="0"/>
              <w:rPr>
                <w:sz w:val="20"/>
                <w:szCs w:val="20"/>
                <w:color w:val="auto"/>
              </w:rPr>
            </w:pPr>
            <w:r>
              <w:rPr>
                <w:rFonts w:ascii="Arial" w:cs="Arial" w:eastAsia="Arial" w:hAnsi="Arial"/>
                <w:sz w:val="14"/>
                <w:szCs w:val="14"/>
                <w:color w:val="auto"/>
              </w:rPr>
              <w:t>(785)</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color w:val="auto"/>
              </w:rPr>
              <w:t>(506)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r>
      <w:tr>
        <w:trPr>
          <w:trHeight w:val="208"/>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payments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8"/>
                <w:szCs w:val="18"/>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4"/>
                <w:szCs w:val="14"/>
                <w:color w:val="auto"/>
              </w:rPr>
              <w:t>Net transfers from (to) separate account</w:t>
            </w:r>
          </w:p>
        </w:tc>
        <w:tc>
          <w:tcPr>
            <w:tcW w:w="16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r>
      <w:tr>
        <w:trPr>
          <w:trHeight w:val="208"/>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credited</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8"/>
                <w:szCs w:val="18"/>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4"/>
                <w:szCs w:val="14"/>
                <w:color w:val="auto"/>
              </w:rPr>
              <w:t>Policy charges</w:t>
            </w:r>
          </w:p>
        </w:tc>
        <w:tc>
          <w:tcPr>
            <w:tcW w:w="160" w:type="dxa"/>
            <w:vAlign w:val="bottom"/>
          </w:tcPr>
          <w:p>
            <w:pPr>
              <w:spacing w:after="0"/>
              <w:rPr>
                <w:sz w:val="16"/>
                <w:szCs w:val="16"/>
                <w:color w:val="auto"/>
              </w:rPr>
            </w:pP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71"/>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6"/>
                <w:szCs w:val="16"/>
                <w:color w:val="auto"/>
              </w:rPr>
            </w:pPr>
          </w:p>
        </w:tc>
      </w:tr>
      <w:tr>
        <w:trPr>
          <w:trHeight w:val="201"/>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related to embedded derivatives</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1,090</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r>
      <w:tr>
        <w:trPr>
          <w:trHeight w:val="199"/>
        </w:trPr>
        <w:tc>
          <w:tcPr>
            <w:tcW w:w="3660" w:type="dxa"/>
            <w:vAlign w:val="bottom"/>
          </w:tcPr>
          <w:p>
            <w:pPr>
              <w:ind w:left="20"/>
              <w:spacing w:after="0"/>
              <w:rPr>
                <w:sz w:val="20"/>
                <w:szCs w:val="20"/>
                <w:color w:val="auto"/>
              </w:rPr>
            </w:pPr>
            <w:r>
              <w:rPr>
                <w:rFonts w:ascii="Arial" w:cs="Arial" w:eastAsia="Arial" w:hAnsi="Arial"/>
                <w:sz w:val="14"/>
                <w:szCs w:val="14"/>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2,595</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4"/>
                <w:szCs w:val="14"/>
                <w:color w:val="auto"/>
              </w:rPr>
              <w:t>4,767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35,922</w:t>
            </w:r>
          </w:p>
        </w:tc>
        <w:tc>
          <w:tcPr>
            <w:tcW w:w="120" w:type="dxa"/>
            <w:vAlign w:val="bottom"/>
          </w:tcPr>
          <w:p>
            <w:pPr>
              <w:spacing w:after="0"/>
              <w:rPr>
                <w:sz w:val="17"/>
                <w:szCs w:val="17"/>
                <w:color w:val="auto"/>
              </w:rPr>
            </w:pPr>
          </w:p>
        </w:tc>
        <w:tc>
          <w:tcPr>
            <w:tcW w:w="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14,684</w:t>
            </w: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4"/>
                <w:szCs w:val="14"/>
                <w:color w:val="auto"/>
              </w:rPr>
              <w:t>5,219</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644</w:t>
            </w:r>
          </w:p>
        </w:tc>
        <w:tc>
          <w:tcPr>
            <w:tcW w:w="140" w:type="dxa"/>
            <w:vAlign w:val="bottom"/>
            <w:tcBorders>
              <w:top w:val="single" w:sz="8" w:color="auto"/>
              <w:bottom w:val="single" w:sz="8" w:color="auto"/>
            </w:tcBorders>
          </w:tcPr>
          <w:p>
            <w:pPr>
              <w:spacing w:after="0"/>
              <w:rPr>
                <w:sz w:val="17"/>
                <w:szCs w:val="17"/>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r>
        <w:trPr>
          <w:trHeight w:val="192"/>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crediting rate (2)</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0.84 %</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0.85 %</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0.32 %</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0.73 %</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0.82 %</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r>
      <w:tr>
        <w:trPr>
          <w:trHeight w:val="191"/>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Three Months Ended March 31, 2022</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6"/>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2,694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4,743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32,000</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11,849</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5,569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140" w:type="dxa"/>
            <w:vAlign w:val="bottom"/>
            <w:shd w:val="clear" w:color="auto" w:fill="CCEEFF"/>
          </w:tcPr>
          <w:p>
            <w:pPr>
              <w:spacing w:after="0"/>
              <w:rPr>
                <w:sz w:val="17"/>
                <w:szCs w:val="17"/>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4"/>
                <w:szCs w:val="14"/>
                <w:color w:val="auto"/>
              </w:rPr>
              <w:t>Premiums and deposits</w:t>
            </w:r>
          </w:p>
        </w:tc>
        <w:tc>
          <w:tcPr>
            <w:tcW w:w="16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1,594</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jc w:val="right"/>
              <w:ind w:right="109"/>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130"/>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r>
      <w:tr>
        <w:trPr>
          <w:trHeight w:val="208"/>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Surrenders and withdrawals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(473)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(155)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4"/>
                <w:szCs w:val="14"/>
                <w:color w:val="auto"/>
              </w:rPr>
              <w:t>Benefit payments</w:t>
            </w:r>
          </w:p>
        </w:tc>
        <w:tc>
          <w:tcPr>
            <w:tcW w:w="160" w:type="dxa"/>
            <w:vAlign w:val="bottom"/>
          </w:tcPr>
          <w:p>
            <w:pPr>
              <w:spacing w:after="0"/>
              <w:rPr>
                <w:sz w:val="16"/>
                <w:szCs w:val="16"/>
                <w:color w:val="auto"/>
              </w:rPr>
            </w:pP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70"/>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71"/>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jc w:val="right"/>
              <w:ind w:right="89"/>
              <w:spacing w:after="0"/>
              <w:rPr>
                <w:sz w:val="20"/>
                <w:szCs w:val="20"/>
                <w:color w:val="auto"/>
              </w:rPr>
            </w:pPr>
            <w:r>
              <w:rPr>
                <w:rFonts w:ascii="Arial" w:cs="Arial" w:eastAsia="Arial" w:hAnsi="Arial"/>
                <w:sz w:val="14"/>
                <w:szCs w:val="14"/>
                <w:color w:val="auto"/>
              </w:rPr>
              <w:t>(83)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90"/>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6"/>
                <w:szCs w:val="16"/>
                <w:color w:val="auto"/>
              </w:rPr>
            </w:pPr>
          </w:p>
        </w:tc>
      </w:tr>
      <w:tr>
        <w:trPr>
          <w:trHeight w:val="208"/>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transfers from (to) separate account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8"/>
                <w:szCs w:val="18"/>
                <w:color w:val="auto"/>
              </w:rPr>
            </w:pPr>
          </w:p>
        </w:tc>
      </w:tr>
      <w:tr>
        <w:trPr>
          <w:trHeight w:val="189"/>
        </w:trPr>
        <w:tc>
          <w:tcPr>
            <w:tcW w:w="3660" w:type="dxa"/>
            <w:vAlign w:val="bottom"/>
          </w:tcPr>
          <w:p>
            <w:pPr>
              <w:ind w:left="20"/>
              <w:spacing w:after="0"/>
              <w:rPr>
                <w:sz w:val="20"/>
                <w:szCs w:val="20"/>
                <w:color w:val="auto"/>
              </w:rPr>
            </w:pPr>
            <w:r>
              <w:rPr>
                <w:rFonts w:ascii="Arial" w:cs="Arial" w:eastAsia="Arial" w:hAnsi="Arial"/>
                <w:sz w:val="14"/>
                <w:szCs w:val="14"/>
                <w:color w:val="auto"/>
              </w:rPr>
              <w:t>Interest credited</w:t>
            </w:r>
          </w:p>
        </w:tc>
        <w:tc>
          <w:tcPr>
            <w:tcW w:w="160" w:type="dxa"/>
            <w:vAlign w:val="bottom"/>
          </w:tcPr>
          <w:p>
            <w:pPr>
              <w:spacing w:after="0"/>
              <w:rPr>
                <w:sz w:val="16"/>
                <w:szCs w:val="16"/>
                <w:color w:val="auto"/>
              </w:rPr>
            </w:pPr>
          </w:p>
        </w:tc>
        <w:tc>
          <w:tcPr>
            <w:tcW w:w="1000" w:type="dxa"/>
            <w:vAlign w:val="bottom"/>
          </w:tcPr>
          <w:p>
            <w:pPr>
              <w:jc w:val="right"/>
              <w:ind w:right="11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jc w:val="right"/>
              <w:ind w:right="109"/>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130"/>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6"/>
                <w:szCs w:val="16"/>
                <w:color w:val="auto"/>
              </w:rPr>
            </w:pPr>
          </w:p>
        </w:tc>
      </w:tr>
      <w:tr>
        <w:trPr>
          <w:trHeight w:val="208"/>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Policy charges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8"/>
                <w:szCs w:val="18"/>
                <w:color w:val="auto"/>
              </w:rPr>
            </w:pPr>
          </w:p>
        </w:tc>
      </w:tr>
      <w:tr>
        <w:trPr>
          <w:trHeight w:val="192"/>
        </w:trPr>
        <w:tc>
          <w:tcPr>
            <w:tcW w:w="3660" w:type="dxa"/>
            <w:vAlign w:val="bottom"/>
          </w:tcPr>
          <w:p>
            <w:pPr>
              <w:ind w:left="20"/>
              <w:spacing w:after="0"/>
              <w:rPr>
                <w:sz w:val="20"/>
                <w:szCs w:val="20"/>
                <w:color w:val="auto"/>
              </w:rPr>
            </w:pPr>
            <w:r>
              <w:rPr>
                <w:rFonts w:ascii="Arial" w:cs="Arial" w:eastAsia="Arial" w:hAnsi="Arial"/>
                <w:sz w:val="14"/>
                <w:szCs w:val="14"/>
                <w:color w:val="auto"/>
              </w:rPr>
              <w:t>Changes related to embedded derivatives</w:t>
            </w:r>
          </w:p>
        </w:tc>
        <w:tc>
          <w:tcPr>
            <w:tcW w:w="16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00" w:type="dxa"/>
            <w:vAlign w:val="bottom"/>
          </w:tcPr>
          <w:p>
            <w:pPr>
              <w:jc w:val="right"/>
              <w:ind w:right="71"/>
              <w:spacing w:after="0"/>
              <w:rPr>
                <w:sz w:val="20"/>
                <w:szCs w:val="20"/>
                <w:color w:val="auto"/>
              </w:rPr>
            </w:pPr>
            <w:r>
              <w:rPr>
                <w:rFonts w:ascii="Arial" w:cs="Arial" w:eastAsia="Arial" w:hAnsi="Arial"/>
                <w:sz w:val="14"/>
                <w:szCs w:val="14"/>
                <w:color w:val="auto"/>
              </w:rPr>
              <w:t>(756)</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r>
      <w:tr>
        <w:trPr>
          <w:trHeight w:val="224"/>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2,671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4,749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32,398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11,727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5,512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r>
      <w:tr>
        <w:trPr>
          <w:trHeight w:val="180"/>
        </w:trPr>
        <w:tc>
          <w:tcPr>
            <w:tcW w:w="3660" w:type="dxa"/>
            <w:vAlign w:val="bottom"/>
          </w:tcPr>
          <w:p>
            <w:pPr>
              <w:ind w:left="20"/>
              <w:spacing w:after="0"/>
              <w:rPr>
                <w:sz w:val="20"/>
                <w:szCs w:val="20"/>
                <w:color w:val="auto"/>
              </w:rPr>
            </w:pPr>
            <w:r>
              <w:rPr>
                <w:rFonts w:ascii="Arial" w:cs="Arial" w:eastAsia="Arial" w:hAnsi="Arial"/>
                <w:sz w:val="14"/>
                <w:szCs w:val="14"/>
                <w:color w:val="auto"/>
              </w:rPr>
              <w:t>Weighted-average crediting rate (2)</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0.15 %</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0.93 %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0.27 %</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0.61 %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1.14 %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0.93 %</w:t>
            </w:r>
          </w:p>
        </w:tc>
      </w:tr>
      <w:tr>
        <w:trPr>
          <w:trHeight w:val="259"/>
        </w:trPr>
        <w:tc>
          <w:tcPr>
            <w:tcW w:w="3660" w:type="dxa"/>
            <w:vAlign w:val="bottom"/>
          </w:tcPr>
          <w:p>
            <w:pPr>
              <w:spacing w:after="0"/>
              <w:rPr>
                <w:sz w:val="20"/>
                <w:szCs w:val="20"/>
                <w:color w:val="auto"/>
              </w:rPr>
            </w:pPr>
            <w:r>
              <w:rPr>
                <w:rFonts w:ascii="Arial" w:cs="Arial" w:eastAsia="Arial" w:hAnsi="Arial"/>
                <w:sz w:val="14"/>
                <w:szCs w:val="14"/>
                <w:color w:val="auto"/>
              </w:rPr>
              <w:t>_______________</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 w:type="dxa"/>
            <w:vAlign w:val="bottom"/>
          </w:tcPr>
          <w:p>
            <w:pPr>
              <w:spacing w:after="0"/>
              <w:rPr>
                <w:sz w:val="22"/>
                <w:szCs w:val="22"/>
                <w:color w:val="auto"/>
              </w:rPr>
            </w:pPr>
          </w:p>
        </w:tc>
      </w:tr>
    </w:tbl>
    <w:p>
      <w:pPr>
        <w:spacing w:after="0" w:line="91" w:lineRule="exact"/>
        <w:rPr>
          <w:sz w:val="20"/>
          <w:szCs w:val="20"/>
          <w:color w:val="auto"/>
        </w:rPr>
      </w:pPr>
    </w:p>
    <w:p>
      <w:pPr>
        <w:ind w:left="320" w:hanging="314"/>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liabilities related to separate account products where the contract holder elected a general account investment option.</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the effects of embedded derivatives related to index-linked crediting rates.</w:t>
      </w:r>
    </w:p>
    <w:p>
      <w:pPr>
        <w:spacing w:after="0" w:line="164"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A reconciliation of policyholder account balances reported in the preceding rollforward table to the liability for policyholder account balances on the consolidated balance sheets was as follows at:</w:t>
      </w:r>
    </w:p>
    <w:p>
      <w:pPr>
        <w:spacing w:after="0" w:line="170"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7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gridSpan w:val="3"/>
          </w:tcPr>
          <w:p>
            <w:pPr>
              <w:jc w:val="right"/>
              <w:ind w:right="186"/>
              <w:spacing w:after="0"/>
              <w:rPr>
                <w:sz w:val="20"/>
                <w:szCs w:val="20"/>
                <w:color w:val="auto"/>
              </w:rPr>
            </w:pPr>
            <w:r>
              <w:rPr>
                <w:rFonts w:ascii="Arial" w:cs="Arial" w:eastAsia="Arial" w:hAnsi="Arial"/>
                <w:sz w:val="14"/>
                <w:szCs w:val="14"/>
                <w:b w:val="1"/>
                <w:bCs w:val="1"/>
                <w:color w:val="auto"/>
              </w:rPr>
              <w:t>March 31,</w:t>
            </w:r>
          </w:p>
        </w:tc>
        <w:tc>
          <w:tcPr>
            <w:tcW w:w="940" w:type="dxa"/>
            <w:vAlign w:val="bottom"/>
          </w:tcPr>
          <w:p>
            <w:pPr>
              <w:spacing w:after="0"/>
              <w:rPr>
                <w:sz w:val="15"/>
                <w:szCs w:val="15"/>
                <w:color w:val="auto"/>
              </w:rPr>
            </w:pPr>
          </w:p>
        </w:tc>
      </w:tr>
      <w:tr>
        <w:trPr>
          <w:trHeight w:val="38"/>
        </w:trPr>
        <w:tc>
          <w:tcPr>
            <w:tcW w:w="78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780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ind w:right="402"/>
              <w:spacing w:after="0"/>
              <w:rPr>
                <w:sz w:val="20"/>
                <w:szCs w:val="20"/>
                <w:color w:val="auto"/>
              </w:rPr>
            </w:pPr>
            <w:r>
              <w:rPr>
                <w:rFonts w:ascii="Arial" w:cs="Arial" w:eastAsia="Arial" w:hAnsi="Arial"/>
                <w:sz w:val="14"/>
                <w:szCs w:val="14"/>
                <w:b w:val="1"/>
                <w:bCs w:val="1"/>
                <w:color w:val="auto"/>
              </w:rPr>
              <w:t>2022</w:t>
            </w:r>
          </w:p>
        </w:tc>
      </w:tr>
      <w:tr>
        <w:trPr>
          <w:trHeight w:val="38"/>
        </w:trPr>
        <w:tc>
          <w:tcPr>
            <w:tcW w:w="78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7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gridSpan w:val="3"/>
          </w:tcPr>
          <w:p>
            <w:pPr>
              <w:jc w:val="right"/>
              <w:ind w:right="126"/>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5"/>
                <w:szCs w:val="15"/>
                <w:color w:val="auto"/>
              </w:rPr>
            </w:pPr>
          </w:p>
        </w:tc>
      </w:tr>
      <w:tr>
        <w:trPr>
          <w:trHeight w:val="37"/>
        </w:trPr>
        <w:tc>
          <w:tcPr>
            <w:tcW w:w="7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Policyholder account balances reported in the preceding rollforward table</w:t>
            </w:r>
          </w:p>
        </w:tc>
        <w:tc>
          <w:tcPr>
            <w:tcW w:w="1060" w:type="dxa"/>
            <w:vAlign w:val="bottom"/>
            <w:shd w:val="clear" w:color="auto" w:fill="CCEEFF"/>
          </w:tcPr>
          <w:p>
            <w:pPr>
              <w:jc w:val="right"/>
              <w:ind w:right="883"/>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63,831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w:t>
            </w:r>
          </w:p>
        </w:tc>
      </w:tr>
      <w:tr>
        <w:trPr>
          <w:trHeight w:val="210"/>
        </w:trPr>
        <w:tc>
          <w:tcPr>
            <w:tcW w:w="7800" w:type="dxa"/>
            <w:vAlign w:val="bottom"/>
          </w:tcPr>
          <w:p>
            <w:pPr>
              <w:ind w:left="20"/>
              <w:spacing w:after="0"/>
              <w:rPr>
                <w:sz w:val="20"/>
                <w:szCs w:val="20"/>
                <w:color w:val="auto"/>
              </w:rPr>
            </w:pPr>
            <w:r>
              <w:rPr>
                <w:rFonts w:ascii="Arial" w:cs="Arial" w:eastAsia="Arial" w:hAnsi="Arial"/>
                <w:sz w:val="16"/>
                <w:szCs w:val="16"/>
                <w:color w:val="auto"/>
              </w:rPr>
              <w:t>Funding agreements classified as investment contracts</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11,151</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2"/>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investment contract liabilities</w:t>
            </w:r>
          </w:p>
        </w:tc>
        <w:tc>
          <w:tcPr>
            <w:tcW w:w="10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8"/>
        </w:trPr>
        <w:tc>
          <w:tcPr>
            <w:tcW w:w="7800" w:type="dxa"/>
            <w:vAlign w:val="bottom"/>
          </w:tcPr>
          <w:p>
            <w:pPr>
              <w:ind w:left="140"/>
              <w:spacing w:after="0"/>
              <w:rPr>
                <w:sz w:val="20"/>
                <w:szCs w:val="20"/>
                <w:color w:val="auto"/>
              </w:rPr>
            </w:pPr>
            <w:r>
              <w:rPr>
                <w:rFonts w:ascii="Arial" w:cs="Arial" w:eastAsia="Arial" w:hAnsi="Arial"/>
                <w:sz w:val="16"/>
                <w:szCs w:val="16"/>
                <w:color w:val="auto"/>
              </w:rPr>
              <w:t>Total policyholder account balances</w:t>
            </w:r>
          </w:p>
        </w:tc>
        <w:tc>
          <w:tcPr>
            <w:tcW w:w="106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76,120</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w:t>
            </w:r>
          </w:p>
        </w:tc>
      </w:tr>
      <w:tr>
        <w:trPr>
          <w:trHeight w:val="20"/>
        </w:trPr>
        <w:tc>
          <w:tcPr>
            <w:tcW w:w="7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232" w:right="2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Insurance (continued)</w:t>
      </w:r>
    </w:p>
    <w:p>
      <w:pPr>
        <w:spacing w:after="0" w:line="200" w:lineRule="exact"/>
        <w:rPr>
          <w:sz w:val="20"/>
          <w:szCs w:val="20"/>
          <w:color w:val="auto"/>
        </w:rPr>
      </w:pPr>
    </w:p>
    <w:p>
      <w:pPr>
        <w:spacing w:after="0" w:line="262"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balance of account values by range of guaranteed minimum crediting rates and the related range of difference, in basis points, between rates being credited to policyholders and the respective guaranteed minimums was as follows at: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At Guaranteed</w:t>
            </w: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1 to 50 Basis Points</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51 to 150 Basis</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Greater than 150</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160" w:type="dxa"/>
            <w:vAlign w:val="bottom"/>
            <w:gridSpan w:val="2"/>
          </w:tcPr>
          <w:p>
            <w:pPr>
              <w:ind w:left="20"/>
              <w:spacing w:after="0"/>
              <w:rPr>
                <w:sz w:val="20"/>
                <w:szCs w:val="20"/>
                <w:color w:val="auto"/>
              </w:rPr>
            </w:pPr>
            <w:r>
              <w:rPr>
                <w:rFonts w:ascii="Arial" w:cs="Arial" w:eastAsia="Arial" w:hAnsi="Arial"/>
                <w:sz w:val="14"/>
                <w:szCs w:val="14"/>
                <w:b w:val="1"/>
                <w:bCs w:val="1"/>
                <w:color w:val="auto"/>
              </w:rPr>
              <w:t>Range of Guaranteed Minimum Crediting Rate</w:t>
            </w: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Minimum</w:t>
            </w:r>
          </w:p>
        </w:tc>
        <w:tc>
          <w:tcPr>
            <w:tcW w:w="28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Above</w:t>
            </w:r>
          </w:p>
        </w:tc>
        <w:tc>
          <w:tcPr>
            <w:tcW w:w="16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Points Above</w:t>
            </w: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Basis Points Above</w:t>
            </w:r>
          </w:p>
        </w:tc>
        <w:tc>
          <w:tcPr>
            <w:tcW w:w="300" w:type="dxa"/>
            <w:vAlign w:val="bottom"/>
          </w:tcPr>
          <w:p>
            <w:pPr>
              <w:spacing w:after="0"/>
              <w:rPr>
                <w:sz w:val="15"/>
                <w:szCs w:val="15"/>
                <w:color w:val="auto"/>
              </w:rPr>
            </w:pPr>
          </w:p>
        </w:tc>
        <w:tc>
          <w:tcPr>
            <w:tcW w:w="1040" w:type="dxa"/>
            <w:vAlign w:val="bottom"/>
          </w:tcPr>
          <w:p>
            <w:pPr>
              <w:jc w:val="right"/>
              <w:ind w:right="4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38"/>
        </w:trPr>
        <w:tc>
          <w:tcPr>
            <w:tcW w:w="4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2023</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Arial" w:cs="Arial" w:eastAsia="Arial" w:hAnsi="Arial"/>
                <w:sz w:val="16"/>
                <w:szCs w:val="16"/>
                <w:b w:val="1"/>
                <w:bCs w:val="1"/>
                <w:color w:val="auto"/>
              </w:rPr>
              <w:t>Annuities (1) (3):</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than 2.00%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8,210</w:t>
            </w:r>
          </w:p>
        </w:tc>
        <w:tc>
          <w:tcPr>
            <w:tcW w:w="0" w:type="dxa"/>
            <w:vAlign w:val="bottom"/>
          </w:tcPr>
          <w:p>
            <w:pPr>
              <w:spacing w:after="0"/>
              <w:rPr>
                <w:sz w:val="1"/>
                <w:szCs w:val="1"/>
                <w:color w:val="auto"/>
              </w:rPr>
            </w:pPr>
          </w:p>
        </w:tc>
      </w:tr>
      <w:tr>
        <w:trPr>
          <w:trHeight w:val="209"/>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2.00% to 3.99%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5,574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4,745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11,068</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Greater than 3.99%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208"/>
        </w:trPr>
        <w:tc>
          <w:tcPr>
            <w:tcW w:w="416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6,877</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5,034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1,179</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6,700</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19,790</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6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Life insurance (2) (3):</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Less than 2.00%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2.00% to 3.99%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0" w:type="dxa"/>
            <w:vAlign w:val="bottom"/>
          </w:tcPr>
          <w:p>
            <w:pPr>
              <w:spacing w:after="0"/>
              <w:rPr>
                <w:sz w:val="1"/>
                <w:szCs w:val="1"/>
                <w:color w:val="auto"/>
              </w:rPr>
            </w:pPr>
          </w:p>
        </w:tc>
      </w:tr>
      <w:tr>
        <w:trPr>
          <w:trHeight w:val="209"/>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Greater than 3.99%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1,630</w:t>
            </w:r>
          </w:p>
        </w:tc>
        <w:tc>
          <w:tcPr>
            <w:tcW w:w="0" w:type="dxa"/>
            <w:vAlign w:val="bottom"/>
          </w:tcPr>
          <w:p>
            <w:pPr>
              <w:spacing w:after="0"/>
              <w:rPr>
                <w:sz w:val="1"/>
                <w:szCs w:val="1"/>
                <w:color w:val="auto"/>
              </w:rPr>
            </w:pPr>
          </w:p>
        </w:tc>
      </w:tr>
      <w:tr>
        <w:trPr>
          <w:trHeight w:val="233"/>
        </w:trPr>
        <w:tc>
          <w:tcPr>
            <w:tcW w:w="41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2,515</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ULSG (3):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than 2.00%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2.00% to 3.99%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1,552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4,722</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Greater than 3.99%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08"/>
        </w:trPr>
        <w:tc>
          <w:tcPr>
            <w:tcW w:w="416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1,721</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1,552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5,243</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6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December 31, 2022</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Arial" w:cs="Arial" w:eastAsia="Arial" w:hAnsi="Arial"/>
                <w:sz w:val="16"/>
                <w:szCs w:val="16"/>
                <w:b w:val="1"/>
                <w:bCs w:val="1"/>
                <w:color w:val="auto"/>
              </w:rPr>
              <w:t>Annuities (1) (3):</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than 2.00%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7,368</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2.00% to 3.99%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4,872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11,597</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Greater than 3.99%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08"/>
        </w:trPr>
        <w:tc>
          <w:tcPr>
            <w:tcW w:w="416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7,505</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5,189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965</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5,831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19,490</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6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Life insurance (2) (3):</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Less than 2.00%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5"/>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2.00% to 3.99%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Greater than 3.99%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1,657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1,657</w:t>
            </w:r>
          </w:p>
        </w:tc>
        <w:tc>
          <w:tcPr>
            <w:tcW w:w="0" w:type="dxa"/>
            <w:vAlign w:val="bottom"/>
          </w:tcPr>
          <w:p>
            <w:pPr>
              <w:spacing w:after="0"/>
              <w:rPr>
                <w:sz w:val="1"/>
                <w:szCs w:val="1"/>
                <w:color w:val="auto"/>
              </w:rPr>
            </w:pPr>
          </w:p>
        </w:tc>
      </w:tr>
      <w:tr>
        <w:trPr>
          <w:trHeight w:val="233"/>
        </w:trPr>
        <w:tc>
          <w:tcPr>
            <w:tcW w:w="41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ULSG (3):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than 2.00%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2.00% to 3.99%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1,581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4,801</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Greater than 3.99%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08"/>
        </w:trPr>
        <w:tc>
          <w:tcPr>
            <w:tcW w:w="416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1,752</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1,581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1,729</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5,328</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policyholder account balances for fixed rate annuities and the fixed account portion of variable annuities.</w:t>
      </w:r>
    </w:p>
    <w:p>
      <w:pPr>
        <w:spacing w:after="0" w:line="111"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policyholder account balances for retained asset accounts, universal life policies and the fixed account portion of universal variable life insurance policies.</w:t>
      </w:r>
    </w:p>
    <w:p>
      <w:pPr>
        <w:spacing w:after="0" w:line="74" w:lineRule="exact"/>
        <w:rPr>
          <w:rFonts w:ascii="Arial" w:cs="Arial" w:eastAsia="Arial" w:hAnsi="Arial"/>
          <w:sz w:val="18"/>
          <w:szCs w:val="18"/>
          <w:color w:val="auto"/>
        </w:rPr>
      </w:pPr>
    </w:p>
    <w:p>
      <w:pPr>
        <w:ind w:left="320" w:hanging="314"/>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are gross of policy loans and net of excess interest reserves.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Insurance (continued)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 Benefits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regarding MRB assets and liabilities associated with variable annuities was as follows: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7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tcPr>
          <w:p>
            <w:pPr>
              <w:jc w:val="right"/>
              <w:ind w:right="541"/>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84"/>
        </w:trPr>
        <w:tc>
          <w:tcPr>
            <w:tcW w:w="7080" w:type="dxa"/>
            <w:vAlign w:val="bottom"/>
          </w:tcPr>
          <w:p>
            <w:pPr>
              <w:spacing w:after="0"/>
              <w:rPr>
                <w:sz w:val="15"/>
                <w:szCs w:val="15"/>
                <w:color w:val="auto"/>
              </w:rPr>
            </w:pPr>
          </w:p>
        </w:tc>
        <w:tc>
          <w:tcPr>
            <w:tcW w:w="2120" w:type="dxa"/>
            <w:vAlign w:val="bottom"/>
            <w:gridSpan w:val="6"/>
          </w:tcPr>
          <w:p>
            <w:pPr>
              <w:ind w:left="40"/>
              <w:spacing w:after="0"/>
              <w:rPr>
                <w:sz w:val="20"/>
                <w:szCs w:val="20"/>
                <w:color w:val="auto"/>
              </w:rPr>
            </w:pPr>
            <w:r>
              <w:rPr>
                <w:rFonts w:ascii="Arial" w:cs="Arial" w:eastAsia="Arial" w:hAnsi="Arial"/>
                <w:sz w:val="14"/>
                <w:szCs w:val="14"/>
                <w:b w:val="1"/>
                <w:bCs w:val="1"/>
                <w:color w:val="auto"/>
                <w:w w:val="99"/>
              </w:rPr>
              <w:t>Three Months Ended March 31,</w:t>
            </w:r>
          </w:p>
        </w:tc>
        <w:tc>
          <w:tcPr>
            <w:tcW w:w="180" w:type="dxa"/>
            <w:vAlign w:val="bottom"/>
          </w:tcPr>
          <w:p>
            <w:pPr>
              <w:spacing w:after="0"/>
              <w:rPr>
                <w:sz w:val="15"/>
                <w:szCs w:val="15"/>
                <w:color w:val="auto"/>
              </w:rPr>
            </w:pPr>
          </w:p>
        </w:tc>
        <w:tc>
          <w:tcPr>
            <w:tcW w:w="1820" w:type="dxa"/>
            <w:vAlign w:val="bottom"/>
            <w:gridSpan w:val="4"/>
          </w:tcPr>
          <w:p>
            <w:pPr>
              <w:jc w:val="right"/>
              <w:ind w:right="50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38"/>
        </w:trPr>
        <w:tc>
          <w:tcPr>
            <w:tcW w:w="70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24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24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24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24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38"/>
        </w:trPr>
        <w:tc>
          <w:tcPr>
            <w:tcW w:w="70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gridSpan w:val="5"/>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5"/>
          </w:tcPr>
          <w:p>
            <w:pPr>
              <w:ind w:left="2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7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18,388</w:t>
            </w:r>
          </w:p>
        </w:tc>
        <w:tc>
          <w:tcPr>
            <w:tcW w:w="0" w:type="dxa"/>
            <w:vAlign w:val="bottom"/>
          </w:tcPr>
          <w:p>
            <w:pPr>
              <w:spacing w:after="0"/>
              <w:rPr>
                <w:sz w:val="1"/>
                <w:szCs w:val="1"/>
                <w:color w:val="auto"/>
              </w:rPr>
            </w:pPr>
          </w:p>
        </w:tc>
      </w:tr>
      <w:tr>
        <w:trPr>
          <w:trHeight w:val="210"/>
        </w:trPr>
        <w:tc>
          <w:tcPr>
            <w:tcW w:w="7080" w:type="dxa"/>
            <w:vAlign w:val="bottom"/>
          </w:tcPr>
          <w:p>
            <w:pPr>
              <w:ind w:left="20"/>
              <w:spacing w:after="0"/>
              <w:rPr>
                <w:sz w:val="20"/>
                <w:szCs w:val="20"/>
                <w:color w:val="auto"/>
              </w:rPr>
            </w:pPr>
            <w:r>
              <w:rPr>
                <w:rFonts w:ascii="Arial" w:cs="Arial" w:eastAsia="Arial" w:hAnsi="Arial"/>
                <w:sz w:val="16"/>
                <w:szCs w:val="16"/>
                <w:color w:val="auto"/>
              </w:rPr>
              <w:t>Balance, beginning of period, before effect of changes in nonperformance risk</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8,230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11,611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11,611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14,934</w:t>
            </w:r>
          </w:p>
        </w:tc>
        <w:tc>
          <w:tcPr>
            <w:tcW w:w="0" w:type="dxa"/>
            <w:vAlign w:val="bottom"/>
          </w:tcPr>
          <w:p>
            <w:pPr>
              <w:spacing w:after="0"/>
              <w:rPr>
                <w:sz w:val="1"/>
                <w:szCs w:val="1"/>
                <w:color w:val="auto"/>
              </w:rPr>
            </w:pPr>
          </w:p>
        </w:tc>
      </w:tr>
      <w:tr>
        <w:trPr>
          <w:trHeight w:val="214"/>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Decrements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0"/>
        </w:trPr>
        <w:tc>
          <w:tcPr>
            <w:tcW w:w="7080" w:type="dxa"/>
            <w:vAlign w:val="bottom"/>
          </w:tcPr>
          <w:p>
            <w:pPr>
              <w:ind w:left="180"/>
              <w:spacing w:after="0"/>
              <w:rPr>
                <w:sz w:val="20"/>
                <w:szCs w:val="20"/>
                <w:color w:val="auto"/>
              </w:rPr>
            </w:pPr>
            <w:r>
              <w:rPr>
                <w:rFonts w:ascii="Arial" w:cs="Arial" w:eastAsia="Arial" w:hAnsi="Arial"/>
                <w:sz w:val="16"/>
                <w:szCs w:val="16"/>
                <w:color w:val="auto"/>
              </w:rPr>
              <w:t>Effect of changes in future expected assumptions</w:t>
            </w: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4"/>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Effect of actual different from expected experience</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9"/>
        </w:trPr>
        <w:tc>
          <w:tcPr>
            <w:tcW w:w="7080" w:type="dxa"/>
            <w:vAlign w:val="bottom"/>
          </w:tcPr>
          <w:p>
            <w:pPr>
              <w:ind w:left="180"/>
              <w:spacing w:after="0"/>
              <w:rPr>
                <w:sz w:val="20"/>
                <w:szCs w:val="20"/>
                <w:color w:val="auto"/>
              </w:rPr>
            </w:pPr>
            <w:r>
              <w:rPr>
                <w:rFonts w:ascii="Arial" w:cs="Arial" w:eastAsia="Arial" w:hAnsi="Arial"/>
                <w:sz w:val="16"/>
                <w:szCs w:val="16"/>
                <w:color w:val="auto"/>
              </w:rPr>
              <w:t>Effect of changes in interest rates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(8,394)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(1,829)</w:t>
            </w:r>
          </w:p>
        </w:tc>
        <w:tc>
          <w:tcPr>
            <w:tcW w:w="0" w:type="dxa"/>
            <w:vAlign w:val="bottom"/>
          </w:tcPr>
          <w:p>
            <w:pPr>
              <w:spacing w:after="0"/>
              <w:rPr>
                <w:sz w:val="1"/>
                <w:szCs w:val="1"/>
                <w:color w:val="auto"/>
              </w:rPr>
            </w:pPr>
          </w:p>
        </w:tc>
      </w:tr>
      <w:tr>
        <w:trPr>
          <w:trHeight w:val="215"/>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Effect of changes in fund returns</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(2,578)</w:t>
            </w:r>
          </w:p>
        </w:tc>
        <w:tc>
          <w:tcPr>
            <w:tcW w:w="0" w:type="dxa"/>
            <w:vAlign w:val="bottom"/>
          </w:tcPr>
          <w:p>
            <w:pPr>
              <w:spacing w:after="0"/>
              <w:rPr>
                <w:sz w:val="1"/>
                <w:szCs w:val="1"/>
                <w:color w:val="auto"/>
              </w:rPr>
            </w:pPr>
          </w:p>
        </w:tc>
      </w:tr>
      <w:tr>
        <w:trPr>
          <w:trHeight w:val="209"/>
        </w:trPr>
        <w:tc>
          <w:tcPr>
            <w:tcW w:w="7080" w:type="dxa"/>
            <w:vAlign w:val="bottom"/>
          </w:tcPr>
          <w:p>
            <w:pPr>
              <w:ind w:left="180"/>
              <w:spacing w:after="0"/>
              <w:rPr>
                <w:sz w:val="20"/>
                <w:szCs w:val="20"/>
                <w:color w:val="auto"/>
              </w:rPr>
            </w:pPr>
            <w:r>
              <w:rPr>
                <w:rFonts w:ascii="Arial" w:cs="Arial" w:eastAsia="Arial" w:hAnsi="Arial"/>
                <w:sz w:val="16"/>
                <w:szCs w:val="16"/>
                <w:color w:val="auto"/>
              </w:rPr>
              <w:t>Issuances</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4"/>
        </w:trPr>
        <w:tc>
          <w:tcPr>
            <w:tcW w:w="70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Effect of changes in risk margin</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10"/>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Aging of the block and other</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w:t>
            </w:r>
          </w:p>
        </w:tc>
        <w:tc>
          <w:tcPr>
            <w:tcW w:w="0" w:type="dxa"/>
            <w:vAlign w:val="bottom"/>
          </w:tcPr>
          <w:p>
            <w:pPr>
              <w:spacing w:after="0"/>
              <w:rPr>
                <w:sz w:val="1"/>
                <w:szCs w:val="1"/>
                <w:color w:val="auto"/>
              </w:rPr>
            </w:pPr>
          </w:p>
        </w:tc>
      </w:tr>
      <w:tr>
        <w:trPr>
          <w:trHeight w:val="208"/>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end of period, before effect of changes in nonperformance risk</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10,183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11,611</w:t>
            </w:r>
          </w:p>
        </w:tc>
        <w:tc>
          <w:tcPr>
            <w:tcW w:w="0" w:type="dxa"/>
            <w:vAlign w:val="bottom"/>
          </w:tcPr>
          <w:p>
            <w:pPr>
              <w:spacing w:after="0"/>
              <w:rPr>
                <w:sz w:val="1"/>
                <w:szCs w:val="1"/>
                <w:color w:val="auto"/>
              </w:rPr>
            </w:pPr>
          </w:p>
        </w:tc>
      </w:tr>
      <w:tr>
        <w:trPr>
          <w:trHeight w:val="209"/>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Effect of changes in nonperformance risk</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4,087</w:t>
            </w:r>
          </w:p>
        </w:tc>
        <w:tc>
          <w:tcPr>
            <w:tcW w:w="0" w:type="dxa"/>
            <w:vAlign w:val="bottom"/>
          </w:tcPr>
          <w:p>
            <w:pPr>
              <w:spacing w:after="0"/>
              <w:rPr>
                <w:sz w:val="1"/>
                <w:szCs w:val="1"/>
                <w:color w:val="auto"/>
              </w:rPr>
            </w:pPr>
          </w:p>
        </w:tc>
      </w:tr>
      <w:tr>
        <w:trPr>
          <w:trHeight w:val="208"/>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end of period</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15,698</w:t>
            </w:r>
          </w:p>
        </w:tc>
        <w:tc>
          <w:tcPr>
            <w:tcW w:w="0" w:type="dxa"/>
            <w:vAlign w:val="bottom"/>
          </w:tcPr>
          <w:p>
            <w:pPr>
              <w:spacing w:after="0"/>
              <w:rPr>
                <w:sz w:val="1"/>
                <w:szCs w:val="1"/>
                <w:color w:val="auto"/>
              </w:rPr>
            </w:pPr>
          </w:p>
        </w:tc>
      </w:tr>
      <w:tr>
        <w:trPr>
          <w:trHeight w:val="209"/>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Reinsurance recoverable, end of period</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33"/>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end of period, net of reinsurance (1)</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13,249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9,903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15,580</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Weighted-average attained age of contract holder</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ind w:left="100"/>
              <w:spacing w:after="0" w:line="180" w:lineRule="exact"/>
              <w:rPr>
                <w:sz w:val="20"/>
                <w:szCs w:val="20"/>
                <w:color w:val="auto"/>
              </w:rPr>
            </w:pPr>
            <w:r>
              <w:rPr>
                <w:rFonts w:ascii="Arial" w:cs="Arial" w:eastAsia="Arial" w:hAnsi="Arial"/>
                <w:sz w:val="16"/>
                <w:szCs w:val="16"/>
                <w:color w:val="auto"/>
              </w:rPr>
              <w:t>72.1 years</w:t>
            </w:r>
          </w:p>
        </w:tc>
        <w:tc>
          <w:tcPr>
            <w:tcW w:w="180" w:type="dxa"/>
            <w:vAlign w:val="bottom"/>
          </w:tcPr>
          <w:p>
            <w:pPr>
              <w:spacing w:after="0"/>
              <w:rPr>
                <w:sz w:val="15"/>
                <w:szCs w:val="15"/>
                <w:color w:val="auto"/>
              </w:rPr>
            </w:pPr>
          </w:p>
        </w:tc>
        <w:tc>
          <w:tcPr>
            <w:tcW w:w="880" w:type="dxa"/>
            <w:vAlign w:val="bottom"/>
            <w:gridSpan w:val="2"/>
          </w:tcPr>
          <w:p>
            <w:pPr>
              <w:ind w:left="100"/>
              <w:spacing w:after="0" w:line="180" w:lineRule="exact"/>
              <w:rPr>
                <w:sz w:val="20"/>
                <w:szCs w:val="20"/>
                <w:color w:val="auto"/>
              </w:rPr>
            </w:pPr>
            <w:r>
              <w:rPr>
                <w:rFonts w:ascii="Arial" w:cs="Arial" w:eastAsia="Arial" w:hAnsi="Arial"/>
                <w:sz w:val="16"/>
                <w:szCs w:val="16"/>
                <w:color w:val="auto"/>
              </w:rPr>
              <w:t>71.5 years</w:t>
            </w:r>
          </w:p>
        </w:tc>
        <w:tc>
          <w:tcPr>
            <w:tcW w:w="180" w:type="dxa"/>
            <w:vAlign w:val="bottom"/>
          </w:tcPr>
          <w:p>
            <w:pPr>
              <w:spacing w:after="0"/>
              <w:rPr>
                <w:sz w:val="15"/>
                <w:szCs w:val="15"/>
                <w:color w:val="auto"/>
              </w:rPr>
            </w:pPr>
          </w:p>
        </w:tc>
        <w:tc>
          <w:tcPr>
            <w:tcW w:w="880" w:type="dxa"/>
            <w:vAlign w:val="bottom"/>
            <w:gridSpan w:val="2"/>
          </w:tcPr>
          <w:p>
            <w:pPr>
              <w:ind w:left="100"/>
              <w:spacing w:after="0" w:line="180" w:lineRule="exact"/>
              <w:rPr>
                <w:sz w:val="20"/>
                <w:szCs w:val="20"/>
                <w:color w:val="auto"/>
              </w:rPr>
            </w:pPr>
            <w:r>
              <w:rPr>
                <w:rFonts w:ascii="Arial" w:cs="Arial" w:eastAsia="Arial" w:hAnsi="Arial"/>
                <w:sz w:val="16"/>
                <w:szCs w:val="16"/>
                <w:color w:val="auto"/>
              </w:rPr>
              <w:t>71.8 years</w:t>
            </w:r>
          </w:p>
        </w:tc>
        <w:tc>
          <w:tcPr>
            <w:tcW w:w="18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Arial" w:cs="Arial" w:eastAsia="Arial" w:hAnsi="Arial"/>
                <w:sz w:val="16"/>
                <w:szCs w:val="16"/>
                <w:color w:val="auto"/>
                <w:w w:val="98"/>
              </w:rPr>
              <w:t>71.1 years</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jc w:val="both"/>
        <w:ind w:left="320" w:hanging="314"/>
        <w:spacing w:after="0" w:line="255" w:lineRule="auto"/>
        <w:tabs>
          <w:tab w:leader="none" w:pos="314"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represent the sum of MRB assets and MRB liabilities presented on the consolidated balance sheets at March 31, 2023 and 2022, with the exception of $4 million and $4 million, respectively, of index-linked annuities not included in this table, and at December 31, 2022 and 2021, with the exception of $3 million and $5 million, respectively, of index-linked annuities not included in this table.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Separate Accounts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regarding separate account liabilities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Three Months Ended March 31,</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8"/>
        </w:trPr>
        <w:tc>
          <w:tcPr>
            <w:tcW w:w="38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1"/>
        </w:trPr>
        <w:tc>
          <w:tcPr>
            <w:tcW w:w="3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23"/>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63"/>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8"/>
        </w:trPr>
        <w:tc>
          <w:tcPr>
            <w:tcW w:w="38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r>
      <w:tr>
        <w:trPr>
          <w:trHeight w:val="169"/>
        </w:trPr>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Variable</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Universal Life</w:t>
            </w: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Company-Owned</w:t>
            </w: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Variable</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Universal Life</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Company-Owned</w:t>
            </w:r>
          </w:p>
        </w:tc>
      </w:tr>
      <w:tr>
        <w:trPr>
          <w:trHeight w:val="184"/>
        </w:trPr>
        <w:tc>
          <w:tcPr>
            <w:tcW w:w="3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Annuities</w:t>
            </w:r>
          </w:p>
        </w:tc>
        <w:tc>
          <w:tcPr>
            <w:tcW w:w="12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Insurance</w:t>
            </w:r>
          </w:p>
        </w:tc>
        <w:tc>
          <w:tcPr>
            <w:tcW w:w="10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Life Insurance</w:t>
            </w:r>
          </w:p>
        </w:tc>
        <w:tc>
          <w:tcPr>
            <w:tcW w:w="18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Annuities</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Insurance</w:t>
            </w:r>
          </w:p>
        </w:tc>
        <w:tc>
          <w:tcPr>
            <w:tcW w:w="120" w:type="dxa"/>
            <w:vAlign w:val="bottom"/>
          </w:tcPr>
          <w:p>
            <w:pPr>
              <w:spacing w:after="0"/>
              <w:rPr>
                <w:sz w:val="15"/>
                <w:szCs w:val="15"/>
                <w:color w:val="auto"/>
              </w:rPr>
            </w:pPr>
          </w:p>
        </w:tc>
        <w:tc>
          <w:tcPr>
            <w:tcW w:w="1040" w:type="dxa"/>
            <w:vAlign w:val="bottom"/>
          </w:tcPr>
          <w:p>
            <w:pPr>
              <w:jc w:val="right"/>
              <w:ind w:right="61"/>
              <w:spacing w:after="0"/>
              <w:rPr>
                <w:sz w:val="20"/>
                <w:szCs w:val="20"/>
                <w:color w:val="auto"/>
              </w:rPr>
            </w:pPr>
            <w:r>
              <w:rPr>
                <w:rFonts w:ascii="Arial" w:cs="Arial" w:eastAsia="Arial" w:hAnsi="Arial"/>
                <w:sz w:val="14"/>
                <w:szCs w:val="14"/>
                <w:b w:val="1"/>
                <w:bCs w:val="1"/>
                <w:color w:val="auto"/>
                <w:w w:val="92"/>
              </w:rPr>
              <w:t>Life Insurance</w:t>
            </w:r>
          </w:p>
        </w:tc>
      </w:tr>
      <w:tr>
        <w:trPr>
          <w:trHeight w:val="37"/>
        </w:trPr>
        <w:tc>
          <w:tcPr>
            <w:tcW w:w="38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5"/>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1"/>
        </w:trPr>
        <w:tc>
          <w:tcPr>
            <w:tcW w:w="3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8"/>
        </w:trPr>
        <w:tc>
          <w:tcPr>
            <w:tcW w:w="3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2"/>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105,023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2,384</w:t>
            </w:r>
          </w:p>
        </w:tc>
      </w:tr>
      <w:tr>
        <w:trPr>
          <w:trHeight w:val="210"/>
        </w:trPr>
        <w:tc>
          <w:tcPr>
            <w:tcW w:w="3820" w:type="dxa"/>
            <w:vAlign w:val="bottom"/>
          </w:tcPr>
          <w:p>
            <w:pPr>
              <w:ind w:left="20"/>
              <w:spacing w:after="0"/>
              <w:rPr>
                <w:sz w:val="20"/>
                <w:szCs w:val="20"/>
                <w:color w:val="auto"/>
              </w:rPr>
            </w:pPr>
            <w:r>
              <w:rPr>
                <w:rFonts w:ascii="Arial" w:cs="Arial" w:eastAsia="Arial" w:hAnsi="Arial"/>
                <w:sz w:val="16"/>
                <w:szCs w:val="16"/>
                <w:color w:val="auto"/>
              </w:rPr>
              <w:t>Premiums and deposits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Surrenders and withdrawals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3820" w:type="dxa"/>
            <w:vAlign w:val="bottom"/>
          </w:tcPr>
          <w:p>
            <w:pPr>
              <w:ind w:left="20"/>
              <w:spacing w:after="0"/>
              <w:rPr>
                <w:sz w:val="20"/>
                <w:szCs w:val="20"/>
                <w:color w:val="auto"/>
              </w:rPr>
            </w:pPr>
            <w:r>
              <w:rPr>
                <w:rFonts w:ascii="Arial" w:cs="Arial" w:eastAsia="Arial" w:hAnsi="Arial"/>
                <w:sz w:val="16"/>
                <w:szCs w:val="16"/>
                <w:color w:val="auto"/>
              </w:rPr>
              <w:t>Benefit payments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performance</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09"/>
        </w:trPr>
        <w:tc>
          <w:tcPr>
            <w:tcW w:w="3820" w:type="dxa"/>
            <w:vAlign w:val="bottom"/>
          </w:tcPr>
          <w:p>
            <w:pPr>
              <w:ind w:left="20"/>
              <w:spacing w:after="0"/>
              <w:rPr>
                <w:sz w:val="20"/>
                <w:szCs w:val="20"/>
                <w:color w:val="auto"/>
              </w:rPr>
            </w:pPr>
            <w:r>
              <w:rPr>
                <w:rFonts w:ascii="Arial" w:cs="Arial" w:eastAsia="Arial" w:hAnsi="Arial"/>
                <w:sz w:val="16"/>
                <w:szCs w:val="16"/>
                <w:color w:val="auto"/>
              </w:rPr>
              <w:t>Policy charges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transfers from (to) general account</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3820" w:type="dxa"/>
            <w:vAlign w:val="bottom"/>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3"/>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end of period</w:t>
            </w: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2,215</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Insurance (continued)</w:t>
      </w:r>
    </w:p>
    <w:p>
      <w:pPr>
        <w:spacing w:after="0" w:line="200" w:lineRule="exact"/>
        <w:rPr>
          <w:sz w:val="20"/>
          <w:szCs w:val="20"/>
          <w:color w:val="auto"/>
        </w:rPr>
      </w:pPr>
    </w:p>
    <w:p>
      <w:pPr>
        <w:spacing w:after="0" w:line="315" w:lineRule="exact"/>
        <w:rPr>
          <w:sz w:val="20"/>
          <w:szCs w:val="20"/>
          <w:color w:val="auto"/>
        </w:rPr>
      </w:pPr>
    </w:p>
    <w:p>
      <w:pPr>
        <w:ind w:left="160" w:right="100" w:firstLine="318"/>
        <w:spacing w:after="0" w:line="264" w:lineRule="auto"/>
        <w:rPr>
          <w:sz w:val="20"/>
          <w:szCs w:val="20"/>
          <w:color w:val="auto"/>
        </w:rPr>
      </w:pPr>
      <w:r>
        <w:rPr>
          <w:rFonts w:ascii="Arial" w:cs="Arial" w:eastAsia="Arial" w:hAnsi="Arial"/>
          <w:sz w:val="18"/>
          <w:szCs w:val="18"/>
          <w:color w:val="auto"/>
        </w:rPr>
        <w:t>A reconciliation of separate account liabilities reported in the preceding rollforward table to the separate account liabilities balance on the consolidated balance sheets was as follows at:</w:t>
      </w:r>
    </w:p>
    <w:p>
      <w:pPr>
        <w:spacing w:after="0" w:line="170"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7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gridSpan w:val="3"/>
          </w:tcPr>
          <w:p>
            <w:pPr>
              <w:jc w:val="right"/>
              <w:ind w:right="186"/>
              <w:spacing w:after="0"/>
              <w:rPr>
                <w:sz w:val="20"/>
                <w:szCs w:val="20"/>
                <w:color w:val="auto"/>
              </w:rPr>
            </w:pPr>
            <w:r>
              <w:rPr>
                <w:rFonts w:ascii="Arial" w:cs="Arial" w:eastAsia="Arial" w:hAnsi="Arial"/>
                <w:sz w:val="14"/>
                <w:szCs w:val="14"/>
                <w:b w:val="1"/>
                <w:bCs w:val="1"/>
                <w:color w:val="auto"/>
              </w:rPr>
              <w:t>March 31,</w:t>
            </w:r>
          </w:p>
        </w:tc>
        <w:tc>
          <w:tcPr>
            <w:tcW w:w="940" w:type="dxa"/>
            <w:vAlign w:val="bottom"/>
          </w:tcPr>
          <w:p>
            <w:pPr>
              <w:spacing w:after="0"/>
              <w:rPr>
                <w:sz w:val="15"/>
                <w:szCs w:val="15"/>
                <w:color w:val="auto"/>
              </w:rPr>
            </w:pPr>
          </w:p>
        </w:tc>
      </w:tr>
      <w:tr>
        <w:trPr>
          <w:trHeight w:val="38"/>
        </w:trPr>
        <w:tc>
          <w:tcPr>
            <w:tcW w:w="78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7800" w:type="dxa"/>
            <w:vAlign w:val="bottom"/>
          </w:tcPr>
          <w:p>
            <w:pPr>
              <w:spacing w:after="0"/>
              <w:rPr>
                <w:sz w:val="15"/>
                <w:szCs w:val="15"/>
                <w:color w:val="auto"/>
              </w:rPr>
            </w:pPr>
          </w:p>
        </w:tc>
        <w:tc>
          <w:tcPr>
            <w:tcW w:w="1060" w:type="dxa"/>
            <w:vAlign w:val="bottom"/>
          </w:tcPr>
          <w:p>
            <w:pPr>
              <w:jc w:val="right"/>
              <w:ind w:right="3"/>
              <w:spacing w:after="0"/>
              <w:rPr>
                <w:sz w:val="20"/>
                <w:szCs w:val="20"/>
                <w:color w:val="auto"/>
              </w:rPr>
            </w:pPr>
            <w:r>
              <w:rPr>
                <w:rFonts w:ascii="Arial" w:cs="Arial" w:eastAsia="Arial" w:hAnsi="Arial"/>
                <w:sz w:val="14"/>
                <w:szCs w:val="14"/>
                <w:b w:val="1"/>
                <w:bCs w:val="1"/>
                <w:color w:val="auto"/>
              </w:rPr>
              <w:t>2023</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jc w:val="right"/>
              <w:ind w:right="403"/>
              <w:spacing w:after="0"/>
              <w:rPr>
                <w:sz w:val="20"/>
                <w:szCs w:val="20"/>
                <w:color w:val="auto"/>
              </w:rPr>
            </w:pPr>
            <w:r>
              <w:rPr>
                <w:rFonts w:ascii="Arial" w:cs="Arial" w:eastAsia="Arial" w:hAnsi="Arial"/>
                <w:sz w:val="14"/>
                <w:szCs w:val="14"/>
                <w:b w:val="1"/>
                <w:bCs w:val="1"/>
                <w:color w:val="auto"/>
              </w:rPr>
              <w:t>2022</w:t>
            </w:r>
          </w:p>
        </w:tc>
      </w:tr>
      <w:tr>
        <w:trPr>
          <w:trHeight w:val="38"/>
        </w:trPr>
        <w:tc>
          <w:tcPr>
            <w:tcW w:w="78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78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gridSpan w:val="3"/>
          </w:tcPr>
          <w:p>
            <w:pPr>
              <w:jc w:val="right"/>
              <w:ind w:right="126"/>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5"/>
                <w:szCs w:val="15"/>
                <w:color w:val="auto"/>
              </w:rPr>
            </w:pPr>
          </w:p>
        </w:tc>
      </w:tr>
      <w:tr>
        <w:trPr>
          <w:trHeight w:val="38"/>
        </w:trPr>
        <w:tc>
          <w:tcPr>
            <w:tcW w:w="7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Separate account liabilities reported in the preceding rollforward table</w:t>
            </w:r>
          </w:p>
        </w:tc>
        <w:tc>
          <w:tcPr>
            <w:tcW w:w="1060" w:type="dxa"/>
            <w:vAlign w:val="bottom"/>
            <w:shd w:val="clear" w:color="auto" w:fill="CCEEFF"/>
          </w:tcPr>
          <w:p>
            <w:pPr>
              <w:jc w:val="right"/>
              <w:ind w:right="883"/>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87,272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w:t>
            </w:r>
          </w:p>
        </w:tc>
      </w:tr>
      <w:tr>
        <w:trPr>
          <w:trHeight w:val="209"/>
        </w:trPr>
        <w:tc>
          <w:tcPr>
            <w:tcW w:w="7800" w:type="dxa"/>
            <w:vAlign w:val="bottom"/>
          </w:tcPr>
          <w:p>
            <w:pPr>
              <w:ind w:left="20"/>
              <w:spacing w:after="0"/>
              <w:rPr>
                <w:sz w:val="20"/>
                <w:szCs w:val="20"/>
                <w:color w:val="auto"/>
              </w:rPr>
            </w:pPr>
            <w:r>
              <w:rPr>
                <w:rFonts w:ascii="Arial" w:cs="Arial" w:eastAsia="Arial" w:hAnsi="Arial"/>
                <w:sz w:val="16"/>
                <w:szCs w:val="16"/>
                <w:color w:val="auto"/>
              </w:rPr>
              <w:t>Variable income annuities</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2"/>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Pension risk transfer annuities</w:t>
            </w:r>
          </w:p>
        </w:tc>
        <w:tc>
          <w:tcPr>
            <w:tcW w:w="10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r>
      <w:tr>
        <w:trPr>
          <w:trHeight w:val="208"/>
        </w:trPr>
        <w:tc>
          <w:tcPr>
            <w:tcW w:w="7800" w:type="dxa"/>
            <w:vAlign w:val="bottom"/>
          </w:tcPr>
          <w:p>
            <w:pPr>
              <w:ind w:left="140"/>
              <w:spacing w:after="0"/>
              <w:rPr>
                <w:sz w:val="20"/>
                <w:szCs w:val="20"/>
                <w:color w:val="auto"/>
              </w:rPr>
            </w:pPr>
            <w:r>
              <w:rPr>
                <w:rFonts w:ascii="Arial" w:cs="Arial" w:eastAsia="Arial" w:hAnsi="Arial"/>
                <w:sz w:val="16"/>
                <w:szCs w:val="16"/>
                <w:color w:val="auto"/>
              </w:rPr>
              <w:t>Total separate account liabilities</w:t>
            </w:r>
          </w:p>
        </w:tc>
        <w:tc>
          <w:tcPr>
            <w:tcW w:w="1060" w:type="dxa"/>
            <w:vAlign w:val="bottom"/>
            <w:tcBorders>
              <w:bottom w:val="single" w:sz="8" w:color="auto"/>
            </w:tcBorders>
          </w:tcPr>
          <w:p>
            <w:pPr>
              <w:jc w:val="right"/>
              <w:ind w:right="88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87,440</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104,4</w:t>
            </w:r>
          </w:p>
        </w:tc>
      </w:tr>
      <w:tr>
        <w:trPr>
          <w:trHeight w:val="20"/>
        </w:trPr>
        <w:tc>
          <w:tcPr>
            <w:tcW w:w="7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aggregate estimated fair value of assets, by major investment asset category, supporting separate accounts was as follows at:</w:t>
      </w:r>
    </w:p>
    <w:p>
      <w:pPr>
        <w:spacing w:after="0" w:line="200" w:lineRule="exact"/>
        <w:rPr>
          <w:sz w:val="20"/>
          <w:szCs w:val="20"/>
          <w:color w:val="auto"/>
        </w:rPr>
      </w:pPr>
    </w:p>
    <w:p>
      <w:pPr>
        <w:spacing w:after="0" w:line="206"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7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w w:val="95"/>
              </w:rPr>
              <w:t>December 31, 2022</w:t>
            </w:r>
          </w:p>
        </w:tc>
      </w:tr>
      <w:tr>
        <w:trPr>
          <w:trHeight w:val="24"/>
        </w:trPr>
        <w:tc>
          <w:tcPr>
            <w:tcW w:w="7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4"/>
          </w:tcPr>
          <w:p>
            <w:pPr>
              <w:spacing w:after="0"/>
              <w:rPr>
                <w:sz w:val="2"/>
                <w:szCs w:val="2"/>
                <w:color w:val="auto"/>
              </w:rPr>
            </w:pPr>
          </w:p>
        </w:tc>
      </w:tr>
      <w:tr>
        <w:trPr>
          <w:trHeight w:val="181"/>
        </w:trPr>
        <w:tc>
          <w:tcPr>
            <w:tcW w:w="7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0" w:type="dxa"/>
            <w:vAlign w:val="bottom"/>
            <w:gridSpan w:val="4"/>
          </w:tcPr>
          <w:p>
            <w:pPr>
              <w:jc w:val="right"/>
              <w:ind w:right="1063"/>
              <w:spacing w:after="0"/>
              <w:rPr>
                <w:sz w:val="20"/>
                <w:szCs w:val="20"/>
                <w:color w:val="auto"/>
              </w:rPr>
            </w:pPr>
            <w:r>
              <w:rPr>
                <w:rFonts w:ascii="Arial" w:cs="Arial" w:eastAsia="Arial" w:hAnsi="Arial"/>
                <w:sz w:val="14"/>
                <w:szCs w:val="14"/>
                <w:b w:val="1"/>
                <w:bCs w:val="1"/>
                <w:color w:val="auto"/>
              </w:rPr>
              <w:t>(In millions)</w:t>
            </w:r>
          </w:p>
        </w:tc>
      </w:tr>
      <w:tr>
        <w:trPr>
          <w:trHeight w:val="38"/>
        </w:trPr>
        <w:tc>
          <w:tcPr>
            <w:tcW w:w="7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12"/>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securities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r>
      <w:tr>
        <w:trPr>
          <w:trHeight w:val="210"/>
        </w:trPr>
        <w:tc>
          <w:tcPr>
            <w:tcW w:w="7800" w:type="dxa"/>
            <w:vAlign w:val="bottom"/>
          </w:tcPr>
          <w:p>
            <w:pPr>
              <w:ind w:left="20"/>
              <w:spacing w:after="0"/>
              <w:rPr>
                <w:sz w:val="20"/>
                <w:szCs w:val="20"/>
                <w:color w:val="auto"/>
              </w:rPr>
            </w:pPr>
            <w:r>
              <w:rPr>
                <w:rFonts w:ascii="Arial" w:cs="Arial" w:eastAsia="Arial" w:hAnsi="Arial"/>
                <w:sz w:val="16"/>
                <w:szCs w:val="16"/>
                <w:color w:val="auto"/>
              </w:rPr>
              <w:t>Fixed maturity securities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4"/>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233"/>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aggregate estimated fair value of assets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87,440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Amount at Risk and Cash Surrender Values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Information regarding the net amount at risk (“NAR”) and cash surrender value (“CSV”) for insurance products was as follows at: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4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6"/>
              </w:rPr>
              <w:t>Universal Life</w:t>
            </w:r>
          </w:p>
        </w:tc>
        <w:tc>
          <w:tcPr>
            <w:tcW w:w="18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8"/>
              </w:rPr>
              <w:t>Variable</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7"/>
              </w:rPr>
              <w:t>Index-linked</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5"/>
              </w:rPr>
              <w:t>Fixed Rate</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spacing w:after="0"/>
              <w:rPr>
                <w:sz w:val="20"/>
                <w:szCs w:val="20"/>
                <w:color w:val="auto"/>
              </w:rPr>
            </w:pPr>
            <w:r>
              <w:rPr>
                <w:rFonts w:ascii="Arial" w:cs="Arial" w:eastAsia="Arial" w:hAnsi="Arial"/>
                <w:sz w:val="12"/>
                <w:szCs w:val="12"/>
                <w:b w:val="1"/>
                <w:bCs w:val="1"/>
                <w:color w:val="auto"/>
                <w:w w:val="97"/>
              </w:rPr>
              <w:t>Company-Owned</w:t>
            </w:r>
          </w:p>
        </w:tc>
        <w:tc>
          <w:tcPr>
            <w:tcW w:w="0" w:type="dxa"/>
            <w:vAlign w:val="bottom"/>
          </w:tcPr>
          <w:p>
            <w:pPr>
              <w:spacing w:after="0"/>
              <w:rPr>
                <w:sz w:val="1"/>
                <w:szCs w:val="1"/>
                <w:color w:val="auto"/>
              </w:rPr>
            </w:pPr>
          </w:p>
        </w:tc>
      </w:tr>
      <w:tr>
        <w:trPr>
          <w:trHeight w:val="170"/>
        </w:trPr>
        <w:tc>
          <w:tcPr>
            <w:tcW w:w="4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91"/>
              </w:rPr>
              <w:t>Insurance</w:t>
            </w: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2"/>
                <w:szCs w:val="12"/>
                <w:b w:val="1"/>
                <w:bCs w:val="1"/>
                <w:color w:val="auto"/>
                <w:w w:val="91"/>
              </w:rPr>
              <w:t>Annuities</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1"/>
              </w:rPr>
              <w:t>Annuities</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1"/>
              </w:rPr>
              <w:t>Annuities</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120"/>
              <w:spacing w:after="0"/>
              <w:rPr>
                <w:sz w:val="20"/>
                <w:szCs w:val="20"/>
                <w:color w:val="auto"/>
              </w:rPr>
            </w:pPr>
            <w:r>
              <w:rPr>
                <w:rFonts w:ascii="Arial" w:cs="Arial" w:eastAsia="Arial" w:hAnsi="Arial"/>
                <w:sz w:val="12"/>
                <w:szCs w:val="12"/>
                <w:b w:val="1"/>
                <w:bCs w:val="1"/>
                <w:color w:val="auto"/>
              </w:rPr>
              <w:t>ULSG</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w w:val="93"/>
              </w:rPr>
              <w:t>Life Insurance</w:t>
            </w:r>
          </w:p>
        </w:tc>
        <w:tc>
          <w:tcPr>
            <w:tcW w:w="0" w:type="dxa"/>
            <w:vAlign w:val="bottom"/>
          </w:tcPr>
          <w:p>
            <w:pPr>
              <w:spacing w:after="0"/>
              <w:rPr>
                <w:sz w:val="1"/>
                <w:szCs w:val="1"/>
                <w:color w:val="auto"/>
              </w:rPr>
            </w:pPr>
          </w:p>
        </w:tc>
      </w:tr>
      <w:tr>
        <w:trPr>
          <w:trHeight w:val="166"/>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5"/>
          </w:tcPr>
          <w:p>
            <w:pPr>
              <w:ind w:left="600"/>
              <w:spacing w:after="0"/>
              <w:rPr>
                <w:sz w:val="20"/>
                <w:szCs w:val="20"/>
                <w:color w:val="auto"/>
              </w:rPr>
            </w:pPr>
            <w:r>
              <w:rPr>
                <w:rFonts w:ascii="Arial" w:cs="Arial" w:eastAsia="Arial" w:hAnsi="Arial"/>
                <w:sz w:val="12"/>
                <w:szCs w:val="12"/>
                <w:b w:val="1"/>
                <w:bCs w:val="1"/>
                <w:color w:val="auto"/>
              </w:rPr>
              <w:t>(In millions)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2023</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Arial" w:cs="Arial" w:eastAsia="Arial" w:hAnsi="Arial"/>
                <w:sz w:val="16"/>
                <w:szCs w:val="16"/>
                <w:color w:val="auto"/>
              </w:rPr>
              <w:t>Account balances reported in the preceding rollforward tables: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Policyholder account balances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35,922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5,219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218"/>
        </w:trPr>
        <w:tc>
          <w:tcPr>
            <w:tcW w:w="4660" w:type="dxa"/>
            <w:vAlign w:val="bottom"/>
          </w:tcPr>
          <w:p>
            <w:pPr>
              <w:ind w:left="20"/>
              <w:spacing w:after="0"/>
              <w:rPr>
                <w:sz w:val="20"/>
                <w:szCs w:val="20"/>
                <w:color w:val="auto"/>
              </w:rPr>
            </w:pPr>
            <w:r>
              <w:rPr>
                <w:rFonts w:ascii="Arial" w:cs="Arial" w:eastAsia="Arial" w:hAnsi="Arial"/>
                <w:sz w:val="16"/>
                <w:szCs w:val="16"/>
                <w:color w:val="auto"/>
              </w:rPr>
              <w:t>Separate account liabilities</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79,770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50"/>
        </w:trPr>
        <w:tc>
          <w:tcPr>
            <w:tcW w:w="46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account balances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5,219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amount at risk</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66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37,420</w:t>
            </w:r>
          </w:p>
        </w:tc>
        <w:tc>
          <w:tcPr>
            <w:tcW w:w="100" w:type="dxa"/>
            <w:vAlign w:val="bottom"/>
          </w:tcPr>
          <w:p>
            <w:pPr>
              <w:spacing w:after="0"/>
              <w:rPr>
                <w:sz w:val="16"/>
                <w:szCs w:val="16"/>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14,894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580"/>
              <w:spacing w:after="0"/>
              <w:rPr>
                <w:sz w:val="20"/>
                <w:szCs w:val="20"/>
                <w:color w:val="auto"/>
              </w:rPr>
            </w:pPr>
            <w:r>
              <w:rPr>
                <w:rFonts w:ascii="Arial" w:cs="Arial" w:eastAsia="Arial" w:hAnsi="Arial"/>
                <w:sz w:val="16"/>
                <w:szCs w:val="16"/>
                <w:color w:val="auto"/>
              </w:rPr>
              <w:t>N/A</w:t>
            </w:r>
          </w:p>
        </w:tc>
        <w:tc>
          <w:tcPr>
            <w:tcW w:w="160" w:type="dxa"/>
            <w:vAlign w:val="bottom"/>
          </w:tcPr>
          <w:p>
            <w:pPr>
              <w:spacing w:after="0"/>
              <w:rPr>
                <w:sz w:val="16"/>
                <w:szCs w:val="16"/>
                <w:color w:val="auto"/>
              </w:rPr>
            </w:pPr>
          </w:p>
        </w:tc>
        <w:tc>
          <w:tcPr>
            <w:tcW w:w="960" w:type="dxa"/>
            <w:vAlign w:val="bottom"/>
            <w:gridSpan w:val="2"/>
          </w:tcPr>
          <w:p>
            <w:pPr>
              <w:ind w:left="580"/>
              <w:spacing w:after="0"/>
              <w:rPr>
                <w:sz w:val="20"/>
                <w:szCs w:val="20"/>
                <w:color w:val="auto"/>
              </w:rPr>
            </w:pPr>
            <w:r>
              <w:rPr>
                <w:rFonts w:ascii="Arial" w:cs="Arial" w:eastAsia="Arial" w:hAnsi="Arial"/>
                <w:sz w:val="16"/>
                <w:szCs w:val="16"/>
                <w:color w:val="auto"/>
              </w:rPr>
              <w:t>N/A</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70,062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3,422</w:t>
            </w: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surrender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84,090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33,567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6,203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2,443</w:t>
            </w:r>
          </w:p>
        </w:tc>
        <w:tc>
          <w:tcPr>
            <w:tcW w:w="0" w:type="dxa"/>
            <w:vAlign w:val="bottom"/>
          </w:tcPr>
          <w:p>
            <w:pPr>
              <w:spacing w:after="0"/>
              <w:rPr>
                <w:sz w:val="1"/>
                <w:szCs w:val="1"/>
                <w:color w:val="auto"/>
              </w:rPr>
            </w:pPr>
          </w:p>
        </w:tc>
      </w:tr>
      <w:tr>
        <w:trPr>
          <w:trHeight w:val="210"/>
        </w:trPr>
        <w:tc>
          <w:tcPr>
            <w:tcW w:w="4660" w:type="dxa"/>
            <w:vAlign w:val="bottom"/>
          </w:tcPr>
          <w:p>
            <w:pPr>
              <w:ind w:left="20"/>
              <w:spacing w:after="0"/>
              <w:rPr>
                <w:sz w:val="20"/>
                <w:szCs w:val="20"/>
                <w:color w:val="auto"/>
              </w:rPr>
            </w:pPr>
            <w:r>
              <w:rPr>
                <w:rFonts w:ascii="Arial" w:cs="Arial" w:eastAsia="Arial" w:hAnsi="Arial"/>
                <w:sz w:val="16"/>
                <w:szCs w:val="16"/>
                <w:b w:val="1"/>
                <w:bCs w:val="1"/>
                <w:color w:val="auto"/>
              </w:rPr>
              <w:t>March 31, 2022</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 balances reported in the preceding rollforward tables: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Arial" w:cs="Arial" w:eastAsia="Arial" w:hAnsi="Arial"/>
                <w:sz w:val="16"/>
                <w:szCs w:val="16"/>
                <w:color w:val="auto"/>
              </w:rPr>
              <w:t>Policyholder account balances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2,671</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4,749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32,398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11,727</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5,512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228"/>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Separate account liabilities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2,215</w:t>
            </w:r>
          </w:p>
        </w:tc>
        <w:tc>
          <w:tcPr>
            <w:tcW w:w="0" w:type="dxa"/>
            <w:vAlign w:val="bottom"/>
          </w:tcPr>
          <w:p>
            <w:pPr>
              <w:spacing w:after="0"/>
              <w:rPr>
                <w:sz w:val="1"/>
                <w:szCs w:val="1"/>
                <w:color w:val="auto"/>
              </w:rPr>
            </w:pPr>
          </w:p>
        </w:tc>
      </w:tr>
      <w:tr>
        <w:trPr>
          <w:trHeight w:val="225"/>
        </w:trPr>
        <w:tc>
          <w:tcPr>
            <w:tcW w:w="4660" w:type="dxa"/>
            <w:vAlign w:val="bottom"/>
          </w:tcPr>
          <w:p>
            <w:pPr>
              <w:ind w:left="140"/>
              <w:spacing w:after="0"/>
              <w:rPr>
                <w:sz w:val="20"/>
                <w:szCs w:val="20"/>
                <w:color w:val="auto"/>
              </w:rPr>
            </w:pPr>
            <w:r>
              <w:rPr>
                <w:rFonts w:ascii="Arial" w:cs="Arial" w:eastAsia="Arial" w:hAnsi="Arial"/>
                <w:sz w:val="16"/>
                <w:szCs w:val="16"/>
                <w:color w:val="auto"/>
              </w:rPr>
              <w:t>Total account balances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8,933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100,532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32,398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11,727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5,512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2,865</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amount at risk</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N/A</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72,059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3,508</w:t>
            </w:r>
          </w:p>
        </w:tc>
        <w:tc>
          <w:tcPr>
            <w:tcW w:w="0" w:type="dxa"/>
            <w:vAlign w:val="bottom"/>
          </w:tcPr>
          <w:p>
            <w:pPr>
              <w:spacing w:after="0"/>
              <w:rPr>
                <w:sz w:val="1"/>
                <w:szCs w:val="1"/>
                <w:color w:val="auto"/>
              </w:rPr>
            </w:pPr>
          </w:p>
        </w:tc>
      </w:tr>
      <w:tr>
        <w:trPr>
          <w:trHeight w:val="207"/>
        </w:trPr>
        <w:tc>
          <w:tcPr>
            <w:tcW w:w="4660" w:type="dxa"/>
            <w:vAlign w:val="bottom"/>
          </w:tcPr>
          <w:p>
            <w:pPr>
              <w:ind w:left="20"/>
              <w:spacing w:after="0"/>
              <w:rPr>
                <w:sz w:val="20"/>
                <w:szCs w:val="20"/>
                <w:color w:val="auto"/>
              </w:rPr>
            </w:pPr>
            <w:r>
              <w:rPr>
                <w:rFonts w:ascii="Arial" w:cs="Arial" w:eastAsia="Arial" w:hAnsi="Arial"/>
                <w:sz w:val="16"/>
                <w:szCs w:val="16"/>
                <w:color w:val="auto"/>
              </w:rPr>
              <w:t>Cash surrender value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8,283</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100,351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29,442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10,993</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6,400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2,636</w:t>
            </w:r>
          </w:p>
        </w:tc>
        <w:tc>
          <w:tcPr>
            <w:tcW w:w="0" w:type="dxa"/>
            <w:vAlign w:val="bottom"/>
          </w:tcPr>
          <w:p>
            <w:pPr>
              <w:spacing w:after="0"/>
              <w:rPr>
                <w:sz w:val="1"/>
                <w:szCs w:val="1"/>
                <w:color w:val="auto"/>
              </w:rPr>
            </w:pPr>
          </w:p>
        </w:tc>
      </w:tr>
    </w:tbl>
    <w:p>
      <w:pPr>
        <w:spacing w:after="0" w:line="258"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Products may contain both separate account and general account fund options; accordingly, net amount at risk and cash surrender value reported in the table above relate to the total account balance for each respective product grouping.</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232"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Deferred Policy Acquisition Costs, Value of Business Acquired and Other Intangibles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Policy Acquisition Costs and Value of Business Acquired</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regarding DAC and VOBA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Fixed Rate</w:t>
            </w:r>
          </w:p>
        </w:tc>
        <w:tc>
          <w:tcPr>
            <w:tcW w:w="16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Index-linked</w:t>
            </w:r>
          </w:p>
        </w:tc>
        <w:tc>
          <w:tcPr>
            <w:tcW w:w="10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 and Whole</w:t>
            </w:r>
          </w:p>
        </w:tc>
        <w:tc>
          <w:tcPr>
            <w:tcW w:w="140" w:type="dxa"/>
            <w:vAlign w:val="bottom"/>
          </w:tcPr>
          <w:p>
            <w:pPr>
              <w:spacing w:after="0"/>
              <w:rPr>
                <w:sz w:val="14"/>
                <w:szCs w:val="14"/>
                <w:color w:val="auto"/>
              </w:rPr>
            </w:pPr>
          </w:p>
        </w:tc>
        <w:tc>
          <w:tcPr>
            <w:tcW w:w="1080" w:type="dxa"/>
            <w:vAlign w:val="bottom"/>
          </w:tcPr>
          <w:p>
            <w:pPr>
              <w:jc w:val="right"/>
              <w:ind w:right="101"/>
              <w:spacing w:after="0"/>
              <w:rPr>
                <w:sz w:val="20"/>
                <w:szCs w:val="20"/>
                <w:color w:val="auto"/>
              </w:rPr>
            </w:pPr>
            <w:r>
              <w:rPr>
                <w:rFonts w:ascii="Arial" w:cs="Arial" w:eastAsia="Arial" w:hAnsi="Arial"/>
                <w:sz w:val="14"/>
                <w:szCs w:val="14"/>
                <w:b w:val="1"/>
                <w:bCs w:val="1"/>
                <w:color w:val="auto"/>
                <w:w w:val="95"/>
              </w:rPr>
              <w:t>Universal Life</w:t>
            </w:r>
          </w:p>
        </w:tc>
      </w:tr>
      <w:tr>
        <w:trPr>
          <w:trHeight w:val="184"/>
        </w:trPr>
        <w:tc>
          <w:tcPr>
            <w:tcW w:w="4740" w:type="dxa"/>
            <w:vAlign w:val="bottom"/>
          </w:tcPr>
          <w:p>
            <w:pPr>
              <w:spacing w:after="0"/>
              <w:rPr>
                <w:sz w:val="15"/>
                <w:szCs w:val="15"/>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Variable Annuities</w:t>
            </w:r>
          </w:p>
        </w:tc>
        <w:tc>
          <w:tcPr>
            <w:tcW w:w="20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Annuities</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Annuities</w:t>
            </w:r>
          </w:p>
        </w:tc>
        <w:tc>
          <w:tcPr>
            <w:tcW w:w="10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Life Insurance</w:t>
            </w:r>
          </w:p>
        </w:tc>
        <w:tc>
          <w:tcPr>
            <w:tcW w:w="140" w:type="dxa"/>
            <w:vAlign w:val="bottom"/>
          </w:tcPr>
          <w:p>
            <w:pPr>
              <w:spacing w:after="0"/>
              <w:rPr>
                <w:sz w:val="15"/>
                <w:szCs w:val="15"/>
                <w:color w:val="auto"/>
              </w:rPr>
            </w:pPr>
          </w:p>
        </w:tc>
        <w:tc>
          <w:tcPr>
            <w:tcW w:w="1080" w:type="dxa"/>
            <w:vAlign w:val="bottom"/>
          </w:tcPr>
          <w:p>
            <w:pPr>
              <w:jc w:val="right"/>
              <w:ind w:right="221"/>
              <w:spacing w:after="0"/>
              <w:rPr>
                <w:sz w:val="20"/>
                <w:szCs w:val="20"/>
                <w:color w:val="auto"/>
              </w:rPr>
            </w:pPr>
            <w:r>
              <w:rPr>
                <w:rFonts w:ascii="Arial" w:cs="Arial" w:eastAsia="Arial" w:hAnsi="Arial"/>
                <w:sz w:val="14"/>
                <w:szCs w:val="14"/>
                <w:b w:val="1"/>
                <w:bCs w:val="1"/>
                <w:color w:val="auto"/>
              </w:rPr>
              <w:t>Insurance</w:t>
            </w:r>
          </w:p>
        </w:tc>
      </w:tr>
      <w:tr>
        <w:trPr>
          <w:trHeight w:val="38"/>
        </w:trPr>
        <w:tc>
          <w:tcPr>
            <w:tcW w:w="47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1"/>
        </w:trPr>
        <w:tc>
          <w:tcPr>
            <w:tcW w:w="4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8"/>
        </w:trPr>
        <w:tc>
          <w:tcPr>
            <w:tcW w:w="4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12"/>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March 31, 2023</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0"/>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DAC:</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44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r>
      <w:tr>
        <w:trPr>
          <w:trHeight w:val="209"/>
        </w:trPr>
        <w:tc>
          <w:tcPr>
            <w:tcW w:w="4740" w:type="dxa"/>
            <w:vAlign w:val="bottom"/>
          </w:tcPr>
          <w:p>
            <w:pPr>
              <w:ind w:left="20"/>
              <w:spacing w:after="0"/>
              <w:rPr>
                <w:sz w:val="20"/>
                <w:szCs w:val="20"/>
                <w:color w:val="auto"/>
              </w:rPr>
            </w:pPr>
            <w:r>
              <w:rPr>
                <w:rFonts w:ascii="Arial" w:cs="Arial" w:eastAsia="Arial" w:hAnsi="Arial"/>
                <w:sz w:val="16"/>
                <w:szCs w:val="16"/>
                <w:color w:val="auto"/>
              </w:rPr>
              <w:t>Capitalization</w:t>
            </w:r>
          </w:p>
        </w:tc>
        <w:tc>
          <w:tcPr>
            <w:tcW w:w="4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 end of period</w:t>
            </w: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2,456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r>
      <w:tr>
        <w:trPr>
          <w:trHeight w:val="194"/>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VOBA:</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09"/>
        </w:trPr>
        <w:tc>
          <w:tcPr>
            <w:tcW w:w="474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4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5"/>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3"/>
        </w:trPr>
        <w:tc>
          <w:tcPr>
            <w:tcW w:w="474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44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194"/>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DAC and VOBA:</w:t>
            </w:r>
          </w:p>
        </w:tc>
        <w:tc>
          <w:tcPr>
            <w:tcW w:w="4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r>
      <w:tr>
        <w:trPr>
          <w:trHeight w:val="212"/>
        </w:trPr>
        <w:tc>
          <w:tcPr>
            <w:tcW w:w="474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4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2,789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8"/>
        </w:trPr>
        <w:tc>
          <w:tcPr>
            <w:tcW w:w="474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Three Months Ended March 31, 2022</w:t>
            </w: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0"/>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DAC:</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4"/>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44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r>
      <w:tr>
        <w:trPr>
          <w:trHeight w:val="210"/>
        </w:trPr>
        <w:tc>
          <w:tcPr>
            <w:tcW w:w="4740" w:type="dxa"/>
            <w:vAlign w:val="bottom"/>
          </w:tcPr>
          <w:p>
            <w:pPr>
              <w:ind w:left="20"/>
              <w:spacing w:after="0"/>
              <w:rPr>
                <w:sz w:val="20"/>
                <w:szCs w:val="20"/>
                <w:color w:val="auto"/>
              </w:rPr>
            </w:pPr>
            <w:r>
              <w:rPr>
                <w:rFonts w:ascii="Arial" w:cs="Arial" w:eastAsia="Arial" w:hAnsi="Arial"/>
                <w:sz w:val="16"/>
                <w:szCs w:val="16"/>
                <w:color w:val="auto"/>
              </w:rPr>
              <w:t>Capitalization</w:t>
            </w:r>
          </w:p>
        </w:tc>
        <w:tc>
          <w:tcPr>
            <w:tcW w:w="4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3"/>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Balance, end of period</w:t>
            </w: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2,672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w:t>
            </w:r>
          </w:p>
        </w:tc>
      </w:tr>
      <w:tr>
        <w:trPr>
          <w:trHeight w:val="195"/>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VOBA:</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09"/>
        </w:trPr>
        <w:tc>
          <w:tcPr>
            <w:tcW w:w="474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44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5"/>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3"/>
        </w:trPr>
        <w:tc>
          <w:tcPr>
            <w:tcW w:w="474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44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195"/>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DAC and VOBA:</w:t>
            </w:r>
          </w:p>
        </w:tc>
        <w:tc>
          <w:tcPr>
            <w:tcW w:w="4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r>
      <w:tr>
        <w:trPr>
          <w:trHeight w:val="212"/>
        </w:trPr>
        <w:tc>
          <w:tcPr>
            <w:tcW w:w="474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4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3,040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w:t>
            </w:r>
          </w:p>
        </w:tc>
      </w:tr>
      <w:tr>
        <w:trPr>
          <w:trHeight w:val="20"/>
        </w:trPr>
        <w:tc>
          <w:tcPr>
            <w:tcW w:w="4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Deferred Policy Acquisition Costs, Value of Business Acquired and Other Intangibles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4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Fixed Rate</w:t>
            </w: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Index-linked</w:t>
            </w:r>
          </w:p>
        </w:tc>
        <w:tc>
          <w:tcPr>
            <w:tcW w:w="10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 and Whole</w:t>
            </w:r>
          </w:p>
        </w:tc>
        <w:tc>
          <w:tcPr>
            <w:tcW w:w="14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4"/>
                <w:szCs w:val="14"/>
                <w:b w:val="1"/>
                <w:bCs w:val="1"/>
                <w:color w:val="auto"/>
                <w:w w:val="95"/>
              </w:rPr>
              <w:t>Universal Lif</w:t>
            </w:r>
          </w:p>
        </w:tc>
      </w:tr>
      <w:tr>
        <w:trPr>
          <w:trHeight w:val="184"/>
        </w:trPr>
        <w:tc>
          <w:tcPr>
            <w:tcW w:w="4720" w:type="dxa"/>
            <w:vAlign w:val="bottom"/>
          </w:tcPr>
          <w:p>
            <w:pPr>
              <w:spacing w:after="0"/>
              <w:rPr>
                <w:sz w:val="15"/>
                <w:szCs w:val="15"/>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Variable Annuities</w:t>
            </w:r>
          </w:p>
        </w:tc>
        <w:tc>
          <w:tcPr>
            <w:tcW w:w="20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Annuities</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Annuities</w:t>
            </w:r>
          </w:p>
        </w:tc>
        <w:tc>
          <w:tcPr>
            <w:tcW w:w="10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Life Insurance</w:t>
            </w:r>
          </w:p>
        </w:tc>
        <w:tc>
          <w:tcPr>
            <w:tcW w:w="140" w:type="dxa"/>
            <w:vAlign w:val="bottom"/>
          </w:tcPr>
          <w:p>
            <w:pPr>
              <w:spacing w:after="0"/>
              <w:rPr>
                <w:sz w:val="15"/>
                <w:szCs w:val="15"/>
                <w:color w:val="auto"/>
              </w:rPr>
            </w:pPr>
          </w:p>
        </w:tc>
        <w:tc>
          <w:tcPr>
            <w:tcW w:w="860" w:type="dxa"/>
            <w:vAlign w:val="bottom"/>
          </w:tcPr>
          <w:p>
            <w:pPr>
              <w:ind w:left="160"/>
              <w:spacing w:after="0"/>
              <w:rPr>
                <w:sz w:val="20"/>
                <w:szCs w:val="20"/>
                <w:color w:val="auto"/>
              </w:rPr>
            </w:pPr>
            <w:r>
              <w:rPr>
                <w:rFonts w:ascii="Arial" w:cs="Arial" w:eastAsia="Arial" w:hAnsi="Arial"/>
                <w:sz w:val="14"/>
                <w:szCs w:val="14"/>
                <w:b w:val="1"/>
                <w:bCs w:val="1"/>
                <w:color w:val="auto"/>
              </w:rPr>
              <w:t>Insurance</w:t>
            </w:r>
          </w:p>
        </w:tc>
      </w:tr>
      <w:tr>
        <w:trPr>
          <w:trHeight w:val="38"/>
        </w:trPr>
        <w:tc>
          <w:tcPr>
            <w:tcW w:w="47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1"/>
        </w:trPr>
        <w:tc>
          <w:tcPr>
            <w:tcW w:w="4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8"/>
        </w:trPr>
        <w:tc>
          <w:tcPr>
            <w:tcW w:w="4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12"/>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DAC:</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9"/>
        </w:trPr>
        <w:tc>
          <w:tcPr>
            <w:tcW w:w="4720" w:type="dxa"/>
            <w:vAlign w:val="bottom"/>
          </w:tcPr>
          <w:p>
            <w:pPr>
              <w:ind w:left="20"/>
              <w:spacing w:after="0"/>
              <w:rPr>
                <w:sz w:val="20"/>
                <w:szCs w:val="20"/>
                <w:color w:val="auto"/>
              </w:rPr>
            </w:pPr>
            <w:r>
              <w:rPr>
                <w:rFonts w:ascii="Arial" w:cs="Arial" w:eastAsia="Arial" w:hAnsi="Arial"/>
                <w:sz w:val="16"/>
                <w:szCs w:val="16"/>
                <w:color w:val="auto"/>
              </w:rPr>
              <w:t>Adjusted balance at January 1, 2021 (1)</w:t>
            </w: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2,912</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886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center"/>
              <w:ind w:left="702"/>
              <w:spacing w:after="0"/>
              <w:rPr>
                <w:sz w:val="20"/>
                <w:szCs w:val="20"/>
                <w:color w:val="auto"/>
              </w:rPr>
            </w:pPr>
            <w:r>
              <w:rPr>
                <w:rFonts w:ascii="Arial" w:cs="Arial" w:eastAsia="Arial" w:hAnsi="Arial"/>
                <w:sz w:val="16"/>
                <w:szCs w:val="16"/>
                <w:color w:val="auto"/>
                <w:w w:val="89"/>
              </w:rPr>
              <w:t>4</w:t>
            </w:r>
          </w:p>
        </w:tc>
      </w:tr>
      <w:tr>
        <w:trPr>
          <w:trHeight w:val="214"/>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Capitalization</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0"/>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w:t>
            </w: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682"/>
              <w:spacing w:after="0"/>
              <w:rPr>
                <w:sz w:val="20"/>
                <w:szCs w:val="20"/>
                <w:color w:val="auto"/>
              </w:rPr>
            </w:pPr>
            <w:r>
              <w:rPr>
                <w:rFonts w:ascii="Arial" w:cs="Arial" w:eastAsia="Arial" w:hAnsi="Arial"/>
                <w:sz w:val="16"/>
                <w:szCs w:val="16"/>
                <w:color w:val="auto"/>
              </w:rPr>
              <w:t>(</w:t>
            </w:r>
          </w:p>
        </w:tc>
      </w:tr>
      <w:tr>
        <w:trPr>
          <w:trHeight w:val="208"/>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ind w:left="702"/>
              <w:spacing w:after="0"/>
              <w:rPr>
                <w:sz w:val="20"/>
                <w:szCs w:val="20"/>
                <w:color w:val="auto"/>
              </w:rPr>
            </w:pPr>
            <w:r>
              <w:rPr>
                <w:rFonts w:ascii="Arial" w:cs="Arial" w:eastAsia="Arial" w:hAnsi="Arial"/>
                <w:sz w:val="16"/>
                <w:szCs w:val="16"/>
                <w:color w:val="auto"/>
                <w:w w:val="89"/>
              </w:rPr>
              <w:t>4</w:t>
            </w: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Capitalization</w:t>
            </w: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2"/>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center"/>
              <w:ind w:left="682"/>
              <w:spacing w:after="0"/>
              <w:rPr>
                <w:sz w:val="20"/>
                <w:szCs w:val="20"/>
                <w:color w:val="auto"/>
              </w:rPr>
            </w:pPr>
            <w:r>
              <w:rPr>
                <w:rFonts w:ascii="Arial" w:cs="Arial" w:eastAsia="Arial" w:hAnsi="Arial"/>
                <w:sz w:val="16"/>
                <w:szCs w:val="16"/>
                <w:color w:val="auto"/>
              </w:rPr>
              <w:t>(</w:t>
            </w:r>
          </w:p>
        </w:tc>
      </w:tr>
      <w:tr>
        <w:trPr>
          <w:trHeight w:val="208"/>
        </w:trPr>
        <w:tc>
          <w:tcPr>
            <w:tcW w:w="4720" w:type="dxa"/>
            <w:vAlign w:val="bottom"/>
          </w:tcPr>
          <w:p>
            <w:pPr>
              <w:ind w:left="20"/>
              <w:spacing w:after="0"/>
              <w:rPr>
                <w:sz w:val="20"/>
                <w:szCs w:val="20"/>
                <w:color w:val="auto"/>
              </w:rPr>
            </w:pPr>
            <w:r>
              <w:rPr>
                <w:rFonts w:ascii="Arial" w:cs="Arial" w:eastAsia="Arial" w:hAnsi="Arial"/>
                <w:sz w:val="16"/>
                <w:szCs w:val="16"/>
                <w:color w:val="auto"/>
              </w:rPr>
              <w:t>Balance at December 31, 2022</w:t>
            </w:r>
          </w:p>
        </w:tc>
        <w:tc>
          <w:tcPr>
            <w:tcW w:w="4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center"/>
              <w:ind w:left="702"/>
              <w:spacing w:after="0"/>
              <w:rPr>
                <w:sz w:val="20"/>
                <w:szCs w:val="20"/>
                <w:color w:val="auto"/>
              </w:rPr>
            </w:pPr>
            <w:r>
              <w:rPr>
                <w:rFonts w:ascii="Arial" w:cs="Arial" w:eastAsia="Arial" w:hAnsi="Arial"/>
                <w:sz w:val="16"/>
                <w:szCs w:val="16"/>
                <w:color w:val="auto"/>
                <w:w w:val="89"/>
              </w:rPr>
              <w:t>3</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9"/>
        </w:trPr>
        <w:tc>
          <w:tcPr>
            <w:tcW w:w="472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VOBA:</w:t>
            </w: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09"/>
        </w:trPr>
        <w:tc>
          <w:tcPr>
            <w:tcW w:w="4720" w:type="dxa"/>
            <w:vAlign w:val="bottom"/>
          </w:tcPr>
          <w:p>
            <w:pPr>
              <w:ind w:left="20"/>
              <w:spacing w:after="0"/>
              <w:rPr>
                <w:sz w:val="20"/>
                <w:szCs w:val="20"/>
                <w:color w:val="auto"/>
              </w:rPr>
            </w:pPr>
            <w:r>
              <w:rPr>
                <w:rFonts w:ascii="Arial" w:cs="Arial" w:eastAsia="Arial" w:hAnsi="Arial"/>
                <w:sz w:val="16"/>
                <w:szCs w:val="16"/>
                <w:color w:val="auto"/>
              </w:rPr>
              <w:t>Adjusted balance at January 1, 2021 (1)</w:t>
            </w: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428</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spacing w:after="0"/>
              <w:rPr>
                <w:sz w:val="18"/>
                <w:szCs w:val="18"/>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Balance at December 31, 2021</w:t>
            </w: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r>
      <w:tr>
        <w:trPr>
          <w:trHeight w:val="203"/>
        </w:trPr>
        <w:tc>
          <w:tcPr>
            <w:tcW w:w="4720" w:type="dxa"/>
            <w:vAlign w:val="bottom"/>
          </w:tcPr>
          <w:p>
            <w:pPr>
              <w:ind w:left="20"/>
              <w:spacing w:after="0"/>
              <w:rPr>
                <w:sz w:val="20"/>
                <w:szCs w:val="20"/>
                <w:color w:val="auto"/>
              </w:rPr>
            </w:pPr>
            <w:r>
              <w:rPr>
                <w:rFonts w:ascii="Arial" w:cs="Arial" w:eastAsia="Arial" w:hAnsi="Arial"/>
                <w:sz w:val="16"/>
                <w:szCs w:val="16"/>
                <w:color w:val="auto"/>
              </w:rPr>
              <w:t>Balance at December 31, 2022</w:t>
            </w: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5"/>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DAC and VOBA:</w:t>
            </w:r>
          </w:p>
        </w:tc>
        <w:tc>
          <w:tcPr>
            <w:tcW w:w="4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r>
      <w:tr>
        <w:trPr>
          <w:trHeight w:val="212"/>
        </w:trPr>
        <w:tc>
          <w:tcPr>
            <w:tcW w:w="4720" w:type="dxa"/>
            <w:vAlign w:val="bottom"/>
          </w:tcPr>
          <w:p>
            <w:pPr>
              <w:ind w:left="20"/>
              <w:spacing w:after="0"/>
              <w:rPr>
                <w:sz w:val="20"/>
                <w:szCs w:val="20"/>
                <w:color w:val="auto"/>
              </w:rPr>
            </w:pPr>
            <w:r>
              <w:rPr>
                <w:rFonts w:ascii="Arial" w:cs="Arial" w:eastAsia="Arial" w:hAnsi="Arial"/>
                <w:sz w:val="16"/>
                <w:szCs w:val="16"/>
                <w:color w:val="auto"/>
              </w:rPr>
              <w:t>Balance at December 31, 2022</w:t>
            </w:r>
          </w:p>
        </w:tc>
        <w:tc>
          <w:tcPr>
            <w:tcW w:w="4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center"/>
              <w:ind w:left="702"/>
              <w:spacing w:after="0"/>
              <w:rPr>
                <w:sz w:val="20"/>
                <w:szCs w:val="20"/>
                <w:color w:val="auto"/>
              </w:rPr>
            </w:pPr>
            <w:r>
              <w:rPr>
                <w:rFonts w:ascii="Arial" w:cs="Arial" w:eastAsia="Arial" w:hAnsi="Arial"/>
                <w:sz w:val="16"/>
                <w:szCs w:val="16"/>
                <w:color w:val="auto"/>
                <w:w w:val="89"/>
              </w:rPr>
              <w:t>4</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2021</w:t>
            </w:r>
          </w:p>
        </w:tc>
        <w:tc>
          <w:tcPr>
            <w:tcW w:w="440" w:type="dxa"/>
            <w:vAlign w:val="bottom"/>
            <w:tcBorders>
              <w:bottom w:val="single" w:sz="8" w:color="auto"/>
            </w:tcBorders>
            <w:shd w:val="clear" w:color="auto" w:fill="CCEEFF"/>
          </w:tcPr>
          <w:p>
            <w:pPr>
              <w:jc w:val="right"/>
              <w:ind w:right="26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468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center"/>
              <w:ind w:left="702"/>
              <w:spacing w:after="0"/>
              <w:rPr>
                <w:sz w:val="20"/>
                <w:szCs w:val="20"/>
                <w:color w:val="auto"/>
              </w:rPr>
            </w:pPr>
            <w:r>
              <w:rPr>
                <w:rFonts w:ascii="Arial" w:cs="Arial" w:eastAsia="Arial" w:hAnsi="Arial"/>
                <w:sz w:val="16"/>
                <w:szCs w:val="16"/>
                <w:color w:val="auto"/>
                <w:w w:val="89"/>
              </w:rPr>
              <w:t>4</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(1) Includes an adjustment to eliminate balances included in AOCI related to the adoption of ASU 2018-12 (see Note 2).</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Sales Inducements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regarding DSI, included in other assets,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
        </w:trPr>
        <w:tc>
          <w:tcPr>
            <w:tcW w:w="60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1"/>
        </w:trPr>
        <w:tc>
          <w:tcPr>
            <w:tcW w:w="6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80" w:type="dxa"/>
            <w:vAlign w:val="bottom"/>
            <w:gridSpan w:val="3"/>
          </w:tcPr>
          <w:p>
            <w:pPr>
              <w:jc w:val="right"/>
              <w:ind w:right="806"/>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2022</w:t>
            </w:r>
          </w:p>
        </w:tc>
        <w:tc>
          <w:tcPr>
            <w:tcW w:w="1020" w:type="dxa"/>
            <w:vAlign w:val="bottom"/>
          </w:tcPr>
          <w:p>
            <w:pPr>
              <w:spacing w:after="0"/>
              <w:rPr>
                <w:sz w:val="15"/>
                <w:szCs w:val="15"/>
                <w:color w:val="auto"/>
              </w:rPr>
            </w:pPr>
          </w:p>
        </w:tc>
      </w:tr>
      <w:tr>
        <w:trPr>
          <w:trHeight w:val="37"/>
        </w:trPr>
        <w:tc>
          <w:tcPr>
            <w:tcW w:w="604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69"/>
        </w:trPr>
        <w:tc>
          <w:tcPr>
            <w:tcW w:w="6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Fixed Rate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204"/>
              <w:spacing w:after="0"/>
              <w:rPr>
                <w:sz w:val="20"/>
                <w:szCs w:val="20"/>
                <w:color w:val="auto"/>
              </w:rPr>
            </w:pPr>
            <w:r>
              <w:rPr>
                <w:rFonts w:ascii="Arial" w:cs="Arial" w:eastAsia="Arial" w:hAnsi="Arial"/>
                <w:sz w:val="14"/>
                <w:szCs w:val="14"/>
                <w:b w:val="1"/>
                <w:bCs w:val="1"/>
                <w:color w:val="auto"/>
              </w:rPr>
              <w:t>Fixed Rate</w:t>
            </w:r>
          </w:p>
        </w:tc>
      </w:tr>
      <w:tr>
        <w:trPr>
          <w:trHeight w:val="184"/>
        </w:trPr>
        <w:tc>
          <w:tcPr>
            <w:tcW w:w="6040" w:type="dxa"/>
            <w:vAlign w:val="bottom"/>
          </w:tcPr>
          <w:p>
            <w:pPr>
              <w:spacing w:after="0"/>
              <w:rPr>
                <w:sz w:val="15"/>
                <w:szCs w:val="15"/>
                <w:color w:val="auto"/>
              </w:rPr>
            </w:pPr>
          </w:p>
        </w:tc>
        <w:tc>
          <w:tcPr>
            <w:tcW w:w="1340" w:type="dxa"/>
            <w:vAlign w:val="bottom"/>
            <w:gridSpan w:val="3"/>
          </w:tcPr>
          <w:p>
            <w:pPr>
              <w:ind w:left="60"/>
              <w:spacing w:after="0"/>
              <w:rPr>
                <w:sz w:val="20"/>
                <w:szCs w:val="20"/>
                <w:color w:val="auto"/>
              </w:rPr>
            </w:pPr>
            <w:r>
              <w:rPr>
                <w:rFonts w:ascii="Arial" w:cs="Arial" w:eastAsia="Arial" w:hAnsi="Arial"/>
                <w:sz w:val="14"/>
                <w:szCs w:val="14"/>
                <w:b w:val="1"/>
                <w:bCs w:val="1"/>
                <w:color w:val="auto"/>
              </w:rPr>
              <w:t>Variable Annuities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Annuities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Variable Annuities</w:t>
            </w:r>
          </w:p>
        </w:tc>
        <w:tc>
          <w:tcPr>
            <w:tcW w:w="200" w:type="dxa"/>
            <w:vAlign w:val="bottom"/>
          </w:tcPr>
          <w:p>
            <w:pPr>
              <w:spacing w:after="0"/>
              <w:rPr>
                <w:sz w:val="15"/>
                <w:szCs w:val="15"/>
                <w:color w:val="auto"/>
              </w:rPr>
            </w:pPr>
          </w:p>
        </w:tc>
        <w:tc>
          <w:tcPr>
            <w:tcW w:w="1020" w:type="dxa"/>
            <w:vAlign w:val="bottom"/>
          </w:tcPr>
          <w:p>
            <w:pPr>
              <w:jc w:val="right"/>
              <w:ind w:right="244"/>
              <w:spacing w:after="0"/>
              <w:rPr>
                <w:sz w:val="20"/>
                <w:szCs w:val="20"/>
                <w:color w:val="auto"/>
              </w:rPr>
            </w:pPr>
            <w:r>
              <w:rPr>
                <w:rFonts w:ascii="Arial" w:cs="Arial" w:eastAsia="Arial" w:hAnsi="Arial"/>
                <w:sz w:val="14"/>
                <w:szCs w:val="14"/>
                <w:b w:val="1"/>
                <w:bCs w:val="1"/>
                <w:color w:val="auto"/>
              </w:rPr>
              <w:t>Annuities</w:t>
            </w:r>
          </w:p>
        </w:tc>
      </w:tr>
      <w:tr>
        <w:trPr>
          <w:trHeight w:val="38"/>
        </w:trPr>
        <w:tc>
          <w:tcPr>
            <w:tcW w:w="604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gridSpan w:val="4"/>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1"/>
        </w:trPr>
        <w:tc>
          <w:tcPr>
            <w:tcW w:w="6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4"/>
          </w:tcPr>
          <w:p>
            <w:pPr>
              <w:jc w:val="right"/>
              <w:ind w:right="523"/>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7"/>
        </w:trPr>
        <w:tc>
          <w:tcPr>
            <w:tcW w:w="6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2"/>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520" w:type="dxa"/>
            <w:vAlign w:val="bottom"/>
            <w:shd w:val="clear" w:color="auto" w:fill="CCEEFF"/>
          </w:tcPr>
          <w:p>
            <w:pPr>
              <w:jc w:val="right"/>
              <w:ind w:right="343"/>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6"/>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2"/>
              </w:rPr>
              <w:t>272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0"/>
        </w:trPr>
        <w:tc>
          <w:tcPr>
            <w:tcW w:w="6040" w:type="dxa"/>
            <w:vAlign w:val="bottom"/>
          </w:tcPr>
          <w:p>
            <w:pPr>
              <w:ind w:left="20"/>
              <w:spacing w:after="0"/>
              <w:rPr>
                <w:sz w:val="20"/>
                <w:szCs w:val="20"/>
                <w:color w:val="auto"/>
              </w:rPr>
            </w:pPr>
            <w:r>
              <w:rPr>
                <w:rFonts w:ascii="Arial" w:cs="Arial" w:eastAsia="Arial" w:hAnsi="Arial"/>
                <w:sz w:val="16"/>
                <w:szCs w:val="16"/>
                <w:color w:val="auto"/>
              </w:rPr>
              <w:t>Amortization</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9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end of period</w:t>
            </w:r>
          </w:p>
        </w:tc>
        <w:tc>
          <w:tcPr>
            <w:tcW w:w="520" w:type="dxa"/>
            <w:vAlign w:val="bottom"/>
            <w:tcBorders>
              <w:top w:val="single" w:sz="8" w:color="auto"/>
              <w:bottom w:val="single" w:sz="8" w:color="auto"/>
            </w:tcBorders>
            <w:shd w:val="clear" w:color="auto" w:fill="CCEEFF"/>
          </w:tcPr>
          <w:p>
            <w:pPr>
              <w:jc w:val="right"/>
              <w:ind w:right="343"/>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ind w:right="743"/>
              <w:spacing w:after="0"/>
              <w:rPr>
                <w:sz w:val="20"/>
                <w:szCs w:val="20"/>
                <w:color w:val="auto"/>
              </w:rPr>
            </w:pPr>
            <w:r>
              <w:rPr>
                <w:rFonts w:ascii="Arial" w:cs="Arial" w:eastAsia="Arial" w:hAnsi="Arial"/>
                <w:sz w:val="16"/>
                <w:szCs w:val="16"/>
                <w:color w:val="auto"/>
                <w:w w:val="8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2"/>
              </w:rPr>
              <w:t>265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Unearned Revenue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regarding unearned revenue, included in other policy-related balances,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7"/>
        </w:trPr>
        <w:tc>
          <w:tcPr>
            <w:tcW w:w="40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34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32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8"/>
        </w:trPr>
        <w:tc>
          <w:tcPr>
            <w:tcW w:w="40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69"/>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Universal Life</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Variable</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Universal Life</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ind w:left="120"/>
              <w:spacing w:after="0"/>
              <w:rPr>
                <w:sz w:val="20"/>
                <w:szCs w:val="20"/>
                <w:color w:val="auto"/>
              </w:rPr>
            </w:pPr>
            <w:r>
              <w:rPr>
                <w:rFonts w:ascii="Arial" w:cs="Arial" w:eastAsia="Arial" w:hAnsi="Arial"/>
                <w:sz w:val="14"/>
                <w:szCs w:val="14"/>
                <w:b w:val="1"/>
                <w:bCs w:val="1"/>
                <w:color w:val="auto"/>
              </w:rPr>
              <w:t>Variable</w:t>
            </w:r>
          </w:p>
        </w:tc>
      </w:tr>
      <w:tr>
        <w:trPr>
          <w:trHeight w:val="184"/>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Insurance</w:t>
            </w:r>
          </w:p>
        </w:tc>
        <w:tc>
          <w:tcPr>
            <w:tcW w:w="240" w:type="dxa"/>
            <w:vAlign w:val="bottom"/>
          </w:tcPr>
          <w:p>
            <w:pPr>
              <w:spacing w:after="0"/>
              <w:rPr>
                <w:sz w:val="15"/>
                <w:szCs w:val="15"/>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ULSG</w:t>
            </w:r>
          </w:p>
        </w:tc>
        <w:tc>
          <w:tcPr>
            <w:tcW w:w="160" w:type="dxa"/>
            <w:vAlign w:val="bottom"/>
          </w:tcPr>
          <w:p>
            <w:pPr>
              <w:spacing w:after="0"/>
              <w:rPr>
                <w:sz w:val="15"/>
                <w:szCs w:val="15"/>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Annuities</w:t>
            </w: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Insurance</w:t>
            </w:r>
          </w:p>
        </w:tc>
        <w:tc>
          <w:tcPr>
            <w:tcW w:w="22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ULSG</w:t>
            </w:r>
          </w:p>
        </w:tc>
        <w:tc>
          <w:tcPr>
            <w:tcW w:w="180" w:type="dxa"/>
            <w:vAlign w:val="bottom"/>
          </w:tcPr>
          <w:p>
            <w:pPr>
              <w:spacing w:after="0"/>
              <w:rPr>
                <w:sz w:val="15"/>
                <w:szCs w:val="15"/>
                <w:color w:val="auto"/>
              </w:rPr>
            </w:pPr>
          </w:p>
        </w:tc>
        <w:tc>
          <w:tcPr>
            <w:tcW w:w="940" w:type="dxa"/>
            <w:vAlign w:val="bottom"/>
          </w:tcPr>
          <w:p>
            <w:pPr>
              <w:ind w:left="80"/>
              <w:spacing w:after="0"/>
              <w:rPr>
                <w:sz w:val="20"/>
                <w:szCs w:val="20"/>
                <w:color w:val="auto"/>
              </w:rPr>
            </w:pPr>
            <w:r>
              <w:rPr>
                <w:rFonts w:ascii="Arial" w:cs="Arial" w:eastAsia="Arial" w:hAnsi="Arial"/>
                <w:sz w:val="14"/>
                <w:szCs w:val="14"/>
                <w:b w:val="1"/>
                <w:bCs w:val="1"/>
                <w:color w:val="auto"/>
              </w:rPr>
              <w:t>Annuities</w:t>
            </w:r>
          </w:p>
        </w:tc>
      </w:tr>
      <w:tr>
        <w:trPr>
          <w:trHeight w:val="37"/>
        </w:trPr>
        <w:tc>
          <w:tcPr>
            <w:tcW w:w="40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300" w:type="dxa"/>
            <w:vAlign w:val="bottom"/>
            <w:tcBorders>
              <w:bottom w:val="single" w:sz="8" w:color="auto"/>
            </w:tcBorders>
            <w:gridSpan w:val="5"/>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5"/>
          </w:tcPr>
          <w:p>
            <w:pPr>
              <w:ind w:left="66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38"/>
        </w:trPr>
        <w:tc>
          <w:tcPr>
            <w:tcW w:w="4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2"/>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ind w:left="740"/>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80</w:t>
            </w:r>
          </w:p>
        </w:tc>
      </w:tr>
      <w:tr>
        <w:trPr>
          <w:trHeight w:val="209"/>
        </w:trPr>
        <w:tc>
          <w:tcPr>
            <w:tcW w:w="4000" w:type="dxa"/>
            <w:vAlign w:val="bottom"/>
          </w:tcPr>
          <w:p>
            <w:pPr>
              <w:ind w:left="20"/>
              <w:spacing w:after="0"/>
              <w:rPr>
                <w:sz w:val="20"/>
                <w:szCs w:val="20"/>
                <w:color w:val="auto"/>
              </w:rPr>
            </w:pPr>
            <w:r>
              <w:rPr>
                <w:rFonts w:ascii="Arial" w:cs="Arial" w:eastAsia="Arial" w:hAnsi="Arial"/>
                <w:sz w:val="16"/>
                <w:szCs w:val="16"/>
                <w:color w:val="auto"/>
              </w:rPr>
              <w:t>Capitalization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ind w:left="720"/>
              <w:spacing w:after="0"/>
              <w:rPr>
                <w:sz w:val="20"/>
                <w:szCs w:val="20"/>
                <w:color w:val="auto"/>
              </w:rPr>
            </w:pPr>
            <w:r>
              <w:rPr>
                <w:rFonts w:ascii="Arial" w:cs="Arial" w:eastAsia="Arial" w:hAnsi="Arial"/>
                <w:sz w:val="16"/>
                <w:szCs w:val="16"/>
                <w:color w:val="auto"/>
              </w:rPr>
              <w:t>—</w:t>
            </w:r>
          </w:p>
        </w:tc>
      </w:tr>
      <w:tr>
        <w:trPr>
          <w:trHeight w:val="212"/>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6"/>
                <w:szCs w:val="16"/>
                <w:color w:val="auto"/>
                <w:w w:val="91"/>
              </w:rPr>
              <w:t>(1)</w:t>
            </w:r>
          </w:p>
        </w:tc>
      </w:tr>
      <w:tr>
        <w:trPr>
          <w:trHeight w:val="208"/>
        </w:trPr>
        <w:tc>
          <w:tcPr>
            <w:tcW w:w="400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79</w:t>
            </w:r>
          </w:p>
        </w:tc>
      </w:tr>
      <w:tr>
        <w:trPr>
          <w:trHeight w:val="20"/>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23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232"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117"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See Notes 1 and 8 of the Notes to the Consolidated Financial Statements included in the 2022 Annual Report for a description of the Company’s accounting policies for investments and the fair value hierarchy for investments and the related valuation methodologies.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Securities Available-for-sale</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Fixed Maturity Securities by Sector</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Fixed maturity securities by sector were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740"/>
              <w:spacing w:after="0"/>
              <w:rPr>
                <w:sz w:val="20"/>
                <w:szCs w:val="20"/>
                <w:color w:val="auto"/>
              </w:rPr>
            </w:pPr>
            <w:r>
              <w:rPr>
                <w:rFonts w:ascii="Arial" w:cs="Arial" w:eastAsia="Arial" w:hAnsi="Arial"/>
                <w:sz w:val="12"/>
                <w:szCs w:val="12"/>
                <w:b w:val="1"/>
                <w:bCs w:val="1"/>
                <w:color w:val="auto"/>
              </w:rPr>
              <w:t>March 31, 2023</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580"/>
              <w:spacing w:after="0"/>
              <w:rPr>
                <w:sz w:val="20"/>
                <w:szCs w:val="20"/>
                <w:color w:val="auto"/>
              </w:rPr>
            </w:pPr>
            <w:r>
              <w:rPr>
                <w:rFonts w:ascii="Arial" w:cs="Arial" w:eastAsia="Arial" w:hAnsi="Arial"/>
                <w:sz w:val="12"/>
                <w:szCs w:val="12"/>
                <w:b w:val="1"/>
                <w:bCs w:val="1"/>
                <w:color w:val="auto"/>
              </w:rPr>
              <w:t>December 31, 2022</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85"/>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5"/>
          </w:tcPr>
          <w:p>
            <w:pPr>
              <w:ind w:left="120"/>
              <w:spacing w:after="0"/>
              <w:rPr>
                <w:sz w:val="20"/>
                <w:szCs w:val="20"/>
                <w:color w:val="auto"/>
              </w:rPr>
            </w:pPr>
            <w:r>
              <w:rPr>
                <w:rFonts w:ascii="Arial" w:cs="Arial" w:eastAsia="Arial" w:hAnsi="Arial"/>
                <w:sz w:val="12"/>
                <w:szCs w:val="12"/>
                <w:b w:val="1"/>
                <w:bCs w:val="1"/>
                <w:color w:val="auto"/>
              </w:rPr>
              <w:t>Gross Unrealized</w:t>
            </w:r>
          </w:p>
        </w:tc>
        <w:tc>
          <w:tcPr>
            <w:tcW w:w="14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Estimated</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5"/>
          </w:tcPr>
          <w:p>
            <w:pPr>
              <w:ind w:left="120"/>
              <w:spacing w:after="0"/>
              <w:rPr>
                <w:sz w:val="20"/>
                <w:szCs w:val="20"/>
                <w:color w:val="auto"/>
              </w:rPr>
            </w:pPr>
            <w:r>
              <w:rPr>
                <w:rFonts w:ascii="Arial" w:cs="Arial" w:eastAsia="Arial" w:hAnsi="Arial"/>
                <w:sz w:val="12"/>
                <w:szCs w:val="12"/>
                <w:b w:val="1"/>
                <w:bCs w:val="1"/>
                <w:color w:val="auto"/>
              </w:rPr>
              <w:t>Gross Unrealized</w:t>
            </w:r>
          </w:p>
        </w:tc>
        <w:tc>
          <w:tcPr>
            <w:tcW w:w="100" w:type="dxa"/>
            <w:vAlign w:val="bottom"/>
          </w:tcPr>
          <w:p>
            <w:pPr>
              <w:spacing w:after="0"/>
              <w:rPr>
                <w:sz w:val="16"/>
                <w:szCs w:val="16"/>
                <w:color w:val="auto"/>
              </w:rPr>
            </w:pPr>
          </w:p>
        </w:tc>
        <w:tc>
          <w:tcPr>
            <w:tcW w:w="700" w:type="dxa"/>
            <w:vAlign w:val="bottom"/>
          </w:tcPr>
          <w:p>
            <w:pPr>
              <w:jc w:val="center"/>
              <w:ind w:right="34"/>
              <w:spacing w:after="0"/>
              <w:rPr>
                <w:sz w:val="20"/>
                <w:szCs w:val="20"/>
                <w:color w:val="auto"/>
              </w:rPr>
            </w:pPr>
            <w:r>
              <w:rPr>
                <w:rFonts w:ascii="Arial" w:cs="Arial" w:eastAsia="Arial" w:hAnsi="Arial"/>
                <w:sz w:val="12"/>
                <w:szCs w:val="12"/>
                <w:b w:val="1"/>
                <w:bCs w:val="1"/>
                <w:color w:val="auto"/>
                <w:w w:val="90"/>
              </w:rPr>
              <w:t>Estimated</w:t>
            </w:r>
          </w:p>
        </w:tc>
      </w:tr>
      <w:tr>
        <w:trPr>
          <w:trHeight w:val="60"/>
        </w:trPr>
        <w:tc>
          <w:tcPr>
            <w:tcW w:w="2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tcPr>
          <w:p>
            <w:pPr>
              <w:jc w:val="center"/>
              <w:ind w:right="220"/>
              <w:spacing w:after="0" w:line="60" w:lineRule="exact"/>
              <w:rPr>
                <w:sz w:val="20"/>
                <w:szCs w:val="20"/>
                <w:color w:val="auto"/>
              </w:rPr>
            </w:pPr>
            <w:r>
              <w:rPr>
                <w:rFonts w:ascii="Arial" w:cs="Arial" w:eastAsia="Arial" w:hAnsi="Arial"/>
                <w:sz w:val="6"/>
                <w:szCs w:val="6"/>
                <w:b w:val="1"/>
                <w:bCs w:val="1"/>
                <w:color w:val="auto"/>
              </w:rPr>
              <w:t>Amortized</w:t>
            </w:r>
          </w:p>
        </w:tc>
        <w:tc>
          <w:tcPr>
            <w:tcW w:w="1000" w:type="dxa"/>
            <w:vAlign w:val="bottom"/>
            <w:gridSpan w:val="3"/>
          </w:tcPr>
          <w:p>
            <w:pPr>
              <w:ind w:left="80"/>
              <w:spacing w:after="0" w:line="60" w:lineRule="exact"/>
              <w:rPr>
                <w:sz w:val="20"/>
                <w:szCs w:val="20"/>
                <w:color w:val="auto"/>
              </w:rPr>
            </w:pPr>
            <w:r>
              <w:rPr>
                <w:rFonts w:ascii="Arial" w:cs="Arial" w:eastAsia="Arial" w:hAnsi="Arial"/>
                <w:sz w:val="6"/>
                <w:szCs w:val="6"/>
                <w:b w:val="1"/>
                <w:bCs w:val="1"/>
                <w:color w:val="auto"/>
              </w:rPr>
              <w:t>Allowance for</w:t>
            </w:r>
          </w:p>
        </w:tc>
        <w:tc>
          <w:tcPr>
            <w:tcW w:w="14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tcPr>
          <w:p>
            <w:pPr>
              <w:jc w:val="center"/>
              <w:ind w:right="220"/>
              <w:spacing w:after="0" w:line="60" w:lineRule="exact"/>
              <w:rPr>
                <w:sz w:val="20"/>
                <w:szCs w:val="20"/>
                <w:color w:val="auto"/>
              </w:rPr>
            </w:pPr>
            <w:r>
              <w:rPr>
                <w:rFonts w:ascii="Arial" w:cs="Arial" w:eastAsia="Arial" w:hAnsi="Arial"/>
                <w:sz w:val="6"/>
                <w:szCs w:val="6"/>
                <w:b w:val="1"/>
                <w:bCs w:val="1"/>
                <w:color w:val="auto"/>
              </w:rPr>
              <w:t>Fair</w:t>
            </w:r>
          </w:p>
        </w:tc>
        <w:tc>
          <w:tcPr>
            <w:tcW w:w="140" w:type="dxa"/>
            <w:vAlign w:val="bottom"/>
          </w:tcPr>
          <w:p>
            <w:pPr>
              <w:spacing w:after="0"/>
              <w:rPr>
                <w:sz w:val="5"/>
                <w:szCs w:val="5"/>
                <w:color w:val="auto"/>
              </w:rPr>
            </w:pPr>
          </w:p>
        </w:tc>
        <w:tc>
          <w:tcPr>
            <w:tcW w:w="880" w:type="dxa"/>
            <w:vAlign w:val="bottom"/>
            <w:gridSpan w:val="2"/>
          </w:tcPr>
          <w:p>
            <w:pPr>
              <w:jc w:val="center"/>
              <w:ind w:right="200"/>
              <w:spacing w:after="0" w:line="60" w:lineRule="exact"/>
              <w:rPr>
                <w:sz w:val="20"/>
                <w:szCs w:val="20"/>
                <w:color w:val="auto"/>
              </w:rPr>
            </w:pPr>
            <w:r>
              <w:rPr>
                <w:rFonts w:ascii="Arial" w:cs="Arial" w:eastAsia="Arial" w:hAnsi="Arial"/>
                <w:sz w:val="6"/>
                <w:szCs w:val="6"/>
                <w:b w:val="1"/>
                <w:bCs w:val="1"/>
                <w:color w:val="auto"/>
              </w:rPr>
              <w:t>Amortized</w:t>
            </w:r>
          </w:p>
        </w:tc>
        <w:tc>
          <w:tcPr>
            <w:tcW w:w="100" w:type="dxa"/>
            <w:vAlign w:val="bottom"/>
          </w:tcPr>
          <w:p>
            <w:pPr>
              <w:spacing w:after="0"/>
              <w:rPr>
                <w:sz w:val="5"/>
                <w:szCs w:val="5"/>
                <w:color w:val="auto"/>
              </w:rPr>
            </w:pPr>
          </w:p>
        </w:tc>
        <w:tc>
          <w:tcPr>
            <w:tcW w:w="920" w:type="dxa"/>
            <w:vAlign w:val="bottom"/>
            <w:gridSpan w:val="2"/>
          </w:tcPr>
          <w:p>
            <w:pPr>
              <w:spacing w:after="0" w:line="60" w:lineRule="exact"/>
              <w:rPr>
                <w:sz w:val="20"/>
                <w:szCs w:val="20"/>
                <w:color w:val="auto"/>
              </w:rPr>
            </w:pPr>
            <w:r>
              <w:rPr>
                <w:rFonts w:ascii="Arial" w:cs="Arial" w:eastAsia="Arial" w:hAnsi="Arial"/>
                <w:sz w:val="6"/>
                <w:szCs w:val="6"/>
                <w:b w:val="1"/>
                <w:bCs w:val="1"/>
                <w:color w:val="auto"/>
              </w:rPr>
              <w:t>Allowance for</w:t>
            </w:r>
          </w:p>
        </w:tc>
        <w:tc>
          <w:tcPr>
            <w:tcW w:w="1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jc w:val="center"/>
              <w:ind w:right="34"/>
              <w:spacing w:after="0" w:line="60" w:lineRule="exact"/>
              <w:rPr>
                <w:sz w:val="20"/>
                <w:szCs w:val="20"/>
                <w:color w:val="auto"/>
              </w:rPr>
            </w:pPr>
            <w:r>
              <w:rPr>
                <w:rFonts w:ascii="Arial" w:cs="Arial" w:eastAsia="Arial" w:hAnsi="Arial"/>
                <w:sz w:val="6"/>
                <w:szCs w:val="6"/>
                <w:b w:val="1"/>
                <w:bCs w:val="1"/>
                <w:color w:val="auto"/>
              </w:rPr>
              <w:t>Fair</w:t>
            </w:r>
          </w:p>
        </w:tc>
      </w:tr>
      <w:tr>
        <w:trPr>
          <w:trHeight w:val="179"/>
        </w:trPr>
        <w:tc>
          <w:tcPr>
            <w:tcW w:w="2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89"/>
              </w:rPr>
              <w:t>Cost</w:t>
            </w: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Credit Losses</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Gains</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Losses</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87"/>
              </w:rPr>
              <w:t>Value</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89"/>
              </w:rPr>
              <w:t>Cost</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Credit Losses</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Gains</w:t>
            </w: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Losses</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4"/>
              <w:spacing w:after="0"/>
              <w:rPr>
                <w:sz w:val="20"/>
                <w:szCs w:val="20"/>
                <w:color w:val="auto"/>
              </w:rPr>
            </w:pPr>
            <w:r>
              <w:rPr>
                <w:rFonts w:ascii="Arial" w:cs="Arial" w:eastAsia="Arial" w:hAnsi="Arial"/>
                <w:sz w:val="12"/>
                <w:szCs w:val="12"/>
                <w:b w:val="1"/>
                <w:bCs w:val="1"/>
                <w:color w:val="auto"/>
                <w:w w:val="93"/>
              </w:rPr>
              <w:t>Value</w:t>
            </w:r>
          </w:p>
        </w:tc>
      </w:tr>
      <w:tr>
        <w:trPr>
          <w:trHeight w:val="166"/>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ind w:left="460"/>
              <w:spacing w:after="0"/>
              <w:rPr>
                <w:sz w:val="20"/>
                <w:szCs w:val="20"/>
                <w:color w:val="auto"/>
              </w:rPr>
            </w:pPr>
            <w:r>
              <w:rPr>
                <w:rFonts w:ascii="Arial" w:cs="Arial" w:eastAsia="Arial" w:hAnsi="Arial"/>
                <w:sz w:val="12"/>
                <w:szCs w:val="12"/>
                <w:b w:val="1"/>
                <w:bCs w:val="1"/>
                <w:color w:val="auto"/>
              </w:rPr>
              <w:t>(In millions)</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5"/>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corporate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37,171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33,612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36,926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32,607</w:t>
            </w: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Foreign corporate</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12,465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1,638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10,883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12,471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1,932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10,576</w:t>
            </w:r>
          </w:p>
        </w:tc>
      </w:tr>
      <w:tr>
        <w:trPr>
          <w:trHeight w:val="208"/>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government and agency</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8,016</w:t>
            </w: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RMBS</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8,357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7,590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8,431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945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7,528</w:t>
            </w:r>
          </w:p>
        </w:tc>
      </w:tr>
      <w:tr>
        <w:trPr>
          <w:trHeight w:val="208"/>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6,611</w:t>
            </w:r>
          </w:p>
        </w:tc>
      </w:tr>
      <w:tr>
        <w:trPr>
          <w:trHeight w:val="189"/>
        </w:trPr>
        <w:tc>
          <w:tcPr>
            <w:tcW w:w="2320" w:type="dxa"/>
            <w:vAlign w:val="bottom"/>
          </w:tcPr>
          <w:p>
            <w:pPr>
              <w:ind w:left="20"/>
              <w:spacing w:after="0"/>
              <w:rPr>
                <w:sz w:val="20"/>
                <w:szCs w:val="20"/>
                <w:color w:val="auto"/>
              </w:rPr>
            </w:pPr>
            <w:r>
              <w:rPr>
                <w:rFonts w:ascii="Arial" w:cs="Arial" w:eastAsia="Arial" w:hAnsi="Arial"/>
                <w:sz w:val="14"/>
                <w:szCs w:val="14"/>
                <w:color w:val="auto"/>
              </w:rPr>
              <w:t>ABS</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5,835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5,596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5,652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5,359</w:t>
            </w:r>
          </w:p>
        </w:tc>
      </w:tr>
      <w:tr>
        <w:trPr>
          <w:trHeight w:val="208"/>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State and political subdivision</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3,799</w:t>
            </w:r>
          </w:p>
        </w:tc>
      </w:tr>
      <w:tr>
        <w:trPr>
          <w:trHeight w:val="192"/>
        </w:trPr>
        <w:tc>
          <w:tcPr>
            <w:tcW w:w="2320" w:type="dxa"/>
            <w:vAlign w:val="bottom"/>
          </w:tcPr>
          <w:p>
            <w:pPr>
              <w:ind w:left="20"/>
              <w:spacing w:after="0"/>
              <w:rPr>
                <w:sz w:val="20"/>
                <w:szCs w:val="20"/>
                <w:color w:val="auto"/>
              </w:rPr>
            </w:pPr>
            <w:r>
              <w:rPr>
                <w:rFonts w:ascii="Arial" w:cs="Arial" w:eastAsia="Arial" w:hAnsi="Arial"/>
                <w:sz w:val="14"/>
                <w:szCs w:val="14"/>
                <w:color w:val="auto"/>
              </w:rPr>
              <w:t>Foreign government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1,140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1,094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1,148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1,081</w:t>
            </w:r>
          </w:p>
        </w:tc>
      </w:tr>
      <w:tr>
        <w:trPr>
          <w:trHeight w:val="224"/>
        </w:trPr>
        <w:tc>
          <w:tcPr>
            <w:tcW w:w="2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fixed maturity securities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84,693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77,685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84,344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75,577</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The Company held non-income producing fixed maturity securities with an estimated fair value of $13 million at March 31, 2023. The Company did not hold non-income producing fixed maturity securities at December 31, 2022.</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Maturities of Fixed Maturity Securities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amortized cost and estimated fair value of fixed maturity securities, by contractual maturity date, were as follows at March 31,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vMerge w:val="restart"/>
          </w:tcPr>
          <w:p>
            <w:pPr>
              <w:jc w:val="right"/>
              <w:ind w:right="285"/>
              <w:spacing w:after="0"/>
              <w:rPr>
                <w:sz w:val="20"/>
                <w:szCs w:val="20"/>
                <w:color w:val="auto"/>
              </w:rPr>
            </w:pPr>
            <w:r>
              <w:rPr>
                <w:rFonts w:ascii="Arial" w:cs="Arial" w:eastAsia="Arial" w:hAnsi="Arial"/>
                <w:sz w:val="14"/>
                <w:szCs w:val="14"/>
                <w:b w:val="1"/>
                <w:bCs w:val="1"/>
                <w:color w:val="auto"/>
              </w:rPr>
              <w:t>Due in One</w:t>
            </w:r>
          </w:p>
        </w:tc>
        <w:tc>
          <w:tcPr>
            <w:tcW w:w="240" w:type="dxa"/>
            <w:vAlign w:val="bottom"/>
          </w:tcPr>
          <w:p>
            <w:pPr>
              <w:spacing w:after="0"/>
              <w:rPr>
                <w:sz w:val="14"/>
                <w:szCs w:val="14"/>
                <w:color w:val="auto"/>
              </w:rPr>
            </w:pPr>
          </w:p>
        </w:tc>
        <w:tc>
          <w:tcPr>
            <w:tcW w:w="1180" w:type="dxa"/>
            <w:vAlign w:val="bottom"/>
          </w:tcPr>
          <w:p>
            <w:pPr>
              <w:jc w:val="center"/>
              <w:ind w:right="106"/>
              <w:spacing w:after="0"/>
              <w:rPr>
                <w:sz w:val="20"/>
                <w:szCs w:val="20"/>
                <w:color w:val="auto"/>
              </w:rPr>
            </w:pPr>
            <w:r>
              <w:rPr>
                <w:rFonts w:ascii="Arial" w:cs="Arial" w:eastAsia="Arial" w:hAnsi="Arial"/>
                <w:sz w:val="14"/>
                <w:szCs w:val="14"/>
                <w:b w:val="1"/>
                <w:bCs w:val="1"/>
                <w:color w:val="auto"/>
                <w:w w:val="93"/>
              </w:rPr>
              <w:t>Due After One</w:t>
            </w:r>
          </w:p>
        </w:tc>
        <w:tc>
          <w:tcPr>
            <w:tcW w:w="240" w:type="dxa"/>
            <w:vAlign w:val="bottom"/>
          </w:tcPr>
          <w:p>
            <w:pPr>
              <w:spacing w:after="0"/>
              <w:rPr>
                <w:sz w:val="14"/>
                <w:szCs w:val="14"/>
                <w:color w:val="auto"/>
              </w:rPr>
            </w:pPr>
          </w:p>
        </w:tc>
        <w:tc>
          <w:tcPr>
            <w:tcW w:w="1180" w:type="dxa"/>
            <w:vAlign w:val="bottom"/>
          </w:tcPr>
          <w:p>
            <w:pPr>
              <w:jc w:val="center"/>
              <w:ind w:right="106"/>
              <w:spacing w:after="0"/>
              <w:rPr>
                <w:sz w:val="20"/>
                <w:szCs w:val="20"/>
                <w:color w:val="auto"/>
              </w:rPr>
            </w:pPr>
            <w:r>
              <w:rPr>
                <w:rFonts w:ascii="Arial" w:cs="Arial" w:eastAsia="Arial" w:hAnsi="Arial"/>
                <w:sz w:val="14"/>
                <w:szCs w:val="14"/>
                <w:b w:val="1"/>
                <w:bCs w:val="1"/>
                <w:color w:val="auto"/>
                <w:w w:val="92"/>
              </w:rPr>
              <w:t>Due After Five</w:t>
            </w:r>
          </w:p>
        </w:tc>
        <w:tc>
          <w:tcPr>
            <w:tcW w:w="240" w:type="dxa"/>
            <w:vAlign w:val="bottom"/>
          </w:tcPr>
          <w:p>
            <w:pPr>
              <w:spacing w:after="0"/>
              <w:rPr>
                <w:sz w:val="14"/>
                <w:szCs w:val="14"/>
                <w:color w:val="auto"/>
              </w:rPr>
            </w:pPr>
          </w:p>
        </w:tc>
        <w:tc>
          <w:tcPr>
            <w:tcW w:w="1180" w:type="dxa"/>
            <w:vAlign w:val="bottom"/>
            <w:vMerge w:val="restart"/>
          </w:tcPr>
          <w:p>
            <w:pPr>
              <w:jc w:val="right"/>
              <w:ind w:right="185"/>
              <w:spacing w:after="0"/>
              <w:rPr>
                <w:sz w:val="20"/>
                <w:szCs w:val="20"/>
                <w:color w:val="auto"/>
              </w:rPr>
            </w:pPr>
            <w:r>
              <w:rPr>
                <w:rFonts w:ascii="Arial" w:cs="Arial" w:eastAsia="Arial" w:hAnsi="Arial"/>
                <w:sz w:val="14"/>
                <w:szCs w:val="14"/>
                <w:b w:val="1"/>
                <w:bCs w:val="1"/>
                <w:color w:val="auto"/>
                <w:w w:val="98"/>
              </w:rPr>
              <w:t>Due After Ten</w:t>
            </w:r>
          </w:p>
        </w:tc>
        <w:tc>
          <w:tcPr>
            <w:tcW w:w="260" w:type="dxa"/>
            <w:vAlign w:val="bottom"/>
          </w:tcPr>
          <w:p>
            <w:pPr>
              <w:spacing w:after="0"/>
              <w:rPr>
                <w:sz w:val="14"/>
                <w:szCs w:val="14"/>
                <w:color w:val="auto"/>
              </w:rPr>
            </w:pPr>
          </w:p>
        </w:tc>
        <w:tc>
          <w:tcPr>
            <w:tcW w:w="1180" w:type="dxa"/>
            <w:vAlign w:val="bottom"/>
            <w:vMerge w:val="restart"/>
          </w:tcPr>
          <w:p>
            <w:pPr>
              <w:jc w:val="right"/>
              <w:ind w:right="285"/>
              <w:spacing w:after="0"/>
              <w:rPr>
                <w:sz w:val="20"/>
                <w:szCs w:val="20"/>
                <w:color w:val="auto"/>
              </w:rPr>
            </w:pPr>
            <w:r>
              <w:rPr>
                <w:rFonts w:ascii="Arial" w:cs="Arial" w:eastAsia="Arial" w:hAnsi="Arial"/>
                <w:sz w:val="14"/>
                <w:szCs w:val="14"/>
                <w:b w:val="1"/>
                <w:bCs w:val="1"/>
                <w:color w:val="auto"/>
              </w:rPr>
              <w:t>Structured</w:t>
            </w:r>
          </w:p>
        </w:tc>
        <w:tc>
          <w:tcPr>
            <w:tcW w:w="300" w:type="dxa"/>
            <w:vAlign w:val="bottom"/>
          </w:tcPr>
          <w:p>
            <w:pPr>
              <w:spacing w:after="0"/>
              <w:rPr>
                <w:sz w:val="14"/>
                <w:szCs w:val="14"/>
                <w:color w:val="auto"/>
              </w:rPr>
            </w:pPr>
          </w:p>
        </w:tc>
        <w:tc>
          <w:tcPr>
            <w:tcW w:w="1120" w:type="dxa"/>
            <w:vAlign w:val="bottom"/>
          </w:tcPr>
          <w:p>
            <w:pPr>
              <w:jc w:val="center"/>
              <w:ind w:right="126"/>
              <w:spacing w:after="0"/>
              <w:rPr>
                <w:sz w:val="20"/>
                <w:szCs w:val="20"/>
                <w:color w:val="auto"/>
              </w:rPr>
            </w:pPr>
            <w:r>
              <w:rPr>
                <w:rFonts w:ascii="Arial" w:cs="Arial" w:eastAsia="Arial" w:hAnsi="Arial"/>
                <w:sz w:val="14"/>
                <w:szCs w:val="14"/>
                <w:b w:val="1"/>
                <w:bCs w:val="1"/>
                <w:color w:val="auto"/>
                <w:w w:val="91"/>
              </w:rPr>
              <w:t>Total Fixed</w:t>
            </w:r>
          </w:p>
        </w:tc>
        <w:tc>
          <w:tcPr>
            <w:tcW w:w="0" w:type="dxa"/>
            <w:vAlign w:val="bottom"/>
          </w:tcPr>
          <w:p>
            <w:pPr>
              <w:spacing w:after="0"/>
              <w:rPr>
                <w:sz w:val="1"/>
                <w:szCs w:val="1"/>
                <w:color w:val="auto"/>
              </w:rPr>
            </w:pPr>
          </w:p>
        </w:tc>
      </w:tr>
      <w:tr>
        <w:trPr>
          <w:trHeight w:val="146"/>
        </w:trPr>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106"/>
              <w:spacing w:after="0" w:line="146" w:lineRule="exact"/>
              <w:rPr>
                <w:sz w:val="20"/>
                <w:szCs w:val="20"/>
                <w:color w:val="auto"/>
              </w:rPr>
            </w:pPr>
            <w:r>
              <w:rPr>
                <w:rFonts w:ascii="Arial" w:cs="Arial" w:eastAsia="Arial" w:hAnsi="Arial"/>
                <w:sz w:val="14"/>
                <w:szCs w:val="14"/>
                <w:b w:val="1"/>
                <w:bCs w:val="1"/>
                <w:color w:val="auto"/>
                <w:w w:val="92"/>
              </w:rPr>
              <w:t>Year Through</w:t>
            </w:r>
          </w:p>
        </w:tc>
        <w:tc>
          <w:tcPr>
            <w:tcW w:w="240" w:type="dxa"/>
            <w:vAlign w:val="bottom"/>
          </w:tcPr>
          <w:p>
            <w:pPr>
              <w:spacing w:after="0"/>
              <w:rPr>
                <w:sz w:val="12"/>
                <w:szCs w:val="12"/>
                <w:color w:val="auto"/>
              </w:rPr>
            </w:pPr>
          </w:p>
        </w:tc>
        <w:tc>
          <w:tcPr>
            <w:tcW w:w="1180" w:type="dxa"/>
            <w:vAlign w:val="bottom"/>
          </w:tcPr>
          <w:p>
            <w:pPr>
              <w:jc w:val="center"/>
              <w:ind w:right="106"/>
              <w:spacing w:after="0" w:line="146" w:lineRule="exact"/>
              <w:rPr>
                <w:sz w:val="20"/>
                <w:szCs w:val="20"/>
                <w:color w:val="auto"/>
              </w:rPr>
            </w:pPr>
            <w:r>
              <w:rPr>
                <w:rFonts w:ascii="Arial" w:cs="Arial" w:eastAsia="Arial" w:hAnsi="Arial"/>
                <w:sz w:val="14"/>
                <w:szCs w:val="14"/>
                <w:b w:val="1"/>
                <w:bCs w:val="1"/>
                <w:color w:val="auto"/>
                <w:w w:val="93"/>
              </w:rPr>
              <w:t>Years Through</w:t>
            </w: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ind w:right="146"/>
              <w:spacing w:after="0" w:line="146" w:lineRule="exact"/>
              <w:rPr>
                <w:sz w:val="20"/>
                <w:szCs w:val="20"/>
                <w:color w:val="auto"/>
              </w:rPr>
            </w:pPr>
            <w:r>
              <w:rPr>
                <w:rFonts w:ascii="Arial" w:cs="Arial" w:eastAsia="Arial" w:hAnsi="Arial"/>
                <w:sz w:val="14"/>
                <w:szCs w:val="14"/>
                <w:b w:val="1"/>
                <w:bCs w:val="1"/>
                <w:color w:val="auto"/>
                <w:w w:val="99"/>
              </w:rPr>
              <w:t>Maturity</w:t>
            </w:r>
          </w:p>
        </w:tc>
        <w:tc>
          <w:tcPr>
            <w:tcW w:w="0" w:type="dxa"/>
            <w:vAlign w:val="bottom"/>
          </w:tcPr>
          <w:p>
            <w:pPr>
              <w:spacing w:after="0"/>
              <w:rPr>
                <w:sz w:val="1"/>
                <w:szCs w:val="1"/>
                <w:color w:val="auto"/>
              </w:rPr>
            </w:pPr>
          </w:p>
        </w:tc>
      </w:tr>
      <w:tr>
        <w:trPr>
          <w:trHeight w:val="192"/>
        </w:trPr>
        <w:tc>
          <w:tcPr>
            <w:tcW w:w="27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w w:val="97"/>
              </w:rPr>
              <w:t>Year or Less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w w:val="91"/>
              </w:rPr>
              <w:t>Five Years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w w:val="89"/>
              </w:rPr>
              <w:t>Ten Years</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Years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25"/>
              <w:spacing w:after="0"/>
              <w:rPr>
                <w:sz w:val="20"/>
                <w:szCs w:val="20"/>
                <w:color w:val="auto"/>
              </w:rPr>
            </w:pPr>
            <w:r>
              <w:rPr>
                <w:rFonts w:ascii="Arial" w:cs="Arial" w:eastAsia="Arial" w:hAnsi="Arial"/>
                <w:sz w:val="14"/>
                <w:szCs w:val="14"/>
                <w:b w:val="1"/>
                <w:bCs w:val="1"/>
                <w:color w:val="auto"/>
                <w:w w:val="97"/>
              </w:rPr>
              <w:t>Securities (1)</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6"/>
              <w:spacing w:after="0"/>
              <w:rPr>
                <w:sz w:val="20"/>
                <w:szCs w:val="20"/>
                <w:color w:val="auto"/>
              </w:rPr>
            </w:pPr>
            <w:r>
              <w:rPr>
                <w:rFonts w:ascii="Arial" w:cs="Arial" w:eastAsia="Arial" w:hAnsi="Arial"/>
                <w:sz w:val="14"/>
                <w:szCs w:val="14"/>
                <w:b w:val="1"/>
                <w:bCs w:val="1"/>
                <w:color w:val="auto"/>
                <w:w w:val="86"/>
              </w:rPr>
              <w:t>Securities</w:t>
            </w:r>
          </w:p>
        </w:tc>
        <w:tc>
          <w:tcPr>
            <w:tcW w:w="0" w:type="dxa"/>
            <w:vAlign w:val="bottom"/>
          </w:tcPr>
          <w:p>
            <w:pPr>
              <w:spacing w:after="0"/>
              <w:rPr>
                <w:sz w:val="1"/>
                <w:szCs w:val="1"/>
                <w:color w:val="auto"/>
              </w:rPr>
            </w:pPr>
          </w:p>
        </w:tc>
      </w:tr>
      <w:tr>
        <w:trPr>
          <w:trHeight w:val="191"/>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3"/>
          </w:tcPr>
          <w:p>
            <w:pPr>
              <w:jc w:val="right"/>
              <w:ind w:right="925"/>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Amortized cost</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1,556</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14,307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16,379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30,916</w:t>
            </w:r>
          </w:p>
        </w:tc>
        <w:tc>
          <w:tcPr>
            <w:tcW w:w="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21,535</w:t>
            </w:r>
          </w:p>
        </w:tc>
        <w:tc>
          <w:tcPr>
            <w:tcW w:w="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84,693</w:t>
            </w:r>
          </w:p>
        </w:tc>
        <w:tc>
          <w:tcPr>
            <w:tcW w:w="0" w:type="dxa"/>
            <w:vAlign w:val="bottom"/>
          </w:tcPr>
          <w:p>
            <w:pPr>
              <w:spacing w:after="0"/>
              <w:rPr>
                <w:sz w:val="1"/>
                <w:szCs w:val="1"/>
                <w:color w:val="auto"/>
              </w:rPr>
            </w:pPr>
          </w:p>
        </w:tc>
      </w:tr>
      <w:tr>
        <w:trPr>
          <w:trHeight w:val="207"/>
        </w:trPr>
        <w:tc>
          <w:tcPr>
            <w:tcW w:w="2780" w:type="dxa"/>
            <w:vAlign w:val="bottom"/>
          </w:tcPr>
          <w:p>
            <w:pPr>
              <w:ind w:left="20"/>
              <w:spacing w:after="0"/>
              <w:rPr>
                <w:sz w:val="20"/>
                <w:szCs w:val="20"/>
                <w:color w:val="auto"/>
              </w:rPr>
            </w:pPr>
            <w:r>
              <w:rPr>
                <w:rFonts w:ascii="Arial" w:cs="Arial" w:eastAsia="Arial" w:hAnsi="Arial"/>
                <w:sz w:val="16"/>
                <w:szCs w:val="16"/>
                <w:color w:val="auto"/>
              </w:rPr>
              <w:t>Estimated fair value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5"/>
              <w:spacing w:after="0"/>
              <w:rPr>
                <w:sz w:val="20"/>
                <w:szCs w:val="20"/>
                <w:color w:val="auto"/>
              </w:rPr>
            </w:pPr>
            <w:r>
              <w:rPr>
                <w:rFonts w:ascii="Arial" w:cs="Arial" w:eastAsia="Arial" w:hAnsi="Arial"/>
                <w:sz w:val="16"/>
                <w:szCs w:val="16"/>
                <w:color w:val="auto"/>
              </w:rPr>
              <w:t>1,528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6"/>
              <w:spacing w:after="0"/>
              <w:rPr>
                <w:sz w:val="20"/>
                <w:szCs w:val="20"/>
                <w:color w:val="auto"/>
              </w:rPr>
            </w:pPr>
            <w:r>
              <w:rPr>
                <w:rFonts w:ascii="Arial" w:cs="Arial" w:eastAsia="Arial" w:hAnsi="Arial"/>
                <w:sz w:val="16"/>
                <w:szCs w:val="16"/>
                <w:color w:val="auto"/>
              </w:rPr>
              <w:t>13,669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6"/>
              <w:spacing w:after="0"/>
              <w:rPr>
                <w:sz w:val="20"/>
                <w:szCs w:val="20"/>
                <w:color w:val="auto"/>
              </w:rPr>
            </w:pPr>
            <w:r>
              <w:rPr>
                <w:rFonts w:ascii="Arial" w:cs="Arial" w:eastAsia="Arial" w:hAnsi="Arial"/>
                <w:sz w:val="16"/>
                <w:szCs w:val="16"/>
                <w:color w:val="auto"/>
              </w:rPr>
              <w:t>14,794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5"/>
              <w:spacing w:after="0"/>
              <w:rPr>
                <w:sz w:val="20"/>
                <w:szCs w:val="20"/>
                <w:color w:val="auto"/>
              </w:rPr>
            </w:pPr>
            <w:r>
              <w:rPr>
                <w:rFonts w:ascii="Arial" w:cs="Arial" w:eastAsia="Arial" w:hAnsi="Arial"/>
                <w:sz w:val="16"/>
                <w:szCs w:val="16"/>
                <w:color w:val="auto"/>
              </w:rPr>
              <w:t>27,834</w:t>
            </w:r>
          </w:p>
        </w:tc>
        <w:tc>
          <w:tcPr>
            <w:tcW w:w="2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19,860</w:t>
            </w:r>
          </w:p>
        </w:tc>
        <w:tc>
          <w:tcPr>
            <w:tcW w:w="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77,685</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23" w:lineRule="exact"/>
        <w:rPr>
          <w:sz w:val="20"/>
          <w:szCs w:val="20"/>
          <w:color w:val="auto"/>
        </w:rPr>
      </w:pPr>
    </w:p>
    <w:p>
      <w:pPr>
        <w:ind w:left="320" w:hanging="314"/>
        <w:spacing w:after="0" w:line="264" w:lineRule="auto"/>
        <w:tabs>
          <w:tab w:leader="none" w:pos="3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Structured securities include residential mortgage-backed securities (“RMBS”), commercial mortgage-backed securities (“CMBS”) and asset-backed securities (“ABS”) (collectively, “Structured Securities”).</w:t>
      </w:r>
    </w:p>
    <w:p>
      <w:pPr>
        <w:spacing w:after="0" w:line="75"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200" w:lineRule="exact"/>
        <w:rPr>
          <w:sz w:val="20"/>
          <w:szCs w:val="20"/>
          <w:color w:val="auto"/>
        </w:rPr>
      </w:pPr>
    </w:p>
    <w:p>
      <w:pPr>
        <w:spacing w:after="0" w:line="3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Continuous Gross Unrealized Losses for Fixed Maturity Securities by Sector</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The estimated fair value and gross unrealized losses of fixed maturity securities in an unrealized loss position, by sector and by length of time that the securities have been in a continuous unrealized loss position, were as follows at: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4"/>
          </w:tcPr>
          <w:p>
            <w:pPr>
              <w:jc w:val="right"/>
              <w:ind w:right="429"/>
              <w:spacing w:after="0"/>
              <w:rPr>
                <w:sz w:val="20"/>
                <w:szCs w:val="20"/>
                <w:color w:val="auto"/>
              </w:rPr>
            </w:pPr>
            <w:r>
              <w:rPr>
                <w:rFonts w:ascii="Arial" w:cs="Arial" w:eastAsia="Arial" w:hAnsi="Arial"/>
                <w:sz w:val="14"/>
                <w:szCs w:val="14"/>
                <w:b w:val="1"/>
                <w:bCs w:val="1"/>
                <w:color w:val="auto"/>
              </w:rPr>
              <w:t>March 31, 2023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4"/>
          </w:tcPr>
          <w:p>
            <w:pPr>
              <w:jc w:val="right"/>
              <w:ind w:right="329"/>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gridSpan w:val="5"/>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gridSpan w:val="5"/>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gridSpan w:val="5"/>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gridSpan w:val="4"/>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8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Less than 12 Months</w:t>
            </w:r>
          </w:p>
        </w:tc>
        <w:tc>
          <w:tcPr>
            <w:tcW w:w="140" w:type="dxa"/>
            <w:vAlign w:val="bottom"/>
            <w:tcBorders>
              <w:top w:val="single" w:sz="8" w:color="auto"/>
            </w:tcBorders>
          </w:tcPr>
          <w:p>
            <w:pPr>
              <w:spacing w:after="0"/>
              <w:rPr>
                <w:sz w:val="16"/>
                <w:szCs w:val="16"/>
                <w:color w:val="auto"/>
              </w:rPr>
            </w:pPr>
          </w:p>
        </w:tc>
        <w:tc>
          <w:tcPr>
            <w:tcW w:w="1900" w:type="dxa"/>
            <w:vAlign w:val="bottom"/>
            <w:tcBorders>
              <w:top w:val="single" w:sz="8" w:color="auto"/>
            </w:tcBorders>
            <w:gridSpan w:val="4"/>
          </w:tcPr>
          <w:p>
            <w:pPr>
              <w:jc w:val="right"/>
              <w:ind w:right="289"/>
              <w:spacing w:after="0"/>
              <w:rPr>
                <w:sz w:val="20"/>
                <w:szCs w:val="20"/>
                <w:color w:val="auto"/>
              </w:rPr>
            </w:pPr>
            <w:r>
              <w:rPr>
                <w:rFonts w:ascii="Arial" w:cs="Arial" w:eastAsia="Arial" w:hAnsi="Arial"/>
                <w:sz w:val="14"/>
                <w:szCs w:val="14"/>
                <w:b w:val="1"/>
                <w:bCs w:val="1"/>
                <w:color w:val="auto"/>
              </w:rPr>
              <w:t>12 Months or Greater</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gridSpan w:val="4"/>
          </w:tcPr>
          <w:p>
            <w:pPr>
              <w:jc w:val="right"/>
              <w:ind w:right="289"/>
              <w:spacing w:after="0"/>
              <w:rPr>
                <w:sz w:val="20"/>
                <w:szCs w:val="20"/>
                <w:color w:val="auto"/>
              </w:rPr>
            </w:pPr>
            <w:r>
              <w:rPr>
                <w:rFonts w:ascii="Arial" w:cs="Arial" w:eastAsia="Arial" w:hAnsi="Arial"/>
                <w:sz w:val="14"/>
                <w:szCs w:val="14"/>
                <w:b w:val="1"/>
                <w:bCs w:val="1"/>
                <w:color w:val="auto"/>
              </w:rPr>
              <w:t>12 Months or Greater</w:t>
            </w:r>
          </w:p>
        </w:tc>
        <w:tc>
          <w:tcPr>
            <w:tcW w:w="0" w:type="dxa"/>
            <w:vAlign w:val="bottom"/>
          </w:tcPr>
          <w:p>
            <w:pPr>
              <w:spacing w:after="0"/>
              <w:rPr>
                <w:sz w:val="1"/>
                <w:szCs w:val="1"/>
                <w:color w:val="auto"/>
              </w:rPr>
            </w:pPr>
          </w:p>
        </w:tc>
      </w:tr>
      <w:tr>
        <w:trPr>
          <w:trHeight w:val="136"/>
        </w:trPr>
        <w:tc>
          <w:tcPr>
            <w:tcW w:w="28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49"/>
              <w:spacing w:after="0" w:line="137" w:lineRule="exact"/>
              <w:rPr>
                <w:sz w:val="20"/>
                <w:szCs w:val="20"/>
                <w:color w:val="auto"/>
              </w:rPr>
            </w:pPr>
            <w:r>
              <w:rPr>
                <w:rFonts w:ascii="Arial" w:cs="Arial" w:eastAsia="Arial" w:hAnsi="Arial"/>
                <w:sz w:val="14"/>
                <w:szCs w:val="14"/>
                <w:b w:val="1"/>
                <w:bCs w:val="1"/>
                <w:color w:val="auto"/>
                <w:w w:val="89"/>
              </w:rPr>
              <w:t>Estimated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9"/>
              <w:spacing w:after="0" w:line="137"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49"/>
              <w:spacing w:after="0" w:line="137" w:lineRule="exact"/>
              <w:rPr>
                <w:sz w:val="20"/>
                <w:szCs w:val="20"/>
                <w:color w:val="auto"/>
              </w:rPr>
            </w:pPr>
            <w:r>
              <w:rPr>
                <w:rFonts w:ascii="Arial" w:cs="Arial" w:eastAsia="Arial" w:hAnsi="Arial"/>
                <w:sz w:val="14"/>
                <w:szCs w:val="14"/>
                <w:b w:val="1"/>
                <w:bCs w:val="1"/>
                <w:color w:val="auto"/>
                <w:w w:val="89"/>
              </w:rPr>
              <w:t>Estimated</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9"/>
              <w:spacing w:after="0" w:line="137"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29"/>
              <w:spacing w:after="0" w:line="137" w:lineRule="exact"/>
              <w:rPr>
                <w:sz w:val="20"/>
                <w:szCs w:val="20"/>
                <w:color w:val="auto"/>
              </w:rPr>
            </w:pPr>
            <w:r>
              <w:rPr>
                <w:rFonts w:ascii="Arial" w:cs="Arial" w:eastAsia="Arial" w:hAnsi="Arial"/>
                <w:sz w:val="14"/>
                <w:szCs w:val="14"/>
                <w:b w:val="1"/>
                <w:bCs w:val="1"/>
                <w:color w:val="auto"/>
                <w:w w:val="92"/>
              </w:rPr>
              <w:t>Estimated</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9"/>
              <w:spacing w:after="0" w:line="137"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ind w:right="49"/>
              <w:spacing w:after="0" w:line="137" w:lineRule="exact"/>
              <w:rPr>
                <w:sz w:val="20"/>
                <w:szCs w:val="20"/>
                <w:color w:val="auto"/>
              </w:rPr>
            </w:pPr>
            <w:r>
              <w:rPr>
                <w:rFonts w:ascii="Arial" w:cs="Arial" w:eastAsia="Arial" w:hAnsi="Arial"/>
                <w:sz w:val="14"/>
                <w:szCs w:val="14"/>
                <w:b w:val="1"/>
                <w:bCs w:val="1"/>
                <w:color w:val="auto"/>
                <w:w w:val="92"/>
              </w:rPr>
              <w:t>Estimated</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49"/>
              <w:spacing w:after="0" w:line="137" w:lineRule="exact"/>
              <w:rPr>
                <w:sz w:val="20"/>
                <w:szCs w:val="20"/>
                <w:color w:val="auto"/>
              </w:rPr>
            </w:pPr>
            <w:r>
              <w:rPr>
                <w:rFonts w:ascii="Arial" w:cs="Arial" w:eastAsia="Arial" w:hAnsi="Arial"/>
                <w:sz w:val="14"/>
                <w:szCs w:val="14"/>
                <w:b w:val="1"/>
                <w:bCs w:val="1"/>
                <w:color w:val="auto"/>
                <w:w w:val="83"/>
              </w:rPr>
              <w:t>Gross</w:t>
            </w: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69"/>
              <w:spacing w:after="0" w:line="142"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800" w:type="dxa"/>
            <w:vAlign w:val="bottom"/>
          </w:tcPr>
          <w:p>
            <w:pPr>
              <w:jc w:val="center"/>
              <w:ind w:right="69"/>
              <w:spacing w:after="0" w:line="142"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800" w:type="dxa"/>
            <w:vAlign w:val="bottom"/>
          </w:tcPr>
          <w:p>
            <w:pPr>
              <w:jc w:val="center"/>
              <w:ind w:right="29"/>
              <w:spacing w:after="0" w:line="142"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820" w:type="dxa"/>
            <w:vAlign w:val="bottom"/>
          </w:tcPr>
          <w:p>
            <w:pPr>
              <w:jc w:val="center"/>
              <w:ind w:right="49"/>
              <w:spacing w:after="0" w:line="142"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49"/>
              <w:spacing w:after="0" w:line="142"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78"/>
              </w:rPr>
              <w:t>Losses</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91"/>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4"/>
          </w:tcPr>
          <w:p>
            <w:pPr>
              <w:jc w:val="right"/>
              <w:ind w:right="289"/>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corporate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15,735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w:t>
            </w:r>
          </w:p>
        </w:tc>
        <w:tc>
          <w:tcPr>
            <w:tcW w:w="0" w:type="dxa"/>
            <w:vAlign w:val="bottom"/>
          </w:tcPr>
          <w:p>
            <w:pPr>
              <w:spacing w:after="0"/>
              <w:rPr>
                <w:sz w:val="1"/>
                <w:szCs w:val="1"/>
                <w:color w:val="auto"/>
              </w:rPr>
            </w:pPr>
          </w:p>
        </w:tc>
      </w:tr>
      <w:tr>
        <w:trPr>
          <w:trHeight w:val="189"/>
        </w:trPr>
        <w:tc>
          <w:tcPr>
            <w:tcW w:w="2840" w:type="dxa"/>
            <w:vAlign w:val="bottom"/>
          </w:tcPr>
          <w:p>
            <w:pPr>
              <w:ind w:left="20"/>
              <w:spacing w:after="0"/>
              <w:rPr>
                <w:sz w:val="20"/>
                <w:szCs w:val="20"/>
                <w:color w:val="auto"/>
              </w:rPr>
            </w:pPr>
            <w:r>
              <w:rPr>
                <w:rFonts w:ascii="Arial" w:cs="Arial" w:eastAsia="Arial" w:hAnsi="Arial"/>
                <w:sz w:val="14"/>
                <w:szCs w:val="14"/>
                <w:color w:val="auto"/>
              </w:rPr>
              <w:t>Foreign corporate</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8,260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519</w:t>
            </w:r>
          </w:p>
        </w:tc>
        <w:tc>
          <w:tcPr>
            <w:tcW w:w="0" w:type="dxa"/>
            <w:vAlign w:val="bottom"/>
          </w:tcPr>
          <w:p>
            <w:pPr>
              <w:spacing w:after="0"/>
              <w:rPr>
                <w:sz w:val="1"/>
                <w:szCs w:val="1"/>
                <w:color w:val="auto"/>
              </w:rPr>
            </w:pPr>
          </w:p>
        </w:tc>
      </w:tr>
      <w:tr>
        <w:trPr>
          <w:trHeight w:val="208"/>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government and agency</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89"/>
        </w:trPr>
        <w:tc>
          <w:tcPr>
            <w:tcW w:w="2840" w:type="dxa"/>
            <w:vAlign w:val="bottom"/>
          </w:tcPr>
          <w:p>
            <w:pPr>
              <w:ind w:left="20"/>
              <w:spacing w:after="0"/>
              <w:rPr>
                <w:sz w:val="20"/>
                <w:szCs w:val="20"/>
                <w:color w:val="auto"/>
              </w:rPr>
            </w:pPr>
            <w:r>
              <w:rPr>
                <w:rFonts w:ascii="Arial" w:cs="Arial" w:eastAsia="Arial" w:hAnsi="Arial"/>
                <w:sz w:val="14"/>
                <w:szCs w:val="14"/>
                <w:color w:val="auto"/>
              </w:rPr>
              <w:t>RMBS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3,942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208"/>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CMBS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89"/>
        </w:trPr>
        <w:tc>
          <w:tcPr>
            <w:tcW w:w="2840" w:type="dxa"/>
            <w:vAlign w:val="bottom"/>
          </w:tcPr>
          <w:p>
            <w:pPr>
              <w:ind w:left="20"/>
              <w:spacing w:after="0"/>
              <w:rPr>
                <w:sz w:val="20"/>
                <w:szCs w:val="20"/>
                <w:color w:val="auto"/>
              </w:rPr>
            </w:pPr>
            <w:r>
              <w:rPr>
                <w:rFonts w:ascii="Arial" w:cs="Arial" w:eastAsia="Arial" w:hAnsi="Arial"/>
                <w:sz w:val="14"/>
                <w:szCs w:val="14"/>
                <w:color w:val="auto"/>
              </w:rPr>
              <w:t>ABS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2,980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3,347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08"/>
        </w:trPr>
        <w:tc>
          <w:tcPr>
            <w:tcW w:w="2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State and political subdivision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government</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24"/>
        </w:trPr>
        <w:tc>
          <w:tcPr>
            <w:tcW w:w="2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fixed maturity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32,294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30,336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52,375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11,944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2,868</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vMerge w:val="restart"/>
          </w:tcPr>
          <w:p>
            <w:pPr>
              <w:ind w:left="180"/>
              <w:spacing w:after="0" w:line="127" w:lineRule="exact"/>
              <w:rPr>
                <w:sz w:val="20"/>
                <w:szCs w:val="20"/>
                <w:color w:val="auto"/>
              </w:rPr>
            </w:pPr>
            <w:r>
              <w:rPr>
                <w:rFonts w:ascii="Arial" w:cs="Arial" w:eastAsia="Arial" w:hAnsi="Arial"/>
                <w:sz w:val="14"/>
                <w:szCs w:val="14"/>
                <w:color w:val="auto"/>
              </w:rPr>
              <w:t>Total number of securities in an unrealized</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28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4,595</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4,746</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7,309</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2,049</w:t>
            </w: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840" w:type="dxa"/>
            <w:vAlign w:val="bottom"/>
          </w:tcPr>
          <w:p>
            <w:pPr>
              <w:ind w:left="340"/>
              <w:spacing w:after="0"/>
              <w:rPr>
                <w:sz w:val="20"/>
                <w:szCs w:val="20"/>
                <w:color w:val="auto"/>
              </w:rPr>
            </w:pPr>
            <w:r>
              <w:rPr>
                <w:rFonts w:ascii="Arial" w:cs="Arial" w:eastAsia="Arial" w:hAnsi="Arial"/>
                <w:sz w:val="14"/>
                <w:szCs w:val="14"/>
                <w:color w:val="auto"/>
              </w:rPr>
              <w:t>loss position</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Allowance for Credit Losses for Fixed Maturity Securities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Evaluation and Measurement Methodologies</w:t>
      </w:r>
    </w:p>
    <w:p>
      <w:pPr>
        <w:spacing w:after="0" w:line="111" w:lineRule="exact"/>
        <w:rPr>
          <w:sz w:val="20"/>
          <w:szCs w:val="20"/>
          <w:color w:val="auto"/>
        </w:rPr>
      </w:pPr>
    </w:p>
    <w:p>
      <w:pPr>
        <w:jc w:val="both"/>
        <w:ind w:left="320" w:firstLine="318"/>
        <w:spacing w:after="0" w:line="301" w:lineRule="auto"/>
        <w:rPr>
          <w:sz w:val="20"/>
          <w:szCs w:val="20"/>
          <w:color w:val="auto"/>
        </w:rPr>
      </w:pPr>
      <w:r>
        <w:rPr>
          <w:rFonts w:ascii="Arial" w:cs="Arial" w:eastAsia="Arial" w:hAnsi="Arial"/>
          <w:sz w:val="15"/>
          <w:szCs w:val="15"/>
          <w:color w:val="auto"/>
        </w:rPr>
        <w:t>For fixed maturity securities in an unrealized loss position, management first assesses whether the Company intends to sell, or whether it is more likely than not it will be required to sell the security before recovery of its amortized cost basis. If either of the criteria regarding intent or requirement to sell is met, the security’s amortized cost basis is written down to estimated fair value through net investment gains (losses). For fixed maturity securities that do not meet the aforementioned criteria, management evaluates whether the decline in estimated fair value has resulted from credit losses or other factors. Inherent in management’s evaluation of the security are assumptions and estimates about the operations of the issuer and its future earnings potential. Considerations used in the allowance for credit loss evaluation process include, but are not limited to: (i) the extent to which estimated fair value is less than amortized cost; (ii) any changes to the rating of the security by a rating agency; (iii) adverse conditions specifically related to the security, industry or geographic area; and (iv) payment structure of the fixed maturity security and the likelihood of the issuer being able to make payments in the future or the issuer’s failure to make scheduled interest and principal payments.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is deemed to exist and an allowance for credit losses is recorded, limited by the amount that the estimated fair value is less than the amortized cost basis, with a corresponding charge to net investment gains (losses). Any unrealized losses that have not been recorded through an allowance for credit losses are recognized in OCI.</w:t>
      </w:r>
    </w:p>
    <w:p>
      <w:pPr>
        <w:spacing w:after="0" w:line="266"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w:t>
      </w:r>
    </w:p>
    <w:p>
      <w:pPr>
        <w:spacing w:after="0" w:line="82"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w:t>
      </w:r>
    </w:p>
    <w:p>
      <w:pPr>
        <w:spacing w:after="0" w:line="82"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Accrued interest receivables are presented separate from the amortized cost basis of fixed maturity securities. An allowance for credit losses is not estimated on an accrued interest receivable, rather receivable balances 90-days past due are deemed uncollectible and are written off with a corresponding reduction to net investment income. The accrued interest receivable on fixed maturity securities totaled $656 million and $602 million at March 31, 2023 and December 31, 2022, respectively, and is included in accrued investment income.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200" w:lineRule="exact"/>
        <w:rPr>
          <w:sz w:val="20"/>
          <w:szCs w:val="20"/>
          <w:color w:val="auto"/>
        </w:rPr>
      </w:pPr>
    </w:p>
    <w:p>
      <w:pPr>
        <w:spacing w:after="0" w:line="368" w:lineRule="exact"/>
        <w:rPr>
          <w:sz w:val="20"/>
          <w:szCs w:val="20"/>
          <w:color w:val="auto"/>
        </w:rPr>
      </w:pPr>
    </w:p>
    <w:p>
      <w:pPr>
        <w:jc w:val="both"/>
        <w:ind w:left="320" w:firstLine="318"/>
        <w:spacing w:after="0" w:line="305" w:lineRule="auto"/>
        <w:rPr>
          <w:sz w:val="20"/>
          <w:szCs w:val="20"/>
          <w:color w:val="auto"/>
        </w:rPr>
      </w:pPr>
      <w:r>
        <w:rPr>
          <w:rFonts w:ascii="Arial" w:cs="Arial" w:eastAsia="Arial" w:hAnsi="Arial"/>
          <w:sz w:val="15"/>
          <w:szCs w:val="15"/>
          <w:color w:val="auto"/>
        </w:rPr>
        <w:t>Fixed maturity securities are also evaluated to determine if they qualify as purchased financial assets with credit deterioration (“PCD”). To determine if the credit deterioration experienced since origination is more than insignificant, both (i) the extent of the credit deterioration and (ii) any rating agency downgrades are evaluated. For securities categorized as PCD assets, the present value of cash flows expected to be collected from the security are compared to the par value of the security. If the present value of cash flows expected to be collected is less than the par value, credit losses are embedded in the purchase price of the PCD asset. In this situation, both an allowance for credit losses and amortized cost gross-up is recorded, limited by the amount that the estimated fair value is less than the grossed-up amortized cost basis. Any difference between the purchase price and the present value of cash flows is amortized or accreted into net investment income over the life of the PCD asset. Any subsequent PCD asset allowance for credit losses is evaluated in a manner similar to the process described above for fixed maturity securities.</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Current Period Evaluation</w:t>
      </w:r>
    </w:p>
    <w:p>
      <w:pPr>
        <w:spacing w:after="0" w:line="111" w:lineRule="exact"/>
        <w:rPr>
          <w:sz w:val="20"/>
          <w:szCs w:val="20"/>
          <w:color w:val="auto"/>
        </w:rPr>
      </w:pPr>
    </w:p>
    <w:p>
      <w:pPr>
        <w:jc w:val="both"/>
        <w:ind w:left="320" w:firstLine="318"/>
        <w:spacing w:after="0" w:line="306" w:lineRule="auto"/>
        <w:rPr>
          <w:sz w:val="20"/>
          <w:szCs w:val="20"/>
          <w:color w:val="auto"/>
        </w:rPr>
      </w:pPr>
      <w:r>
        <w:rPr>
          <w:rFonts w:ascii="Arial" w:cs="Arial" w:eastAsia="Arial" w:hAnsi="Arial"/>
          <w:sz w:val="15"/>
          <w:szCs w:val="15"/>
          <w:color w:val="auto"/>
        </w:rPr>
        <w:t>Based on the Company’s current evaluation of its fixed maturity securities in an unrealized loss position and the current intent or requirement to sell, the Company recorded an allowance for credit losses of $5 million, relating to fifteen securities at March 31, 2023. Management concluded that for all other fixed maturity securities in an unrealized loss position, the unrealized loss was not due to issuer-specific credit-related factors and as a result was recognized in OCI. Where unrealized losses have not been recognized into income, it is primarily because the securities’ bond issuer(s) are of high credit quality, management does not intend to sell and it is likely that management will not be required to sell the securities prior to their anticipated recovery, and the decline in estimated fair value is largely due to changes in interest rates and non-issuer specific credit spreads. These issuers continued to make timely principal and interest payments and the estimated fair value is expected to recover as the securities approach maturity.</w:t>
      </w:r>
    </w:p>
    <w:p>
      <w:pPr>
        <w:spacing w:after="0" w:line="5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Allowance for Credit Losses for Fixed Maturity Securities</w:t>
      </w:r>
    </w:p>
    <w:p>
      <w:pPr>
        <w:spacing w:after="0" w:line="111" w:lineRule="exact"/>
        <w:rPr>
          <w:sz w:val="20"/>
          <w:szCs w:val="20"/>
          <w:color w:val="auto"/>
        </w:rPr>
      </w:pPr>
    </w:p>
    <w:p>
      <w:pPr>
        <w:jc w:val="both"/>
        <w:ind w:left="320" w:firstLine="318"/>
        <w:spacing w:after="0" w:line="330" w:lineRule="auto"/>
        <w:rPr>
          <w:sz w:val="20"/>
          <w:szCs w:val="20"/>
          <w:color w:val="auto"/>
        </w:rPr>
      </w:pPr>
      <w:r>
        <w:rPr>
          <w:rFonts w:ascii="Arial" w:cs="Arial" w:eastAsia="Arial" w:hAnsi="Arial"/>
          <w:sz w:val="15"/>
          <w:szCs w:val="15"/>
          <w:color w:val="auto"/>
        </w:rPr>
        <w:t>The allowance for credit losses for fixed maturity securities was $5 million and $7 million at March 31, 2023 and December 31, 2022, respectively. For both the three months ended March 31, 2023 and 2022, the change in the allowance for fixed maturity securities by sector was not significant. The Company recorded total write-offs of $7 million and $2 million for the three months ended March 31, 2023 and 2022,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Mortgage Loans by Portfolio Segment</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Mortgage loans are summarized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3"/>
          </w:tcPr>
          <w:p>
            <w:pPr>
              <w:ind w:left="640"/>
              <w:spacing w:after="0"/>
              <w:rPr>
                <w:sz w:val="20"/>
                <w:szCs w:val="20"/>
                <w:color w:val="auto"/>
              </w:rPr>
            </w:pPr>
            <w:r>
              <w:rPr>
                <w:rFonts w:ascii="Arial" w:cs="Arial" w:eastAsia="Arial" w:hAnsi="Arial"/>
                <w:sz w:val="14"/>
                <w:szCs w:val="14"/>
                <w:b w:val="1"/>
                <w:bCs w:val="1"/>
                <w:color w:val="auto"/>
                <w:w w:val="96"/>
              </w:rPr>
              <w:t>March 31, 2023</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20" w:type="dxa"/>
            <w:vAlign w:val="bottom"/>
            <w:gridSpan w:val="3"/>
          </w:tcPr>
          <w:p>
            <w:pPr>
              <w:jc w:val="right"/>
              <w:ind w:right="683"/>
              <w:spacing w:after="0"/>
              <w:rPr>
                <w:sz w:val="20"/>
                <w:szCs w:val="20"/>
                <w:color w:val="auto"/>
              </w:rPr>
            </w:pPr>
            <w:r>
              <w:rPr>
                <w:rFonts w:ascii="Arial" w:cs="Arial" w:eastAsia="Arial" w:hAnsi="Arial"/>
                <w:sz w:val="14"/>
                <w:szCs w:val="14"/>
                <w:b w:val="1"/>
                <w:bCs w:val="1"/>
                <w:color w:val="auto"/>
              </w:rPr>
              <w:t>December 31, 2022</w:t>
            </w:r>
          </w:p>
        </w:tc>
      </w:tr>
      <w:tr>
        <w:trPr>
          <w:trHeight w:val="24"/>
        </w:trPr>
        <w:tc>
          <w:tcPr>
            <w:tcW w:w="5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gridSpan w:val="3"/>
          </w:tcPr>
          <w:p>
            <w:pPr>
              <w:spacing w:after="0"/>
              <w:rPr>
                <w:sz w:val="2"/>
                <w:szCs w:val="2"/>
                <w:color w:val="auto"/>
              </w:rPr>
            </w:pPr>
          </w:p>
        </w:tc>
        <w:tc>
          <w:tcPr>
            <w:tcW w:w="9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r>
      <w:tr>
        <w:trPr>
          <w:trHeight w:val="130"/>
        </w:trPr>
        <w:tc>
          <w:tcPr>
            <w:tcW w:w="58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gridSpan w:val="3"/>
          </w:tcPr>
          <w:p>
            <w:pPr>
              <w:jc w:val="center"/>
              <w:ind w:right="780"/>
              <w:spacing w:after="0" w:line="130" w:lineRule="exact"/>
              <w:rPr>
                <w:sz w:val="20"/>
                <w:szCs w:val="20"/>
                <w:color w:val="auto"/>
              </w:rPr>
            </w:pPr>
            <w:r>
              <w:rPr>
                <w:rFonts w:ascii="Arial" w:cs="Arial" w:eastAsia="Arial" w:hAnsi="Arial"/>
                <w:sz w:val="14"/>
                <w:szCs w:val="14"/>
                <w:b w:val="1"/>
                <w:bCs w:val="1"/>
                <w:color w:val="auto"/>
                <w:w w:val="97"/>
              </w:rPr>
              <w:t>Carrying</w:t>
            </w:r>
          </w:p>
        </w:tc>
        <w:tc>
          <w:tcPr>
            <w:tcW w:w="820" w:type="dxa"/>
            <w:vAlign w:val="bottom"/>
            <w:tcBorders>
              <w:top w:val="single" w:sz="8" w:color="auto"/>
            </w:tcBorders>
          </w:tcPr>
          <w:p>
            <w:pPr>
              <w:ind w:left="40"/>
              <w:spacing w:after="0" w:line="13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340"/>
              <w:spacing w:after="0" w:line="130" w:lineRule="exact"/>
              <w:rPr>
                <w:sz w:val="20"/>
                <w:szCs w:val="20"/>
                <w:color w:val="auto"/>
              </w:rPr>
            </w:pPr>
            <w:r>
              <w:rPr>
                <w:rFonts w:ascii="Arial" w:cs="Arial" w:eastAsia="Arial" w:hAnsi="Arial"/>
                <w:sz w:val="14"/>
                <w:szCs w:val="14"/>
                <w:b w:val="1"/>
                <w:bCs w:val="1"/>
                <w:color w:val="auto"/>
                <w:w w:val="97"/>
              </w:rPr>
              <w:t>Carrying</w:t>
            </w:r>
          </w:p>
        </w:tc>
        <w:tc>
          <w:tcPr>
            <w:tcW w:w="1240" w:type="dxa"/>
            <w:vAlign w:val="bottom"/>
            <w:tcBorders>
              <w:top w:val="single" w:sz="8" w:color="auto"/>
            </w:tcBorders>
          </w:tcPr>
          <w:p>
            <w:pPr>
              <w:jc w:val="right"/>
              <w:ind w:right="423"/>
              <w:spacing w:after="0" w:line="130" w:lineRule="exact"/>
              <w:rPr>
                <w:sz w:val="20"/>
                <w:szCs w:val="20"/>
                <w:color w:val="auto"/>
              </w:rPr>
            </w:pPr>
            <w:r>
              <w:rPr>
                <w:rFonts w:ascii="Arial" w:cs="Arial" w:eastAsia="Arial" w:hAnsi="Arial"/>
                <w:sz w:val="14"/>
                <w:szCs w:val="14"/>
                <w:b w:val="1"/>
                <w:bCs w:val="1"/>
                <w:color w:val="auto"/>
              </w:rPr>
              <w:t>% of</w:t>
            </w:r>
          </w:p>
        </w:tc>
      </w:tr>
      <w:tr>
        <w:trPr>
          <w:trHeight w:val="189"/>
        </w:trPr>
        <w:tc>
          <w:tcPr>
            <w:tcW w:w="5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760"/>
              <w:spacing w:after="0"/>
              <w:rPr>
                <w:sz w:val="20"/>
                <w:szCs w:val="20"/>
                <w:color w:val="auto"/>
              </w:rPr>
            </w:pPr>
            <w:r>
              <w:rPr>
                <w:rFonts w:ascii="Arial" w:cs="Arial" w:eastAsia="Arial" w:hAnsi="Arial"/>
                <w:sz w:val="14"/>
                <w:szCs w:val="14"/>
                <w:b w:val="1"/>
                <w:bCs w:val="1"/>
                <w:color w:val="auto"/>
                <w:w w:val="90"/>
              </w:rPr>
              <w:t>Value</w:t>
            </w: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Total</w:t>
            </w:r>
          </w:p>
        </w:tc>
      </w:tr>
      <w:tr>
        <w:trPr>
          <w:trHeight w:val="190"/>
        </w:trPr>
        <w:tc>
          <w:tcPr>
            <w:tcW w:w="5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340" w:type="dxa"/>
            <w:vAlign w:val="bottom"/>
            <w:gridSpan w:val="5"/>
          </w:tcPr>
          <w:p>
            <w:pPr>
              <w:ind w:left="260"/>
              <w:spacing w:after="0"/>
              <w:rPr>
                <w:sz w:val="20"/>
                <w:szCs w:val="20"/>
                <w:color w:val="auto"/>
              </w:rPr>
            </w:pPr>
            <w:r>
              <w:rPr>
                <w:rFonts w:ascii="Arial" w:cs="Arial" w:eastAsia="Arial" w:hAnsi="Arial"/>
                <w:sz w:val="14"/>
                <w:szCs w:val="14"/>
                <w:b w:val="1"/>
                <w:bCs w:val="1"/>
                <w:color w:val="auto"/>
              </w:rPr>
              <w:t>(Dollars in millions)</w:t>
            </w:r>
          </w:p>
        </w:tc>
        <w:tc>
          <w:tcPr>
            <w:tcW w:w="1240" w:type="dxa"/>
            <w:vAlign w:val="bottom"/>
          </w:tcPr>
          <w:p>
            <w:pPr>
              <w:spacing w:after="0"/>
              <w:rPr>
                <w:sz w:val="16"/>
                <w:szCs w:val="16"/>
                <w:color w:val="auto"/>
              </w:rPr>
            </w:pPr>
          </w:p>
        </w:tc>
      </w:tr>
      <w:tr>
        <w:trPr>
          <w:trHeight w:val="21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13,574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59.2 %</w:t>
            </w:r>
          </w:p>
        </w:tc>
      </w:tr>
      <w:tr>
        <w:trPr>
          <w:trHeight w:val="210"/>
        </w:trPr>
        <w:tc>
          <w:tcPr>
            <w:tcW w:w="5800" w:type="dxa"/>
            <w:vAlign w:val="bottom"/>
          </w:tcPr>
          <w:p>
            <w:pPr>
              <w:ind w:left="20"/>
              <w:spacing w:after="0"/>
              <w:rPr>
                <w:sz w:val="20"/>
                <w:szCs w:val="20"/>
                <w:color w:val="auto"/>
              </w:rPr>
            </w:pPr>
            <w:r>
              <w:rPr>
                <w:rFonts w:ascii="Arial" w:cs="Arial" w:eastAsia="Arial" w:hAnsi="Arial"/>
                <w:sz w:val="16"/>
                <w:szCs w:val="16"/>
                <w:color w:val="auto"/>
              </w:rPr>
              <w:t>Agricultural</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4,388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123"/>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4,365</w:t>
            </w:r>
          </w:p>
        </w:tc>
        <w:tc>
          <w:tcPr>
            <w:tcW w:w="100" w:type="dxa"/>
            <w:vAlign w:val="bottom"/>
          </w:tcPr>
          <w:p>
            <w:pPr>
              <w:spacing w:after="0"/>
              <w:rPr>
                <w:sz w:val="18"/>
                <w:szCs w:val="18"/>
                <w:color w:val="auto"/>
              </w:rPr>
            </w:pPr>
          </w:p>
        </w:tc>
        <w:tc>
          <w:tcPr>
            <w:tcW w:w="1240" w:type="dxa"/>
            <w:vAlign w:val="bottom"/>
          </w:tcPr>
          <w:p>
            <w:pPr>
              <w:jc w:val="right"/>
              <w:ind w:right="123"/>
              <w:spacing w:after="0"/>
              <w:rPr>
                <w:sz w:val="20"/>
                <w:szCs w:val="20"/>
                <w:color w:val="auto"/>
              </w:rPr>
            </w:pPr>
            <w:r>
              <w:rPr>
                <w:rFonts w:ascii="Arial" w:cs="Arial" w:eastAsia="Arial" w:hAnsi="Arial"/>
                <w:sz w:val="16"/>
                <w:szCs w:val="16"/>
                <w:color w:val="auto"/>
              </w:rPr>
              <w:t>19.0</w:t>
            </w:r>
          </w:p>
        </w:tc>
      </w:tr>
      <w:tr>
        <w:trPr>
          <w:trHeight w:val="215"/>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5,116</w:t>
            </w:r>
          </w:p>
        </w:tc>
        <w:tc>
          <w:tcPr>
            <w:tcW w:w="1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22.3</w:t>
            </w:r>
          </w:p>
        </w:tc>
      </w:tr>
      <w:tr>
        <w:trPr>
          <w:trHeight w:val="203"/>
        </w:trPr>
        <w:tc>
          <w:tcPr>
            <w:tcW w:w="5800" w:type="dxa"/>
            <w:vAlign w:val="bottom"/>
          </w:tcPr>
          <w:p>
            <w:pPr>
              <w:ind w:left="180"/>
              <w:spacing w:after="0"/>
              <w:rPr>
                <w:sz w:val="20"/>
                <w:szCs w:val="20"/>
                <w:color w:val="auto"/>
              </w:rPr>
            </w:pPr>
            <w:r>
              <w:rPr>
                <w:rFonts w:ascii="Arial" w:cs="Arial" w:eastAsia="Arial" w:hAnsi="Arial"/>
                <w:sz w:val="16"/>
                <w:szCs w:val="16"/>
                <w:color w:val="auto"/>
              </w:rPr>
              <w:t>Total mortgage loans (1)</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22,959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123"/>
              <w:spacing w:after="0"/>
              <w:rPr>
                <w:sz w:val="20"/>
                <w:szCs w:val="20"/>
                <w:color w:val="auto"/>
              </w:rPr>
            </w:pPr>
            <w:r>
              <w:rPr>
                <w:rFonts w:ascii="Arial" w:cs="Arial" w:eastAsia="Arial" w:hAnsi="Arial"/>
                <w:sz w:val="16"/>
                <w:szCs w:val="16"/>
                <w:color w:val="auto"/>
              </w:rPr>
              <w:t>100.6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23,055</w:t>
            </w:r>
          </w:p>
        </w:tc>
        <w:tc>
          <w:tcPr>
            <w:tcW w:w="100" w:type="dxa"/>
            <w:vAlign w:val="bottom"/>
          </w:tcPr>
          <w:p>
            <w:pPr>
              <w:spacing w:after="0"/>
              <w:rPr>
                <w:sz w:val="17"/>
                <w:szCs w:val="17"/>
                <w:color w:val="auto"/>
              </w:rPr>
            </w:pPr>
          </w:p>
        </w:tc>
        <w:tc>
          <w:tcPr>
            <w:tcW w:w="1240" w:type="dxa"/>
            <w:vAlign w:val="bottom"/>
          </w:tcPr>
          <w:p>
            <w:pPr>
              <w:jc w:val="right"/>
              <w:ind w:right="123"/>
              <w:spacing w:after="0"/>
              <w:rPr>
                <w:sz w:val="20"/>
                <w:szCs w:val="20"/>
                <w:color w:val="auto"/>
              </w:rPr>
            </w:pPr>
            <w:r>
              <w:rPr>
                <w:rFonts w:ascii="Arial" w:cs="Arial" w:eastAsia="Arial" w:hAnsi="Arial"/>
                <w:sz w:val="16"/>
                <w:szCs w:val="16"/>
                <w:color w:val="auto"/>
              </w:rPr>
              <w:t>100.5</w:t>
            </w: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credit losses</w:t>
            </w: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(0.5)</w:t>
            </w:r>
          </w:p>
        </w:tc>
      </w:tr>
      <w:tr>
        <w:trPr>
          <w:trHeight w:val="208"/>
        </w:trPr>
        <w:tc>
          <w:tcPr>
            <w:tcW w:w="5800" w:type="dxa"/>
            <w:vAlign w:val="bottom"/>
          </w:tcPr>
          <w:p>
            <w:pPr>
              <w:ind w:left="180"/>
              <w:spacing w:after="0"/>
              <w:rPr>
                <w:sz w:val="20"/>
                <w:szCs w:val="20"/>
                <w:color w:val="auto"/>
              </w:rPr>
            </w:pPr>
            <w:r>
              <w:rPr>
                <w:rFonts w:ascii="Arial" w:cs="Arial" w:eastAsia="Arial" w:hAnsi="Arial"/>
                <w:sz w:val="16"/>
                <w:szCs w:val="16"/>
                <w:color w:val="auto"/>
              </w:rPr>
              <w:t>Total mortgage loans, net</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22,823</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22,936</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5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Purchases of mortgage loans from third parties were $32 million and $840 million for the three months ended March 31, 2023 and 2022, respectively, and were primarily comprised of residential mortgage loans.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Allowance for Credit Losses for Mortgage Loans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Evaluation and Measurement Methodologies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allowance for credit losses is a valuation account that is deducted from the mortgage loan’s amortized cost basis to present the net amount expected to be collected on the mortgage loan. The loan balance, or a portion of the loan balance, is written-off against the allowance when management believes this amount is uncollectible.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200" w:lineRule="exact"/>
        <w:rPr>
          <w:sz w:val="20"/>
          <w:szCs w:val="20"/>
          <w:color w:val="auto"/>
        </w:rPr>
      </w:pPr>
    </w:p>
    <w:p>
      <w:pPr>
        <w:spacing w:after="0" w:line="368"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Accrued interest receivables are presented separate from the amortized cost basis of mortgage loans. An allowance for credit losses is generally not estimated on an accrued interest receivable, rather when a loan is placed in nonaccrual status the associated accrued interest receivable balance is written off with a corresponding reduction to net investment income. The accrued interest receivable on mortgage loans is included in accrued investment income and totaled $109 million and $115 million at March 31, 2023 and December 31, 2022, respectively.</w:t>
      </w:r>
    </w:p>
    <w:p>
      <w:pPr>
        <w:spacing w:after="0" w:line="7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The allowance for credit losses is estimated using relevant available information, from internal and external sources, relating to past events, current conditions, and a reasonable and supportable forecast. Historical credit loss experience provides the basis for estimating expected credit losses. Adjustments to historical loss information are made for differences in current loan-specific risk characteristics and environmental conditions. A reasonable and supportable forecast period of two-years is used with an input reversion period of one-year.</w:t>
      </w:r>
    </w:p>
    <w:p>
      <w:pPr>
        <w:spacing w:after="0" w:line="85" w:lineRule="exact"/>
        <w:rPr>
          <w:sz w:val="20"/>
          <w:szCs w:val="20"/>
          <w:color w:val="auto"/>
        </w:rPr>
      </w:pPr>
    </w:p>
    <w:p>
      <w:pPr>
        <w:jc w:val="both"/>
        <w:ind w:left="320" w:firstLine="318"/>
        <w:spacing w:after="0" w:line="312" w:lineRule="auto"/>
        <w:rPr>
          <w:sz w:val="20"/>
          <w:szCs w:val="20"/>
          <w:color w:val="auto"/>
        </w:rPr>
      </w:pPr>
      <w:r>
        <w:rPr>
          <w:rFonts w:ascii="Arial" w:cs="Arial" w:eastAsia="Arial" w:hAnsi="Arial"/>
          <w:sz w:val="15"/>
          <w:szCs w:val="15"/>
          <w:color w:val="auto"/>
        </w:rPr>
        <w:t>Mortgage loans are evaluated in each of the three portfolio segments to determine the allowance for credit losses. The loan-level loss rates are determined using individual loan terms and characteristics, risk pools/internal ratings, national economic forecasts, prepayment speeds, and estimated default and loss severity. The resulting loss rates are applied to the mortgage loan’s amortized cost to generate an allowance for credit losses. In certain situations, the allowance for credit losses is measured as the difference between the loan’s amortized cost and liquidation value of the collateral. These situations include collateral dependent loans, modifications, foreclosure probable loans, and loans with dissimilar risk characteristics.</w:t>
      </w:r>
    </w:p>
    <w:p>
      <w:pPr>
        <w:spacing w:after="0" w:line="45" w:lineRule="exact"/>
        <w:rPr>
          <w:sz w:val="20"/>
          <w:szCs w:val="20"/>
          <w:color w:val="auto"/>
        </w:rPr>
      </w:pPr>
    </w:p>
    <w:p>
      <w:pPr>
        <w:jc w:val="both"/>
        <w:ind w:left="320" w:firstLine="318"/>
        <w:spacing w:after="0" w:line="303" w:lineRule="auto"/>
        <w:rPr>
          <w:sz w:val="20"/>
          <w:szCs w:val="20"/>
          <w:color w:val="auto"/>
        </w:rPr>
      </w:pPr>
      <w:r>
        <w:rPr>
          <w:rFonts w:ascii="Arial" w:cs="Arial" w:eastAsia="Arial" w:hAnsi="Arial"/>
          <w:sz w:val="15"/>
          <w:szCs w:val="15"/>
          <w:color w:val="auto"/>
        </w:rPr>
        <w:t>Mortgage loans are also evaluated to determine if they qualify as PCD assets. To determine if the credit deterioration experienced since origination is more than insignificant, the extent of credit deterioration is evaluated. All re-performing/modified loan (“RPL”) pools purchased after December 31, 2019 are determined to have been acquired with evidence of more than insignificant credit deterioration since origination and are classified as PCD assets. RPLs are pools of residential mortgage loans acquired at a discount or premium which have both credit and non-credit components. For PCD mortgage loans, the allowance for credit losses is determined using a similar methodology described above, except the loss-rate is determined at the pool level instead of the individual loan level. The initial allowance for credit losses, determined on a collective basis, is then allocated to the individual loans. The initial amortized cost of the loan is grossed-up to reflect the sum of the loan’s purchase price and allowance for credit losses. The difference between the grossed-up amortized cost basis and the par value of the loan is a non-credit discount or premium, which is accreted or amortized into net investment income over the remaining life of the loan. Any subsequent PCD mortgage loan allowance for credit losses is evaluated in a manner similar to the process described above for each of the three portfolio segments.</w:t>
      </w:r>
    </w:p>
    <w:p>
      <w:pPr>
        <w:spacing w:after="0" w:line="266" w:lineRule="exact"/>
        <w:rPr>
          <w:sz w:val="20"/>
          <w:szCs w:val="20"/>
          <w:color w:val="auto"/>
        </w:rPr>
      </w:pPr>
    </w:p>
    <w:p>
      <w:pPr>
        <w:jc w:val="right"/>
        <w:ind w:left="320" w:right="4580"/>
        <w:spacing w:after="0" w:line="513" w:lineRule="auto"/>
        <w:rPr>
          <w:sz w:val="20"/>
          <w:szCs w:val="20"/>
          <w:color w:val="auto"/>
        </w:rPr>
      </w:pPr>
      <w:r>
        <w:rPr>
          <w:rFonts w:ascii="Arial" w:cs="Arial" w:eastAsia="Arial" w:hAnsi="Arial"/>
          <w:sz w:val="15"/>
          <w:szCs w:val="15"/>
          <w:i w:val="1"/>
          <w:iCs w:val="1"/>
          <w:u w:val="single" w:color="auto"/>
          <w:color w:val="auto"/>
        </w:rPr>
        <w:t xml:space="preserve">Rollforward of the Allowance for Credit Losses for Mortgage Loans by Portfolio Segment </w:t>
      </w:r>
      <w:r>
        <w:rPr>
          <w:rFonts w:ascii="Arial" w:cs="Arial" w:eastAsia="Arial" w:hAnsi="Arial"/>
          <w:sz w:val="15"/>
          <w:szCs w:val="15"/>
          <w:color w:val="auto"/>
        </w:rPr>
        <w:t>The changes in the allowance for credit losses by portfolio segment were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15"/>
                <w:szCs w:val="15"/>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Agricultural</w:t>
            </w:r>
          </w:p>
        </w:tc>
        <w:tc>
          <w:tcPr>
            <w:tcW w:w="18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Residential</w:t>
            </w:r>
          </w:p>
        </w:tc>
        <w:tc>
          <w:tcPr>
            <w:tcW w:w="180" w:type="dxa"/>
            <w:vAlign w:val="bottom"/>
          </w:tcPr>
          <w:p>
            <w:pPr>
              <w:spacing w:after="0"/>
              <w:rPr>
                <w:sz w:val="15"/>
                <w:szCs w:val="15"/>
                <w:color w:val="auto"/>
              </w:rPr>
            </w:pPr>
          </w:p>
        </w:tc>
        <w:tc>
          <w:tcPr>
            <w:tcW w:w="700" w:type="dxa"/>
            <w:vAlign w:val="bottom"/>
          </w:tcPr>
          <w:p>
            <w:pPr>
              <w:jc w:val="right"/>
              <w:ind w:right="202"/>
              <w:spacing w:after="0"/>
              <w:rPr>
                <w:sz w:val="20"/>
                <w:szCs w:val="20"/>
                <w:color w:val="auto"/>
              </w:rPr>
            </w:pPr>
            <w:r>
              <w:rPr>
                <w:rFonts w:ascii="Arial" w:cs="Arial" w:eastAsia="Arial" w:hAnsi="Arial"/>
                <w:sz w:val="14"/>
                <w:szCs w:val="14"/>
                <w:b w:val="1"/>
                <w:bCs w:val="1"/>
                <w:color w:val="auto"/>
              </w:rPr>
              <w:t>Total</w:t>
            </w:r>
          </w:p>
        </w:tc>
      </w:tr>
      <w:tr>
        <w:trPr>
          <w:trHeight w:val="24"/>
        </w:trPr>
        <w:tc>
          <w:tcPr>
            <w:tcW w:w="6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5"/>
        </w:trPr>
        <w:tc>
          <w:tcPr>
            <w:tcW w:w="6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March 31, 2023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0"/>
        </w:trPr>
        <w:tc>
          <w:tcPr>
            <w:tcW w:w="682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12"/>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period provision</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8"/>
        </w:trPr>
        <w:tc>
          <w:tcPr>
            <w:tcW w:w="682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8"/>
        </w:trPr>
        <w:tc>
          <w:tcPr>
            <w:tcW w:w="682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Three Months Ended March 31, 2022</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10"/>
        </w:trPr>
        <w:tc>
          <w:tcPr>
            <w:tcW w:w="6820" w:type="dxa"/>
            <w:vAlign w:val="bottom"/>
          </w:tcPr>
          <w:p>
            <w:pPr>
              <w:ind w:left="20"/>
              <w:spacing w:after="0"/>
              <w:rPr>
                <w:sz w:val="20"/>
                <w:szCs w:val="20"/>
                <w:color w:val="auto"/>
              </w:rPr>
            </w:pPr>
            <w:r>
              <w:rPr>
                <w:rFonts w:ascii="Arial" w:cs="Arial" w:eastAsia="Arial" w:hAnsi="Arial"/>
                <w:sz w:val="16"/>
                <w:szCs w:val="16"/>
                <w:color w:val="auto"/>
              </w:rPr>
              <w:t>Balance, beginning of period</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2"/>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period provision</w:t>
            </w: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8"/>
        </w:trPr>
        <w:tc>
          <w:tcPr>
            <w:tcW w:w="6820" w:type="dxa"/>
            <w:vAlign w:val="bottom"/>
          </w:tcPr>
          <w:p>
            <w:pPr>
              <w:ind w:left="20"/>
              <w:spacing w:after="0"/>
              <w:rPr>
                <w:sz w:val="20"/>
                <w:szCs w:val="20"/>
                <w:color w:val="auto"/>
              </w:rPr>
            </w:pPr>
            <w:r>
              <w:rPr>
                <w:rFonts w:ascii="Arial" w:cs="Arial" w:eastAsia="Arial" w:hAnsi="Arial"/>
                <w:sz w:val="16"/>
                <w:szCs w:val="16"/>
                <w:color w:val="auto"/>
              </w:rPr>
              <w:t>Balance,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r>
      <w:tr>
        <w:trPr>
          <w:trHeight w:val="20"/>
        </w:trPr>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ind w:left="180" w:hanging="174"/>
        <w:spacing w:after="0"/>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(continued)</w:t>
      </w:r>
    </w:p>
    <w:p>
      <w:pPr>
        <w:spacing w:after="0" w:line="200" w:lineRule="exact"/>
        <w:rPr>
          <w:rFonts w:ascii="Arial" w:cs="Arial" w:eastAsia="Arial" w:hAnsi="Arial"/>
          <w:sz w:val="18"/>
          <w:szCs w:val="18"/>
          <w:b w:val="1"/>
          <w:bCs w:val="1"/>
          <w:color w:val="auto"/>
        </w:rPr>
      </w:pPr>
    </w:p>
    <w:p>
      <w:pPr>
        <w:spacing w:after="0" w:line="367" w:lineRule="exact"/>
        <w:rPr>
          <w:rFonts w:ascii="Arial" w:cs="Arial" w:eastAsia="Arial" w:hAnsi="Arial"/>
          <w:sz w:val="18"/>
          <w:szCs w:val="18"/>
          <w:b w:val="1"/>
          <w:bCs w:val="1"/>
          <w:color w:val="auto"/>
        </w:rPr>
      </w:pPr>
    </w:p>
    <w:p>
      <w:pPr>
        <w:ind w:left="1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Credit Quality of Mortgage Loans by Portfolio Segment</w:t>
      </w:r>
    </w:p>
    <w:p>
      <w:pPr>
        <w:spacing w:after="0" w:line="111" w:lineRule="exact"/>
        <w:rPr>
          <w:rFonts w:ascii="Arial" w:cs="Arial" w:eastAsia="Arial" w:hAnsi="Arial"/>
          <w:sz w:val="18"/>
          <w:szCs w:val="18"/>
          <w:b w:val="1"/>
          <w:bCs w:val="1"/>
          <w:color w:val="auto"/>
        </w:rPr>
      </w:pPr>
    </w:p>
    <w:p>
      <w:pPr>
        <w:ind w:left="480"/>
        <w:spacing w:after="0"/>
        <w:rPr>
          <w:rFonts w:ascii="Arial" w:cs="Arial" w:eastAsia="Arial" w:hAnsi="Arial"/>
          <w:sz w:val="18"/>
          <w:szCs w:val="18"/>
          <w:b w:val="1"/>
          <w:bCs w:val="1"/>
          <w:color w:val="auto"/>
        </w:rPr>
      </w:pPr>
      <w:r>
        <w:rPr>
          <w:rFonts w:ascii="Arial" w:cs="Arial" w:eastAsia="Arial" w:hAnsi="Arial"/>
          <w:sz w:val="18"/>
          <w:szCs w:val="18"/>
          <w:color w:val="auto"/>
        </w:rPr>
        <w:t>The amortized cost of mortgage loans by year of origination and credit quality indicator was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81"/>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24"/>
        </w:trPr>
        <w:tc>
          <w:tcPr>
            <w:tcW w:w="36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5"/>
        </w:trPr>
        <w:tc>
          <w:tcPr>
            <w:tcW w:w="3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2023</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0"/>
        </w:trPr>
        <w:tc>
          <w:tcPr>
            <w:tcW w:w="3620" w:type="dxa"/>
            <w:vAlign w:val="bottom"/>
          </w:tcPr>
          <w:p>
            <w:pPr>
              <w:ind w:left="20"/>
              <w:spacing w:after="0"/>
              <w:rPr>
                <w:sz w:val="20"/>
                <w:szCs w:val="20"/>
                <w:color w:val="auto"/>
              </w:rPr>
            </w:pPr>
            <w:r>
              <w:rPr>
                <w:rFonts w:ascii="Arial" w:cs="Arial" w:eastAsia="Arial" w:hAnsi="Arial"/>
                <w:sz w:val="16"/>
                <w:szCs w:val="16"/>
                <w:b w:val="1"/>
                <w:bCs w:val="1"/>
                <w:color w:val="auto"/>
              </w:rPr>
              <w:t>Commercial mortgage loans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Loan-to-value ratios: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0"/>
        </w:trPr>
        <w:tc>
          <w:tcPr>
            <w:tcW w:w="3620" w:type="dxa"/>
            <w:vAlign w:val="bottom"/>
          </w:tcPr>
          <w:p>
            <w:pPr>
              <w:ind w:left="20"/>
              <w:spacing w:after="0"/>
              <w:rPr>
                <w:sz w:val="20"/>
                <w:szCs w:val="20"/>
                <w:color w:val="auto"/>
              </w:rPr>
            </w:pPr>
            <w:r>
              <w:rPr>
                <w:rFonts w:ascii="Arial" w:cs="Arial" w:eastAsia="Arial" w:hAnsi="Arial"/>
                <w:sz w:val="16"/>
                <w:szCs w:val="16"/>
                <w:color w:val="auto"/>
              </w:rPr>
              <w:t>Less than 65%</w:t>
            </w:r>
          </w:p>
        </w:tc>
        <w:tc>
          <w:tcPr>
            <w:tcW w:w="24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1,914</w:t>
            </w:r>
          </w:p>
        </w:tc>
        <w:tc>
          <w:tcPr>
            <w:tcW w:w="10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2,840</w:t>
            </w:r>
          </w:p>
        </w:tc>
        <w:tc>
          <w:tcPr>
            <w:tcW w:w="10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1,481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43"/>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4,492</w:t>
            </w:r>
          </w:p>
        </w:tc>
        <w:tc>
          <w:tcPr>
            <w:tcW w:w="20" w:type="dxa"/>
            <w:vAlign w:val="bottom"/>
          </w:tcPr>
          <w:p>
            <w:pPr>
              <w:spacing w:after="0"/>
              <w:rPr>
                <w:sz w:val="18"/>
                <w:szCs w:val="18"/>
                <w:color w:val="auto"/>
              </w:rPr>
            </w:pPr>
          </w:p>
        </w:tc>
        <w:tc>
          <w:tcPr>
            <w:tcW w:w="3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11,178</w:t>
            </w:r>
          </w:p>
        </w:tc>
        <w:tc>
          <w:tcPr>
            <w:tcW w:w="20" w:type="dxa"/>
            <w:vAlign w:val="bottom"/>
          </w:tcPr>
          <w:p>
            <w:pPr>
              <w:spacing w:after="0"/>
              <w:rPr>
                <w:sz w:val="18"/>
                <w:szCs w:val="18"/>
                <w:color w:val="auto"/>
              </w:rPr>
            </w:pPr>
          </w:p>
        </w:tc>
      </w:tr>
      <w:tr>
        <w:trPr>
          <w:trHeight w:val="214"/>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65% to 75%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1,841</w:t>
            </w:r>
          </w:p>
        </w:tc>
        <w:tc>
          <w:tcPr>
            <w:tcW w:w="20" w:type="dxa"/>
            <w:vAlign w:val="bottom"/>
            <w:shd w:val="clear" w:color="auto" w:fill="CCEEFF"/>
          </w:tcPr>
          <w:p>
            <w:pPr>
              <w:spacing w:after="0"/>
              <w:rPr>
                <w:sz w:val="18"/>
                <w:szCs w:val="18"/>
                <w:color w:val="auto"/>
              </w:rPr>
            </w:pPr>
          </w:p>
        </w:tc>
      </w:tr>
      <w:tr>
        <w:trPr>
          <w:trHeight w:val="210"/>
        </w:trPr>
        <w:tc>
          <w:tcPr>
            <w:tcW w:w="3620" w:type="dxa"/>
            <w:vAlign w:val="bottom"/>
          </w:tcPr>
          <w:p>
            <w:pPr>
              <w:ind w:left="20"/>
              <w:spacing w:after="0"/>
              <w:rPr>
                <w:sz w:val="20"/>
                <w:szCs w:val="20"/>
                <w:color w:val="auto"/>
              </w:rPr>
            </w:pPr>
            <w:r>
              <w:rPr>
                <w:rFonts w:ascii="Arial" w:cs="Arial" w:eastAsia="Arial" w:hAnsi="Arial"/>
                <w:sz w:val="16"/>
                <w:szCs w:val="16"/>
                <w:color w:val="auto"/>
              </w:rPr>
              <w:t>76% to 80%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216</w:t>
            </w:r>
          </w:p>
        </w:tc>
        <w:tc>
          <w:tcPr>
            <w:tcW w:w="20" w:type="dxa"/>
            <w:vAlign w:val="bottom"/>
          </w:tcPr>
          <w:p>
            <w:pPr>
              <w:spacing w:after="0"/>
              <w:rPr>
                <w:sz w:val="18"/>
                <w:szCs w:val="18"/>
                <w:color w:val="auto"/>
              </w:rPr>
            </w:pPr>
          </w:p>
        </w:tc>
      </w:tr>
      <w:tr>
        <w:trPr>
          <w:trHeight w:val="214"/>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Greater than 80%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20" w:type="dxa"/>
            <w:vAlign w:val="bottom"/>
            <w:shd w:val="clear" w:color="auto" w:fill="CCEEFF"/>
          </w:tcPr>
          <w:p>
            <w:pPr>
              <w:spacing w:after="0"/>
              <w:rPr>
                <w:sz w:val="18"/>
                <w:szCs w:val="18"/>
                <w:color w:val="auto"/>
              </w:rPr>
            </w:pPr>
          </w:p>
        </w:tc>
      </w:tr>
      <w:tr>
        <w:trPr>
          <w:trHeight w:val="203"/>
        </w:trPr>
        <w:tc>
          <w:tcPr>
            <w:tcW w:w="3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commercial mortgage loans</w:t>
            </w: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2,417</w:t>
            </w: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3,212</w:t>
            </w: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443</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1,866</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5,544</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13,529</w:t>
            </w:r>
          </w:p>
        </w:tc>
        <w:tc>
          <w:tcPr>
            <w:tcW w:w="20" w:type="dxa"/>
            <w:vAlign w:val="bottom"/>
            <w:tcBorders>
              <w:top w:val="single" w:sz="8" w:color="auto"/>
              <w:bottom w:val="single" w:sz="8" w:color="auto"/>
            </w:tcBorders>
          </w:tcPr>
          <w:p>
            <w:pPr>
              <w:spacing w:after="0"/>
              <w:rPr>
                <w:sz w:val="17"/>
                <w:szCs w:val="17"/>
                <w:color w:val="auto"/>
              </w:rPr>
            </w:pPr>
          </w:p>
        </w:tc>
      </w:tr>
      <w:tr>
        <w:trPr>
          <w:trHeight w:val="195"/>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Agricultural mortgage loans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10"/>
        </w:trPr>
        <w:tc>
          <w:tcPr>
            <w:tcW w:w="3620" w:type="dxa"/>
            <w:vAlign w:val="bottom"/>
          </w:tcPr>
          <w:p>
            <w:pPr>
              <w:ind w:left="20"/>
              <w:spacing w:after="0"/>
              <w:rPr>
                <w:sz w:val="20"/>
                <w:szCs w:val="20"/>
                <w:color w:val="auto"/>
              </w:rPr>
            </w:pPr>
            <w:r>
              <w:rPr>
                <w:rFonts w:ascii="Arial" w:cs="Arial" w:eastAsia="Arial" w:hAnsi="Arial"/>
                <w:sz w:val="16"/>
                <w:szCs w:val="16"/>
                <w:color w:val="auto"/>
              </w:rPr>
              <w:t>Loan-to-value ratios: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than 65%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4,006</w:t>
            </w:r>
          </w:p>
        </w:tc>
        <w:tc>
          <w:tcPr>
            <w:tcW w:w="20" w:type="dxa"/>
            <w:vAlign w:val="bottom"/>
            <w:shd w:val="clear" w:color="auto" w:fill="CCEEFF"/>
          </w:tcPr>
          <w:p>
            <w:pPr>
              <w:spacing w:after="0"/>
              <w:rPr>
                <w:sz w:val="18"/>
                <w:szCs w:val="18"/>
                <w:color w:val="auto"/>
              </w:rPr>
            </w:pPr>
          </w:p>
        </w:tc>
      </w:tr>
      <w:tr>
        <w:trPr>
          <w:trHeight w:val="209"/>
        </w:trPr>
        <w:tc>
          <w:tcPr>
            <w:tcW w:w="3620" w:type="dxa"/>
            <w:vAlign w:val="bottom"/>
          </w:tcPr>
          <w:p>
            <w:pPr>
              <w:ind w:left="20"/>
              <w:spacing w:after="0"/>
              <w:rPr>
                <w:sz w:val="20"/>
                <w:szCs w:val="20"/>
                <w:color w:val="auto"/>
              </w:rPr>
            </w:pPr>
            <w:r>
              <w:rPr>
                <w:rFonts w:ascii="Arial" w:cs="Arial" w:eastAsia="Arial" w:hAnsi="Arial"/>
                <w:sz w:val="16"/>
                <w:szCs w:val="16"/>
                <w:color w:val="auto"/>
              </w:rPr>
              <w:t>65% to 75%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381</w:t>
            </w:r>
          </w:p>
        </w:tc>
        <w:tc>
          <w:tcPr>
            <w:tcW w:w="20" w:type="dxa"/>
            <w:vAlign w:val="bottom"/>
          </w:tcPr>
          <w:p>
            <w:pPr>
              <w:spacing w:after="0"/>
              <w:rPr>
                <w:sz w:val="18"/>
                <w:szCs w:val="18"/>
                <w:color w:val="auto"/>
              </w:rPr>
            </w:pPr>
          </w:p>
        </w:tc>
      </w:tr>
      <w:tr>
        <w:trPr>
          <w:trHeight w:val="214"/>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Greater than 80%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r>
      <w:tr>
        <w:trPr>
          <w:trHeight w:val="203"/>
        </w:trPr>
        <w:tc>
          <w:tcPr>
            <w:tcW w:w="3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agricultural mortgage loans</w:t>
            </w: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699</w:t>
            </w: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1,254</w:t>
            </w: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471</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547</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1,381</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4,388</w:t>
            </w:r>
          </w:p>
        </w:tc>
        <w:tc>
          <w:tcPr>
            <w:tcW w:w="20" w:type="dxa"/>
            <w:vAlign w:val="bottom"/>
            <w:tcBorders>
              <w:top w:val="single" w:sz="8" w:color="auto"/>
              <w:bottom w:val="single" w:sz="8" w:color="auto"/>
            </w:tcBorders>
          </w:tcPr>
          <w:p>
            <w:pPr>
              <w:spacing w:after="0"/>
              <w:rPr>
                <w:sz w:val="17"/>
                <w:szCs w:val="17"/>
                <w:color w:val="auto"/>
              </w:rPr>
            </w:pPr>
          </w:p>
        </w:tc>
      </w:tr>
      <w:tr>
        <w:trPr>
          <w:trHeight w:val="194"/>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Residential mortgage loans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09"/>
        </w:trPr>
        <w:tc>
          <w:tcPr>
            <w:tcW w:w="3620" w:type="dxa"/>
            <w:vAlign w:val="bottom"/>
          </w:tcPr>
          <w:p>
            <w:pPr>
              <w:ind w:left="20"/>
              <w:spacing w:after="0"/>
              <w:rPr>
                <w:sz w:val="20"/>
                <w:szCs w:val="20"/>
                <w:color w:val="auto"/>
              </w:rPr>
            </w:pPr>
            <w:r>
              <w:rPr>
                <w:rFonts w:ascii="Arial" w:cs="Arial" w:eastAsia="Arial" w:hAnsi="Arial"/>
                <w:sz w:val="16"/>
                <w:szCs w:val="16"/>
                <w:color w:val="auto"/>
              </w:rPr>
              <w:t>Performing</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1,269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4,971</w:t>
            </w:r>
          </w:p>
        </w:tc>
        <w:tc>
          <w:tcPr>
            <w:tcW w:w="20" w:type="dxa"/>
            <w:vAlign w:val="bottom"/>
          </w:tcPr>
          <w:p>
            <w:pPr>
              <w:spacing w:after="0"/>
              <w:rPr>
                <w:sz w:val="18"/>
                <w:szCs w:val="18"/>
                <w:color w:val="auto"/>
              </w:rPr>
            </w:pPr>
          </w:p>
        </w:tc>
      </w:tr>
      <w:tr>
        <w:trPr>
          <w:trHeight w:val="215"/>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Nonperforming</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0" w:type="dxa"/>
            <w:vAlign w:val="bottom"/>
            <w:shd w:val="clear" w:color="auto" w:fill="CCEEFF"/>
          </w:tcPr>
          <w:p>
            <w:pPr>
              <w:spacing w:after="0"/>
              <w:rPr>
                <w:sz w:val="18"/>
                <w:szCs w:val="18"/>
                <w:color w:val="auto"/>
              </w:rPr>
            </w:pPr>
          </w:p>
        </w:tc>
      </w:tr>
      <w:tr>
        <w:trPr>
          <w:trHeight w:val="203"/>
        </w:trPr>
        <w:tc>
          <w:tcPr>
            <w:tcW w:w="3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residential mortgage loans</w:t>
            </w: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1,274</w:t>
            </w: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1,723</w:t>
            </w:r>
          </w:p>
        </w:tc>
        <w:tc>
          <w:tcPr>
            <w:tcW w:w="10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213</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1,666</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5,042</w:t>
            </w:r>
          </w:p>
        </w:tc>
        <w:tc>
          <w:tcPr>
            <w:tcW w:w="20" w:type="dxa"/>
            <w:vAlign w:val="bottom"/>
            <w:tcBorders>
              <w:top w:val="single" w:sz="8" w:color="auto"/>
              <w:bottom w:val="single" w:sz="8" w:color="auto"/>
            </w:tcBorders>
          </w:tcPr>
          <w:p>
            <w:pPr>
              <w:spacing w:after="0"/>
              <w:rPr>
                <w:sz w:val="17"/>
                <w:szCs w:val="17"/>
                <w:color w:val="auto"/>
              </w:rPr>
            </w:pPr>
          </w:p>
        </w:tc>
      </w:tr>
      <w:tr>
        <w:trPr>
          <w:trHeight w:val="228"/>
        </w:trPr>
        <w:tc>
          <w:tcPr>
            <w:tcW w:w="3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4,390</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6,189</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2,626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8,591</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22,959</w:t>
            </w:r>
          </w:p>
        </w:tc>
        <w:tc>
          <w:tcPr>
            <w:tcW w:w="20" w:type="dxa"/>
            <w:vAlign w:val="bottom"/>
            <w:shd w:val="clear" w:color="auto" w:fill="CCEEFF"/>
          </w:tcPr>
          <w:p>
            <w:pPr>
              <w:spacing w:after="0"/>
              <w:rPr>
                <w:sz w:val="19"/>
                <w:szCs w:val="19"/>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479"/>
        </w:trPr>
        <w:tc>
          <w:tcPr>
            <w:tcW w:w="3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61"/>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ind w:right="2"/>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Prior</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r>
      <w:tr>
        <w:trPr>
          <w:trHeight w:val="24"/>
        </w:trPr>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5"/>
        </w:trPr>
        <w:tc>
          <w:tcPr>
            <w:tcW w:w="3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2022</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3620" w:type="dxa"/>
            <w:vAlign w:val="bottom"/>
          </w:tcPr>
          <w:p>
            <w:pPr>
              <w:ind w:left="20"/>
              <w:spacing w:after="0"/>
              <w:rPr>
                <w:sz w:val="20"/>
                <w:szCs w:val="20"/>
                <w:color w:val="auto"/>
              </w:rPr>
            </w:pPr>
            <w:r>
              <w:rPr>
                <w:rFonts w:ascii="Arial" w:cs="Arial" w:eastAsia="Arial" w:hAnsi="Arial"/>
                <w:sz w:val="16"/>
                <w:szCs w:val="16"/>
                <w:b w:val="1"/>
                <w:bCs w:val="1"/>
                <w:color w:val="auto"/>
              </w:rPr>
              <w:t>Commercial mortgage loans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Loan-to-value ratios: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3620" w:type="dxa"/>
            <w:vAlign w:val="bottom"/>
          </w:tcPr>
          <w:p>
            <w:pPr>
              <w:ind w:left="20"/>
              <w:spacing w:after="0"/>
              <w:rPr>
                <w:sz w:val="20"/>
                <w:szCs w:val="20"/>
                <w:color w:val="auto"/>
              </w:rPr>
            </w:pPr>
            <w:r>
              <w:rPr>
                <w:rFonts w:ascii="Arial" w:cs="Arial" w:eastAsia="Arial" w:hAnsi="Arial"/>
                <w:sz w:val="16"/>
                <w:szCs w:val="16"/>
                <w:color w:val="auto"/>
              </w:rPr>
              <w:t>Less than 65%</w:t>
            </w:r>
          </w:p>
        </w:tc>
        <w:tc>
          <w:tcPr>
            <w:tcW w:w="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2,819</w:t>
            </w:r>
          </w:p>
        </w:tc>
        <w:tc>
          <w:tcPr>
            <w:tcW w:w="10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1,493</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888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3,627</w:t>
            </w:r>
          </w:p>
        </w:tc>
        <w:tc>
          <w:tcPr>
            <w:tcW w:w="20" w:type="dxa"/>
            <w:vAlign w:val="bottom"/>
          </w:tcPr>
          <w:p>
            <w:pPr>
              <w:spacing w:after="0"/>
              <w:rPr>
                <w:sz w:val="18"/>
                <w:szCs w:val="18"/>
                <w:color w:val="auto"/>
              </w:rPr>
            </w:pPr>
          </w:p>
        </w:tc>
        <w:tc>
          <w:tcPr>
            <w:tcW w:w="32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11,148</w:t>
            </w:r>
          </w:p>
        </w:tc>
        <w:tc>
          <w:tcPr>
            <w:tcW w:w="20" w:type="dxa"/>
            <w:vAlign w:val="bottom"/>
          </w:tcPr>
          <w:p>
            <w:pPr>
              <w:spacing w:after="0"/>
              <w:rPr>
                <w:sz w:val="18"/>
                <w:szCs w:val="18"/>
                <w:color w:val="auto"/>
              </w:rPr>
            </w:pPr>
          </w:p>
        </w:tc>
      </w:tr>
      <w:tr>
        <w:trPr>
          <w:trHeight w:val="215"/>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65% to 75%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1,920</w:t>
            </w:r>
          </w:p>
        </w:tc>
        <w:tc>
          <w:tcPr>
            <w:tcW w:w="20" w:type="dxa"/>
            <w:vAlign w:val="bottom"/>
          </w:tcPr>
          <w:p>
            <w:pPr>
              <w:spacing w:after="0"/>
              <w:rPr>
                <w:sz w:val="18"/>
                <w:szCs w:val="18"/>
                <w:color w:val="auto"/>
              </w:rPr>
            </w:pPr>
          </w:p>
        </w:tc>
      </w:tr>
      <w:tr>
        <w:trPr>
          <w:trHeight w:val="210"/>
        </w:trPr>
        <w:tc>
          <w:tcPr>
            <w:tcW w:w="3620" w:type="dxa"/>
            <w:vAlign w:val="bottom"/>
          </w:tcPr>
          <w:p>
            <w:pPr>
              <w:ind w:left="20"/>
              <w:spacing w:after="0"/>
              <w:rPr>
                <w:sz w:val="20"/>
                <w:szCs w:val="20"/>
                <w:color w:val="auto"/>
              </w:rPr>
            </w:pPr>
            <w:r>
              <w:rPr>
                <w:rFonts w:ascii="Arial" w:cs="Arial" w:eastAsia="Arial" w:hAnsi="Arial"/>
                <w:sz w:val="16"/>
                <w:szCs w:val="16"/>
                <w:color w:val="auto"/>
              </w:rPr>
              <w:t>76% to 80%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261</w:t>
            </w:r>
          </w:p>
        </w:tc>
        <w:tc>
          <w:tcPr>
            <w:tcW w:w="20" w:type="dxa"/>
            <w:vAlign w:val="bottom"/>
          </w:tcPr>
          <w:p>
            <w:pPr>
              <w:spacing w:after="0"/>
              <w:rPr>
                <w:sz w:val="18"/>
                <w:szCs w:val="18"/>
                <w:color w:val="auto"/>
              </w:rPr>
            </w:pPr>
          </w:p>
        </w:tc>
      </w:tr>
      <w:tr>
        <w:trPr>
          <w:trHeight w:val="215"/>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Greater than 80%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245</w:t>
            </w:r>
          </w:p>
        </w:tc>
        <w:tc>
          <w:tcPr>
            <w:tcW w:w="20" w:type="dxa"/>
            <w:vAlign w:val="bottom"/>
          </w:tcPr>
          <w:p>
            <w:pPr>
              <w:spacing w:after="0"/>
              <w:rPr>
                <w:sz w:val="18"/>
                <w:szCs w:val="18"/>
                <w:color w:val="auto"/>
              </w:rPr>
            </w:pPr>
          </w:p>
        </w:tc>
      </w:tr>
      <w:tr>
        <w:trPr>
          <w:trHeight w:val="203"/>
        </w:trPr>
        <w:tc>
          <w:tcPr>
            <w:tcW w:w="3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commercial mortgage loans</w:t>
            </w:r>
          </w:p>
        </w:tc>
        <w:tc>
          <w:tcPr>
            <w:tcW w:w="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2,419</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3,191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1,879</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1,377</w:t>
            </w: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4,263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13,574</w:t>
            </w:r>
          </w:p>
        </w:tc>
        <w:tc>
          <w:tcPr>
            <w:tcW w:w="20" w:type="dxa"/>
            <w:vAlign w:val="bottom"/>
          </w:tcPr>
          <w:p>
            <w:pPr>
              <w:spacing w:after="0"/>
              <w:rPr>
                <w:sz w:val="17"/>
                <w:szCs w:val="17"/>
                <w:color w:val="auto"/>
              </w:rPr>
            </w:pPr>
          </w:p>
        </w:tc>
      </w:tr>
      <w:tr>
        <w:trPr>
          <w:trHeight w:val="195"/>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Agricultural mortgage loans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0"/>
        </w:trPr>
        <w:tc>
          <w:tcPr>
            <w:tcW w:w="3620" w:type="dxa"/>
            <w:vAlign w:val="bottom"/>
          </w:tcPr>
          <w:p>
            <w:pPr>
              <w:ind w:left="20"/>
              <w:spacing w:after="0"/>
              <w:rPr>
                <w:sz w:val="20"/>
                <w:szCs w:val="20"/>
                <w:color w:val="auto"/>
              </w:rPr>
            </w:pPr>
            <w:r>
              <w:rPr>
                <w:rFonts w:ascii="Arial" w:cs="Arial" w:eastAsia="Arial" w:hAnsi="Arial"/>
                <w:sz w:val="16"/>
                <w:szCs w:val="16"/>
                <w:color w:val="auto"/>
              </w:rPr>
              <w:t>Loan-to-value ratios: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than 65%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3,994</w:t>
            </w:r>
          </w:p>
        </w:tc>
        <w:tc>
          <w:tcPr>
            <w:tcW w:w="20" w:type="dxa"/>
            <w:vAlign w:val="bottom"/>
          </w:tcPr>
          <w:p>
            <w:pPr>
              <w:spacing w:after="0"/>
              <w:rPr>
                <w:sz w:val="18"/>
                <w:szCs w:val="18"/>
                <w:color w:val="auto"/>
              </w:rPr>
            </w:pPr>
          </w:p>
        </w:tc>
      </w:tr>
      <w:tr>
        <w:trPr>
          <w:trHeight w:val="210"/>
        </w:trPr>
        <w:tc>
          <w:tcPr>
            <w:tcW w:w="3620" w:type="dxa"/>
            <w:vAlign w:val="bottom"/>
          </w:tcPr>
          <w:p>
            <w:pPr>
              <w:ind w:left="20"/>
              <w:spacing w:after="0"/>
              <w:rPr>
                <w:sz w:val="20"/>
                <w:szCs w:val="20"/>
                <w:color w:val="auto"/>
              </w:rPr>
            </w:pPr>
            <w:r>
              <w:rPr>
                <w:rFonts w:ascii="Arial" w:cs="Arial" w:eastAsia="Arial" w:hAnsi="Arial"/>
                <w:sz w:val="16"/>
                <w:szCs w:val="16"/>
                <w:color w:val="auto"/>
              </w:rPr>
              <w:t>65% to 75%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370</w:t>
            </w:r>
          </w:p>
        </w:tc>
        <w:tc>
          <w:tcPr>
            <w:tcW w:w="20" w:type="dxa"/>
            <w:vAlign w:val="bottom"/>
          </w:tcPr>
          <w:p>
            <w:pPr>
              <w:spacing w:after="0"/>
              <w:rPr>
                <w:sz w:val="18"/>
                <w:szCs w:val="18"/>
                <w:color w:val="auto"/>
              </w:rPr>
            </w:pPr>
          </w:p>
        </w:tc>
      </w:tr>
      <w:tr>
        <w:trPr>
          <w:trHeight w:val="214"/>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Greater than 80%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r>
      <w:tr>
        <w:trPr>
          <w:trHeight w:val="203"/>
        </w:trPr>
        <w:tc>
          <w:tcPr>
            <w:tcW w:w="3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agricultural mortgage loans</w:t>
            </w:r>
          </w:p>
        </w:tc>
        <w:tc>
          <w:tcPr>
            <w:tcW w:w="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680</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1,253</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645</w:t>
            </w: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756</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4,365</w:t>
            </w:r>
          </w:p>
        </w:tc>
        <w:tc>
          <w:tcPr>
            <w:tcW w:w="20" w:type="dxa"/>
            <w:vAlign w:val="bottom"/>
          </w:tcPr>
          <w:p>
            <w:pPr>
              <w:spacing w:after="0"/>
              <w:rPr>
                <w:sz w:val="17"/>
                <w:szCs w:val="17"/>
                <w:color w:val="auto"/>
              </w:rPr>
            </w:pPr>
          </w:p>
        </w:tc>
      </w:tr>
      <w:tr>
        <w:trPr>
          <w:trHeight w:val="195"/>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Residential mortgage loans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3620" w:type="dxa"/>
            <w:vAlign w:val="bottom"/>
          </w:tcPr>
          <w:p>
            <w:pPr>
              <w:ind w:left="20"/>
              <w:spacing w:after="0"/>
              <w:rPr>
                <w:sz w:val="20"/>
                <w:szCs w:val="20"/>
                <w:color w:val="auto"/>
              </w:rPr>
            </w:pPr>
            <w:r>
              <w:rPr>
                <w:rFonts w:ascii="Arial" w:cs="Arial" w:eastAsia="Arial" w:hAnsi="Arial"/>
                <w:sz w:val="16"/>
                <w:szCs w:val="16"/>
                <w:color w:val="auto"/>
              </w:rPr>
              <w:t>Performing</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168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5,052</w:t>
            </w:r>
          </w:p>
        </w:tc>
        <w:tc>
          <w:tcPr>
            <w:tcW w:w="20" w:type="dxa"/>
            <w:vAlign w:val="bottom"/>
          </w:tcPr>
          <w:p>
            <w:pPr>
              <w:spacing w:after="0"/>
              <w:rPr>
                <w:sz w:val="18"/>
                <w:szCs w:val="18"/>
                <w:color w:val="auto"/>
              </w:rPr>
            </w:pPr>
          </w:p>
        </w:tc>
      </w:tr>
      <w:tr>
        <w:trPr>
          <w:trHeight w:val="215"/>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Nonperforming</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w:t>
            </w:r>
          </w:p>
        </w:tc>
        <w:tc>
          <w:tcPr>
            <w:tcW w:w="20" w:type="dxa"/>
            <w:vAlign w:val="bottom"/>
          </w:tcPr>
          <w:p>
            <w:pPr>
              <w:spacing w:after="0"/>
              <w:rPr>
                <w:sz w:val="18"/>
                <w:szCs w:val="18"/>
                <w:color w:val="auto"/>
              </w:rPr>
            </w:pPr>
          </w:p>
        </w:tc>
      </w:tr>
      <w:tr>
        <w:trPr>
          <w:trHeight w:val="203"/>
        </w:trPr>
        <w:tc>
          <w:tcPr>
            <w:tcW w:w="3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residential mortgage loans</w:t>
            </w:r>
          </w:p>
        </w:tc>
        <w:tc>
          <w:tcPr>
            <w:tcW w:w="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1,270</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1,753</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169</w:t>
            </w: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1,540</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5,116</w:t>
            </w:r>
          </w:p>
        </w:tc>
        <w:tc>
          <w:tcPr>
            <w:tcW w:w="20" w:type="dxa"/>
            <w:vAlign w:val="bottom"/>
          </w:tcPr>
          <w:p>
            <w:pPr>
              <w:spacing w:after="0"/>
              <w:rPr>
                <w:sz w:val="17"/>
                <w:szCs w:val="17"/>
                <w:color w:val="auto"/>
              </w:rPr>
            </w:pPr>
          </w:p>
        </w:tc>
      </w:tr>
      <w:tr>
        <w:trPr>
          <w:trHeight w:val="228"/>
        </w:trPr>
        <w:tc>
          <w:tcPr>
            <w:tcW w:w="3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6,197</w:t>
            </w: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2,191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6,559</w:t>
            </w: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23,055</w:t>
            </w:r>
          </w:p>
        </w:tc>
        <w:tc>
          <w:tcPr>
            <w:tcW w:w="20" w:type="dxa"/>
            <w:vAlign w:val="bottom"/>
          </w:tcPr>
          <w:p>
            <w:pPr>
              <w:spacing w:after="0"/>
              <w:rPr>
                <w:sz w:val="19"/>
                <w:szCs w:val="19"/>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loan-to-value ratio is a measure commonly used to assess the quality of commercial and agricultural mortgage loans. The loan-to-value ratio compares the amount of the loan to the estimated fair value of the underlying property collateralizing the loan and is commonly expressed as a percentage. A loan-to-value ratio less than 100% indicates an excess of collateral value over the loan amount. Loan-to-value ratios greater than 100% indicate that the loan amount exceeds the collateral value. Performing status is a measure commonly used to assess the quality of residential mortgage loans. A loan is considered performing when the borrower makes consistent and timely payments.</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amortized cost of commercial mortgage loans by debt-service coverage ratio was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3"/>
          </w:tcPr>
          <w:p>
            <w:pPr>
              <w:ind w:left="800"/>
              <w:spacing w:after="0"/>
              <w:rPr>
                <w:sz w:val="20"/>
                <w:szCs w:val="20"/>
                <w:color w:val="auto"/>
              </w:rPr>
            </w:pPr>
            <w:r>
              <w:rPr>
                <w:rFonts w:ascii="Arial" w:cs="Arial" w:eastAsia="Arial" w:hAnsi="Arial"/>
                <w:sz w:val="14"/>
                <w:szCs w:val="14"/>
                <w:b w:val="1"/>
                <w:bCs w:val="1"/>
                <w:color w:val="auto"/>
                <w:w w:val="94"/>
              </w:rPr>
              <w:t>March 31, 2023</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gridSpan w:val="3"/>
          </w:tcPr>
          <w:p>
            <w:pPr>
              <w:jc w:val="right"/>
              <w:ind w:right="743"/>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4"/>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6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76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880" w:type="dxa"/>
            <w:vAlign w:val="bottom"/>
            <w:tcBorders>
              <w:top w:val="single" w:sz="8" w:color="auto"/>
            </w:tcBorders>
          </w:tcPr>
          <w:p>
            <w:pPr>
              <w:ind w:left="40"/>
              <w:spacing w:after="0" w:line="130"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1380" w:type="dxa"/>
            <w:vAlign w:val="bottom"/>
            <w:tcBorders>
              <w:top w:val="single" w:sz="8" w:color="auto"/>
            </w:tcBorders>
          </w:tcPr>
          <w:p>
            <w:pPr>
              <w:jc w:val="right"/>
              <w:ind w:right="463"/>
              <w:spacing w:after="0" w:line="130"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9"/>
        </w:trPr>
        <w:tc>
          <w:tcPr>
            <w:tcW w:w="5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vMerge w:val="continue"/>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38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380" w:type="dxa"/>
            <w:vAlign w:val="bottom"/>
            <w:gridSpan w:val="5"/>
          </w:tcPr>
          <w:p>
            <w:pPr>
              <w:ind w:left="340"/>
              <w:spacing w:after="0"/>
              <w:rPr>
                <w:sz w:val="20"/>
                <w:szCs w:val="20"/>
                <w:color w:val="auto"/>
              </w:rPr>
            </w:pPr>
            <w:r>
              <w:rPr>
                <w:rFonts w:ascii="Arial" w:cs="Arial" w:eastAsia="Arial" w:hAnsi="Arial"/>
                <w:sz w:val="14"/>
                <w:szCs w:val="14"/>
                <w:b w:val="1"/>
                <w:bCs w:val="1"/>
                <w:color w:val="auto"/>
              </w:rPr>
              <w:t>(Dollars in millions)</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Debt-service coverage ratios:</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00" w:type="dxa"/>
            <w:vAlign w:val="bottom"/>
          </w:tcPr>
          <w:p>
            <w:pPr>
              <w:ind w:left="20"/>
              <w:spacing w:after="0"/>
              <w:rPr>
                <w:sz w:val="20"/>
                <w:szCs w:val="20"/>
                <w:color w:val="auto"/>
              </w:rPr>
            </w:pPr>
            <w:r>
              <w:rPr>
                <w:rFonts w:ascii="Arial" w:cs="Arial" w:eastAsia="Arial" w:hAnsi="Arial"/>
                <w:sz w:val="16"/>
                <w:szCs w:val="16"/>
                <w:color w:val="auto"/>
              </w:rPr>
              <w:t>Greater than 1.20x</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12,365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91.4 %</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12,157</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89.6 %</w:t>
            </w:r>
          </w:p>
        </w:tc>
        <w:tc>
          <w:tcPr>
            <w:tcW w:w="0" w:type="dxa"/>
            <w:vAlign w:val="bottom"/>
          </w:tcPr>
          <w:p>
            <w:pPr>
              <w:spacing w:after="0"/>
              <w:rPr>
                <w:sz w:val="1"/>
                <w:szCs w:val="1"/>
                <w:color w:val="auto"/>
              </w:rPr>
            </w:pPr>
          </w:p>
        </w:tc>
      </w:tr>
      <w:tr>
        <w:trPr>
          <w:trHeight w:val="214"/>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1.00x - 1.20x</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9"/>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than 1.00x</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5.5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33"/>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13,529</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13,574</w:t>
            </w:r>
          </w:p>
        </w:tc>
        <w:tc>
          <w:tcPr>
            <w:tcW w:w="12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debt-service coverage ratio compares a property’s net operating income to its debt-service payments. Debt-service coverage ratios less than 1.00 times indicate that property operations do not generate enough income to cover the loan’s current debt payments. A debt-service coverage ratio greater than 1.00 times indicates an excess of net operating income over the debt-service payments.</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Past Due Mortgage Loans by Portfolio Segment</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Company has a high-quality, well-performing mortgage loan portfolio, with over 99% of all mortgage loans classified as performing at both March 31, 2023 and December 31, 2022. Delinquency is defined consistent with industry practice, when mortgage loans are past due as follows: commercial and residential mortgage loans — 60 days; and agricultural mortgage loans — 90 days.</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aging of the amortized cost of past due mortgage loans by portfolio segment was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gridSpan w:val="5"/>
          </w:tcPr>
          <w:p>
            <w:pPr>
              <w:ind w:left="460"/>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gridSpan w:val="5"/>
          </w:tcPr>
          <w:p>
            <w:pPr>
              <w:ind w:left="340"/>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4"/>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5"/>
        </w:trPr>
        <w:tc>
          <w:tcPr>
            <w:tcW w:w="22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Agricultural</w:t>
            </w:r>
          </w:p>
        </w:tc>
        <w:tc>
          <w:tcPr>
            <w:tcW w:w="1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Residential</w:t>
            </w: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1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Agricultural</w:t>
            </w:r>
          </w:p>
        </w:tc>
        <w:tc>
          <w:tcPr>
            <w:tcW w:w="16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Residential</w:t>
            </w:r>
          </w:p>
        </w:tc>
        <w:tc>
          <w:tcPr>
            <w:tcW w:w="1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Total</w:t>
            </w:r>
          </w:p>
        </w:tc>
      </w:tr>
      <w:tr>
        <w:trPr>
          <w:trHeight w:val="191"/>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5"/>
          </w:tcPr>
          <w:p>
            <w:pPr>
              <w:ind w:left="34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9"/>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13,512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4,382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22,863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22,961</w:t>
            </w:r>
          </w:p>
        </w:tc>
      </w:tr>
      <w:tr>
        <w:trPr>
          <w:trHeight w:val="210"/>
        </w:trPr>
        <w:tc>
          <w:tcPr>
            <w:tcW w:w="2240" w:type="dxa"/>
            <w:vAlign w:val="bottom"/>
          </w:tcPr>
          <w:p>
            <w:pPr>
              <w:ind w:left="20"/>
              <w:spacing w:after="0"/>
              <w:rPr>
                <w:sz w:val="20"/>
                <w:szCs w:val="20"/>
                <w:color w:val="auto"/>
              </w:rPr>
            </w:pPr>
            <w:r>
              <w:rPr>
                <w:rFonts w:ascii="Arial" w:cs="Arial" w:eastAsia="Arial" w:hAnsi="Arial"/>
                <w:sz w:val="16"/>
                <w:szCs w:val="16"/>
                <w:color w:val="auto"/>
              </w:rPr>
              <w:t>30-59 days past due</w:t>
            </w:r>
          </w:p>
        </w:tc>
        <w:tc>
          <w:tcPr>
            <w:tcW w:w="12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60-89 days past due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9"/>
        </w:trPr>
        <w:tc>
          <w:tcPr>
            <w:tcW w:w="2240" w:type="dxa"/>
            <w:vAlign w:val="bottom"/>
          </w:tcPr>
          <w:p>
            <w:pPr>
              <w:ind w:left="20"/>
              <w:spacing w:after="0"/>
              <w:rPr>
                <w:sz w:val="20"/>
                <w:szCs w:val="20"/>
                <w:color w:val="auto"/>
              </w:rPr>
            </w:pPr>
            <w:r>
              <w:rPr>
                <w:rFonts w:ascii="Arial" w:cs="Arial" w:eastAsia="Arial" w:hAnsi="Arial"/>
                <w:sz w:val="16"/>
                <w:szCs w:val="16"/>
                <w:color w:val="auto"/>
              </w:rPr>
              <w:t>90-179 days past due</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3"/>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2"/>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180+ days past due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380"/>
        </w:trPr>
        <w:tc>
          <w:tcPr>
            <w:tcW w:w="2240" w:type="dxa"/>
            <w:vAlign w:val="bottom"/>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13,529</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4,388</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5,042</w:t>
            </w: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22,959</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13,574</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4,365</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5,116</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23,055</w:t>
            </w:r>
          </w:p>
        </w:tc>
      </w:tr>
      <w:tr>
        <w:trPr>
          <w:trHeight w:val="20"/>
        </w:trPr>
        <w:tc>
          <w:tcPr>
            <w:tcW w:w="2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Mortgage Loans in Nonaccrual Status by Portfolio Segment</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Mortgage loans are placed in a nonaccrual status if there are concerns regarding collectability of future payments or the loan is past due, unless the past due loan is well collateralized.</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amortized cost of mortgage loans in a nonaccrual status by portfolio segment was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303"/>
              <w:spacing w:after="0"/>
              <w:rPr>
                <w:sz w:val="20"/>
                <w:szCs w:val="20"/>
                <w:color w:val="auto"/>
              </w:rPr>
            </w:pPr>
            <w:r>
              <w:rPr>
                <w:rFonts w:ascii="Arial" w:cs="Arial" w:eastAsia="Arial" w:hAnsi="Arial"/>
                <w:sz w:val="14"/>
                <w:szCs w:val="14"/>
                <w:b w:val="1"/>
                <w:bCs w:val="1"/>
                <w:color w:val="auto"/>
              </w:rPr>
              <w:t>Commercial</w:t>
            </w:r>
          </w:p>
        </w:tc>
        <w:tc>
          <w:tcPr>
            <w:tcW w:w="300" w:type="dxa"/>
            <w:vAlign w:val="bottom"/>
          </w:tcPr>
          <w:p>
            <w:pPr>
              <w:spacing w:after="0"/>
              <w:rPr>
                <w:sz w:val="15"/>
                <w:szCs w:val="15"/>
                <w:color w:val="auto"/>
              </w:rPr>
            </w:pPr>
          </w:p>
        </w:tc>
        <w:tc>
          <w:tcPr>
            <w:tcW w:w="1260" w:type="dxa"/>
            <w:vAlign w:val="bottom"/>
          </w:tcPr>
          <w:p>
            <w:pPr>
              <w:jc w:val="right"/>
              <w:ind w:right="305"/>
              <w:spacing w:after="0"/>
              <w:rPr>
                <w:sz w:val="20"/>
                <w:szCs w:val="20"/>
                <w:color w:val="auto"/>
              </w:rPr>
            </w:pPr>
            <w:r>
              <w:rPr>
                <w:rFonts w:ascii="Arial" w:cs="Arial" w:eastAsia="Arial" w:hAnsi="Arial"/>
                <w:sz w:val="14"/>
                <w:szCs w:val="14"/>
                <w:b w:val="1"/>
                <w:bCs w:val="1"/>
                <w:color w:val="auto"/>
              </w:rPr>
              <w:t>Agricultural</w:t>
            </w:r>
          </w:p>
        </w:tc>
        <w:tc>
          <w:tcPr>
            <w:tcW w:w="280" w:type="dxa"/>
            <w:vAlign w:val="bottom"/>
          </w:tcPr>
          <w:p>
            <w:pPr>
              <w:spacing w:after="0"/>
              <w:rPr>
                <w:sz w:val="15"/>
                <w:szCs w:val="15"/>
                <w:color w:val="auto"/>
              </w:rPr>
            </w:pPr>
          </w:p>
        </w:tc>
        <w:tc>
          <w:tcPr>
            <w:tcW w:w="1280" w:type="dxa"/>
            <w:vAlign w:val="bottom"/>
          </w:tcPr>
          <w:p>
            <w:pPr>
              <w:jc w:val="right"/>
              <w:ind w:right="243"/>
              <w:spacing w:after="0"/>
              <w:rPr>
                <w:sz w:val="20"/>
                <w:szCs w:val="20"/>
                <w:color w:val="auto"/>
              </w:rPr>
            </w:pPr>
            <w:r>
              <w:rPr>
                <w:rFonts w:ascii="Arial" w:cs="Arial" w:eastAsia="Arial" w:hAnsi="Arial"/>
                <w:sz w:val="14"/>
                <w:szCs w:val="14"/>
                <w:b w:val="1"/>
                <w:bCs w:val="1"/>
                <w:color w:val="auto"/>
                <w:w w:val="98"/>
              </w:rPr>
              <w:t>Residential (1)</w:t>
            </w:r>
          </w:p>
        </w:tc>
        <w:tc>
          <w:tcPr>
            <w:tcW w:w="420" w:type="dxa"/>
            <w:vAlign w:val="bottom"/>
          </w:tcPr>
          <w:p>
            <w:pPr>
              <w:spacing w:after="0"/>
              <w:rPr>
                <w:sz w:val="15"/>
                <w:szCs w:val="15"/>
                <w:color w:val="auto"/>
              </w:rPr>
            </w:pPr>
          </w:p>
        </w:tc>
        <w:tc>
          <w:tcPr>
            <w:tcW w:w="1120" w:type="dxa"/>
            <w:vAlign w:val="bottom"/>
          </w:tcPr>
          <w:p>
            <w:pPr>
              <w:jc w:val="right"/>
              <w:ind w:right="503"/>
              <w:spacing w:after="0"/>
              <w:rPr>
                <w:sz w:val="20"/>
                <w:szCs w:val="20"/>
                <w:color w:val="auto"/>
              </w:rPr>
            </w:pPr>
            <w:r>
              <w:rPr>
                <w:rFonts w:ascii="Arial" w:cs="Arial" w:eastAsia="Arial" w:hAnsi="Arial"/>
                <w:sz w:val="14"/>
                <w:szCs w:val="14"/>
                <w:b w:val="1"/>
                <w:bCs w:val="1"/>
                <w:color w:val="auto"/>
              </w:rPr>
              <w:t>Total</w:t>
            </w:r>
          </w:p>
        </w:tc>
      </w:tr>
      <w:tr>
        <w:trPr>
          <w:trHeight w:val="24"/>
        </w:trPr>
        <w:tc>
          <w:tcPr>
            <w:tcW w:w="7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5"/>
        </w:trPr>
        <w:tc>
          <w:tcPr>
            <w:tcW w:w="70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3"/>
          </w:tcPr>
          <w:p>
            <w:pPr>
              <w:jc w:val="right"/>
              <w:ind w:right="1083"/>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9"/>
        </w:trPr>
        <w:tc>
          <w:tcPr>
            <w:tcW w:w="7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March 31,</w:t>
            </w:r>
          </w:p>
        </w:tc>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29</w:t>
            </w:r>
          </w:p>
        </w:tc>
        <w:tc>
          <w:tcPr>
            <w:tcW w:w="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w:t>
            </w:r>
          </w:p>
        </w:tc>
        <w:tc>
          <w:tcPr>
            <w:tcW w:w="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71</w:t>
            </w:r>
          </w:p>
        </w:tc>
        <w:tc>
          <w:tcPr>
            <w:tcW w:w="4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07"/>
        </w:trPr>
        <w:tc>
          <w:tcPr>
            <w:tcW w:w="700" w:type="dxa"/>
            <w:vAlign w:val="bottom"/>
          </w:tcPr>
          <w:p>
            <w:pPr>
              <w:ind w:left="20"/>
              <w:spacing w:after="0"/>
              <w:rPr>
                <w:sz w:val="20"/>
                <w:szCs w:val="20"/>
                <w:color w:val="auto"/>
              </w:rPr>
            </w:pPr>
            <w:r>
              <w:rPr>
                <w:rFonts w:ascii="Arial" w:cs="Arial" w:eastAsia="Arial" w:hAnsi="Arial"/>
                <w:sz w:val="16"/>
                <w:szCs w:val="16"/>
                <w:color w:val="auto"/>
                <w:w w:val="89"/>
              </w:rPr>
              <w:t>December</w:t>
            </w:r>
          </w:p>
        </w:tc>
        <w:tc>
          <w:tcPr>
            <w:tcW w:w="4400" w:type="dxa"/>
            <w:vAlign w:val="bottom"/>
          </w:tcPr>
          <w:p>
            <w:pPr>
              <w:ind w:left="20"/>
              <w:spacing w:after="0"/>
              <w:rPr>
                <w:sz w:val="20"/>
                <w:szCs w:val="20"/>
                <w:color w:val="auto"/>
              </w:rPr>
            </w:pPr>
            <w:r>
              <w:rPr>
                <w:rFonts w:ascii="Arial" w:cs="Arial" w:eastAsia="Arial" w:hAnsi="Arial"/>
                <w:sz w:val="16"/>
                <w:szCs w:val="16"/>
                <w:color w:val="auto"/>
              </w:rPr>
              <w:t>31, 2022</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3"/>
              <w:spacing w:after="0"/>
              <w:rPr>
                <w:sz w:val="20"/>
                <w:szCs w:val="20"/>
                <w:color w:val="auto"/>
              </w:rPr>
            </w:pPr>
            <w:r>
              <w:rPr>
                <w:rFonts w:ascii="Arial" w:cs="Arial" w:eastAsia="Arial" w:hAnsi="Arial"/>
                <w:sz w:val="16"/>
                <w:szCs w:val="16"/>
                <w:color w:val="auto"/>
              </w:rPr>
              <w:t>11</w:t>
            </w:r>
          </w:p>
        </w:tc>
        <w:tc>
          <w:tcPr>
            <w:tcW w:w="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5"/>
              <w:spacing w:after="0"/>
              <w:rPr>
                <w:sz w:val="20"/>
                <w:szCs w:val="20"/>
                <w:color w:val="auto"/>
              </w:rPr>
            </w:pPr>
            <w:r>
              <w:rPr>
                <w:rFonts w:ascii="Arial" w:cs="Arial" w:eastAsia="Arial" w:hAnsi="Arial"/>
                <w:sz w:val="16"/>
                <w:szCs w:val="16"/>
                <w:color w:val="auto"/>
              </w:rPr>
              <w:t>3</w:t>
            </w:r>
          </w:p>
        </w:tc>
        <w:tc>
          <w:tcPr>
            <w:tcW w:w="2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
              <w:spacing w:after="0"/>
              <w:rPr>
                <w:sz w:val="20"/>
                <w:szCs w:val="20"/>
                <w:color w:val="auto"/>
              </w:rPr>
            </w:pPr>
            <w:r>
              <w:rPr>
                <w:rFonts w:ascii="Arial" w:cs="Arial" w:eastAsia="Arial" w:hAnsi="Arial"/>
                <w:sz w:val="16"/>
                <w:szCs w:val="16"/>
                <w:color w:val="auto"/>
              </w:rPr>
              <w:t>64</w:t>
            </w:r>
          </w:p>
        </w:tc>
        <w:tc>
          <w:tcPr>
            <w:tcW w:w="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78</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jc w:val="both"/>
        <w:ind w:left="320" w:hanging="314"/>
        <w:spacing w:after="0" w:line="277" w:lineRule="auto"/>
        <w:tabs>
          <w:tab w:leader="none" w:pos="314"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 had $2 million of mortgage loans in nonaccrual status for which there was no related allowance for credit losses at March 31, 2023. All mortgage loans in nonaccrual status had an allowance for credit losses at December 31, 2022. Mortgage loans in nonaccrual status for which there was no related allowance for credit losses pertains to collateral dependent loans where the collateral value exceeds amortized cost.</w:t>
      </w:r>
    </w:p>
    <w:p>
      <w:pPr>
        <w:spacing w:after="0" w:line="65"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Current period investment income on mortgage loans in nonaccrual status was less than $1 million for both the three months ended March 31, 2023 and 2022.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Invested Assets</w:t>
      </w:r>
    </w:p>
    <w:p>
      <w:pPr>
        <w:spacing w:after="0" w:line="11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Over 80% of other invested assets is comprised of freestanding derivatives with positive estimated fair values. See Note 7 for information about freestanding derivatives with positive estimated fair values. Other invested assets also includes the Company’s investment in company-owned life insurance, Federal Home Loan Bank (“FHLB”) stock, tax credit and renewable energy partnerships and leveraged leases.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Investment Gains (Losses)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Unrealized investment gains (losses) on fixed maturity securities and the effect on future policy benefits, that would result from the realization of the unrealized gains (losses), are included in net unrealized investment gains (losses) in AOCI.</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net unrealized investment gains (losses), included in AOCI,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2023</w:t>
            </w:r>
          </w:p>
        </w:tc>
        <w:tc>
          <w:tcPr>
            <w:tcW w:w="160" w:type="dxa"/>
            <w:vAlign w:val="bottom"/>
          </w:tcPr>
          <w:p>
            <w:pPr>
              <w:spacing w:after="0"/>
              <w:rPr>
                <w:sz w:val="15"/>
                <w:szCs w:val="15"/>
                <w:color w:val="auto"/>
              </w:rPr>
            </w:pPr>
          </w:p>
        </w:tc>
        <w:tc>
          <w:tcPr>
            <w:tcW w:w="1420" w:type="dxa"/>
            <w:vAlign w:val="bottom"/>
          </w:tcPr>
          <w:p>
            <w:pPr>
              <w:jc w:val="right"/>
              <w:ind w:right="142"/>
              <w:spacing w:after="0"/>
              <w:rPr>
                <w:sz w:val="20"/>
                <w:szCs w:val="20"/>
                <w:color w:val="auto"/>
              </w:rPr>
            </w:pPr>
            <w:r>
              <w:rPr>
                <w:rFonts w:ascii="Arial" w:cs="Arial" w:eastAsia="Arial" w:hAnsi="Arial"/>
                <w:sz w:val="14"/>
                <w:szCs w:val="14"/>
                <w:b w:val="1"/>
                <w:bCs w:val="1"/>
                <w:color w:val="auto"/>
                <w:w w:val="93"/>
              </w:rPr>
              <w:t>December 31, 2022</w:t>
            </w:r>
          </w:p>
        </w:tc>
      </w:tr>
      <w:tr>
        <w:trPr>
          <w:trHeight w:val="24"/>
        </w:trPr>
        <w:tc>
          <w:tcPr>
            <w:tcW w:w="7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4"/>
          </w:tcPr>
          <w:p>
            <w:pPr>
              <w:spacing w:after="0"/>
              <w:rPr>
                <w:sz w:val="2"/>
                <w:szCs w:val="2"/>
                <w:color w:val="auto"/>
              </w:rPr>
            </w:pPr>
          </w:p>
        </w:tc>
      </w:tr>
      <w:tr>
        <w:trPr>
          <w:trHeight w:val="185"/>
        </w:trPr>
        <w:tc>
          <w:tcPr>
            <w:tcW w:w="7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00" w:type="dxa"/>
            <w:vAlign w:val="bottom"/>
            <w:gridSpan w:val="4"/>
          </w:tcPr>
          <w:p>
            <w:pPr>
              <w:jc w:val="right"/>
              <w:ind w:right="1222"/>
              <w:spacing w:after="0"/>
              <w:rPr>
                <w:sz w:val="20"/>
                <w:szCs w:val="20"/>
                <w:color w:val="auto"/>
              </w:rPr>
            </w:pPr>
            <w:r>
              <w:rPr>
                <w:rFonts w:ascii="Arial" w:cs="Arial" w:eastAsia="Arial" w:hAnsi="Arial"/>
                <w:sz w:val="14"/>
                <w:szCs w:val="14"/>
                <w:b w:val="1"/>
                <w:bCs w:val="1"/>
                <w:color w:val="auto"/>
              </w:rPr>
              <w:t>(In millions)</w:t>
            </w:r>
          </w:p>
        </w:tc>
      </w:tr>
      <w:tr>
        <w:trPr>
          <w:trHeight w:val="219"/>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(8,760)</w:t>
            </w:r>
          </w:p>
        </w:tc>
      </w:tr>
      <w:tr>
        <w:trPr>
          <w:trHeight w:val="210"/>
        </w:trPr>
        <w:tc>
          <w:tcPr>
            <w:tcW w:w="792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638</w:t>
            </w:r>
          </w:p>
        </w:tc>
      </w:tr>
      <w:tr>
        <w:trPr>
          <w:trHeight w:val="215"/>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3"/>
        </w:trPr>
        <w:tc>
          <w:tcPr>
            <w:tcW w:w="79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Subtotal</w:t>
            </w: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(8,119)</w:t>
            </w:r>
          </w:p>
        </w:tc>
      </w:tr>
      <w:tr>
        <w:trPr>
          <w:trHeight w:val="195"/>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allocated from:</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0"/>
        </w:trPr>
        <w:tc>
          <w:tcPr>
            <w:tcW w:w="7920" w:type="dxa"/>
            <w:vAlign w:val="bottom"/>
          </w:tcPr>
          <w:p>
            <w:pPr>
              <w:ind w:left="20"/>
              <w:spacing w:after="0"/>
              <w:rPr>
                <w:sz w:val="20"/>
                <w:szCs w:val="20"/>
                <w:color w:val="auto"/>
              </w:rPr>
            </w:pPr>
            <w:r>
              <w:rPr>
                <w:rFonts w:ascii="Arial" w:cs="Arial" w:eastAsia="Arial" w:hAnsi="Arial"/>
                <w:sz w:val="16"/>
                <w:szCs w:val="16"/>
                <w:color w:val="auto"/>
              </w:rPr>
              <w:t>Future policy benefits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917</w:t>
            </w:r>
          </w:p>
        </w:tc>
      </w:tr>
      <w:tr>
        <w:trPr>
          <w:trHeight w:val="212"/>
        </w:trPr>
        <w:tc>
          <w:tcPr>
            <w:tcW w:w="7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 benefit (expense)</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1,512</w:t>
            </w:r>
          </w:p>
        </w:tc>
      </w:tr>
      <w:tr>
        <w:trPr>
          <w:trHeight w:val="208"/>
        </w:trPr>
        <w:tc>
          <w:tcPr>
            <w:tcW w:w="7920" w:type="dxa"/>
            <w:vAlign w:val="bottom"/>
          </w:tcPr>
          <w:p>
            <w:pPr>
              <w:ind w:left="180"/>
              <w:spacing w:after="0"/>
              <w:rPr>
                <w:sz w:val="20"/>
                <w:szCs w:val="20"/>
                <w:color w:val="auto"/>
              </w:rPr>
            </w:pPr>
            <w:r>
              <w:rPr>
                <w:rFonts w:ascii="Arial" w:cs="Arial" w:eastAsia="Arial" w:hAnsi="Arial"/>
                <w:sz w:val="16"/>
                <w:szCs w:val="16"/>
                <w:color w:val="auto"/>
              </w:rPr>
              <w:t>Net unrealized investment gains (losses)</w:t>
            </w:r>
          </w:p>
        </w:tc>
        <w:tc>
          <w:tcPr>
            <w:tcW w:w="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(4,556)</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(5,690)</w:t>
            </w:r>
          </w:p>
        </w:tc>
      </w:tr>
      <w:tr>
        <w:trPr>
          <w:trHeight w:val="20"/>
        </w:trPr>
        <w:tc>
          <w:tcPr>
            <w:tcW w:w="7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changes in net unrealized investment gains (losses)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jc w:val="center"/>
              <w:ind w:right="23"/>
              <w:spacing w:after="0"/>
              <w:rPr>
                <w:sz w:val="20"/>
                <w:szCs w:val="20"/>
                <w:color w:val="auto"/>
              </w:rPr>
            </w:pPr>
            <w:r>
              <w:rPr>
                <w:rFonts w:ascii="Arial" w:cs="Arial" w:eastAsia="Arial" w:hAnsi="Arial"/>
                <w:sz w:val="14"/>
                <w:szCs w:val="14"/>
                <w:b w:val="1"/>
                <w:bCs w:val="1"/>
                <w:color w:val="auto"/>
                <w:w w:val="93"/>
              </w:rPr>
              <w:t>Three Months Ended March</w:t>
            </w:r>
          </w:p>
        </w:tc>
      </w:tr>
      <w:tr>
        <w:trPr>
          <w:trHeight w:val="189"/>
        </w:trPr>
        <w:tc>
          <w:tcPr>
            <w:tcW w:w="9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88"/>
              </w:rPr>
              <w:t>31, 2023</w:t>
            </w:r>
          </w:p>
        </w:tc>
      </w:tr>
      <w:tr>
        <w:trPr>
          <w:trHeight w:val="190"/>
        </w:trPr>
        <w:tc>
          <w:tcPr>
            <w:tcW w:w="9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jc w:val="center"/>
              <w:ind w:right="3"/>
              <w:spacing w:after="0"/>
              <w:rPr>
                <w:sz w:val="20"/>
                <w:szCs w:val="20"/>
                <w:color w:val="auto"/>
              </w:rPr>
            </w:pPr>
            <w:r>
              <w:rPr>
                <w:rFonts w:ascii="Arial" w:cs="Arial" w:eastAsia="Arial" w:hAnsi="Arial"/>
                <w:sz w:val="14"/>
                <w:szCs w:val="14"/>
                <w:b w:val="1"/>
                <w:bCs w:val="1"/>
                <w:color w:val="auto"/>
                <w:w w:val="94"/>
              </w:rPr>
              <w:t>(In millions)</w:t>
            </w:r>
          </w:p>
        </w:tc>
      </w:tr>
      <w:tr>
        <w:trPr>
          <w:trHeight w:val="219"/>
        </w:trPr>
        <w:tc>
          <w:tcPr>
            <w:tcW w:w="9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(5,690)</w:t>
            </w:r>
          </w:p>
        </w:tc>
      </w:tr>
      <w:tr>
        <w:trPr>
          <w:trHeight w:val="209"/>
        </w:trPr>
        <w:tc>
          <w:tcPr>
            <w:tcW w:w="9320" w:type="dxa"/>
            <w:vAlign w:val="bottom"/>
          </w:tcPr>
          <w:p>
            <w:pPr>
              <w:ind w:left="20"/>
              <w:spacing w:after="0"/>
              <w:rPr>
                <w:sz w:val="20"/>
                <w:szCs w:val="20"/>
                <w:color w:val="auto"/>
              </w:rPr>
            </w:pPr>
            <w:r>
              <w:rPr>
                <w:rFonts w:ascii="Arial" w:cs="Arial" w:eastAsia="Arial" w:hAnsi="Arial"/>
                <w:sz w:val="16"/>
                <w:szCs w:val="16"/>
                <w:color w:val="auto"/>
              </w:rPr>
              <w:t>Unrealized investment gains (losses) during the period</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1,706</w:t>
            </w:r>
          </w:p>
        </w:tc>
      </w:tr>
      <w:tr>
        <w:trPr>
          <w:trHeight w:val="215"/>
        </w:trPr>
        <w:tc>
          <w:tcPr>
            <w:tcW w:w="9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investment gains (losses) relating to:</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r>
      <w:tr>
        <w:trPr>
          <w:trHeight w:val="209"/>
        </w:trPr>
        <w:tc>
          <w:tcPr>
            <w:tcW w:w="9320" w:type="dxa"/>
            <w:vAlign w:val="bottom"/>
          </w:tcPr>
          <w:p>
            <w:pPr>
              <w:ind w:left="20"/>
              <w:spacing w:after="0"/>
              <w:rPr>
                <w:sz w:val="20"/>
                <w:szCs w:val="20"/>
                <w:color w:val="auto"/>
              </w:rPr>
            </w:pPr>
            <w:r>
              <w:rPr>
                <w:rFonts w:ascii="Arial" w:cs="Arial" w:eastAsia="Arial" w:hAnsi="Arial"/>
                <w:sz w:val="16"/>
                <w:szCs w:val="16"/>
                <w:color w:val="auto"/>
              </w:rPr>
              <w:t>Future policy benefits</w:t>
            </w:r>
          </w:p>
        </w:tc>
        <w:tc>
          <w:tcPr>
            <w:tcW w:w="1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(271)</w:t>
            </w:r>
          </w:p>
        </w:tc>
      </w:tr>
      <w:tr>
        <w:trPr>
          <w:trHeight w:val="212"/>
        </w:trPr>
        <w:tc>
          <w:tcPr>
            <w:tcW w:w="9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 benefit (expense)</w:t>
            </w:r>
          </w:p>
        </w:tc>
        <w:tc>
          <w:tcPr>
            <w:tcW w:w="10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w:t>
            </w:r>
          </w:p>
        </w:tc>
      </w:tr>
      <w:tr>
        <w:trPr>
          <w:trHeight w:val="208"/>
        </w:trPr>
        <w:tc>
          <w:tcPr>
            <w:tcW w:w="9320" w:type="dxa"/>
            <w:vAlign w:val="bottom"/>
          </w:tcPr>
          <w:p>
            <w:pPr>
              <w:ind w:left="20"/>
              <w:spacing w:after="0"/>
              <w:rPr>
                <w:sz w:val="20"/>
                <w:szCs w:val="20"/>
                <w:color w:val="auto"/>
              </w:rPr>
            </w:pPr>
            <w:r>
              <w:rPr>
                <w:rFonts w:ascii="Arial" w:cs="Arial" w:eastAsia="Arial" w:hAnsi="Arial"/>
                <w:sz w:val="16"/>
                <w:szCs w:val="16"/>
                <w:color w:val="auto"/>
              </w:rPr>
              <w:t>Balance at March 31, 2023</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(4,556)</w:t>
            </w:r>
          </w:p>
        </w:tc>
      </w:tr>
      <w:tr>
        <w:trPr>
          <w:trHeight w:val="20"/>
        </w:trPr>
        <w:tc>
          <w:tcPr>
            <w:tcW w:w="9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0"/>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in net unrealized investment gains (losses)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1,134</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There were no investments in any counterparty that were greater than 10% of the Company’s equity, other than the U.S. government and its agencies, at both March 31, 2023 and December 31, 2022.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Elements of the securities lending program are presented below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jc w:val="right"/>
              <w:ind w:right="443"/>
              <w:spacing w:after="0"/>
              <w:rPr>
                <w:sz w:val="20"/>
                <w:szCs w:val="20"/>
                <w:color w:val="auto"/>
              </w:rPr>
            </w:pPr>
            <w:r>
              <w:rPr>
                <w:rFonts w:ascii="Arial" w:cs="Arial" w:eastAsia="Arial" w:hAnsi="Arial"/>
                <w:sz w:val="14"/>
                <w:szCs w:val="14"/>
                <w:b w:val="1"/>
                <w:bCs w:val="1"/>
                <w:color w:val="auto"/>
              </w:rPr>
              <w:t>March 31, 2023</w:t>
            </w:r>
          </w:p>
        </w:tc>
        <w:tc>
          <w:tcPr>
            <w:tcW w:w="440" w:type="dxa"/>
            <w:vAlign w:val="bottom"/>
          </w:tcPr>
          <w:p>
            <w:pPr>
              <w:spacing w:after="0"/>
              <w:rPr>
                <w:sz w:val="15"/>
                <w:szCs w:val="15"/>
                <w:color w:val="auto"/>
              </w:rPr>
            </w:pPr>
          </w:p>
        </w:tc>
        <w:tc>
          <w:tcPr>
            <w:tcW w:w="1560" w:type="dxa"/>
            <w:vAlign w:val="bottom"/>
          </w:tcPr>
          <w:p>
            <w:pPr>
              <w:jc w:val="right"/>
              <w:ind w:right="302"/>
              <w:spacing w:after="0"/>
              <w:rPr>
                <w:sz w:val="20"/>
                <w:szCs w:val="20"/>
                <w:color w:val="auto"/>
              </w:rPr>
            </w:pPr>
            <w:r>
              <w:rPr>
                <w:rFonts w:ascii="Arial" w:cs="Arial" w:eastAsia="Arial" w:hAnsi="Arial"/>
                <w:sz w:val="14"/>
                <w:szCs w:val="14"/>
                <w:b w:val="1"/>
                <w:bCs w:val="1"/>
                <w:color w:val="auto"/>
                <w:w w:val="91"/>
              </w:rPr>
              <w:t>December 31, 2022</w:t>
            </w:r>
          </w:p>
        </w:tc>
      </w:tr>
      <w:tr>
        <w:trPr>
          <w:trHeight w:val="24"/>
        </w:trPr>
        <w:tc>
          <w:tcPr>
            <w:tcW w:w="7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5"/>
        </w:trPr>
        <w:tc>
          <w:tcPr>
            <w:tcW w:w="7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560" w:type="dxa"/>
            <w:vAlign w:val="bottom"/>
          </w:tcPr>
          <w:p>
            <w:pPr>
              <w:spacing w:after="0"/>
              <w:rPr>
                <w:sz w:val="16"/>
                <w:szCs w:val="16"/>
                <w:color w:val="auto"/>
              </w:rPr>
            </w:pPr>
          </w:p>
        </w:tc>
      </w:tr>
      <w:tr>
        <w:trPr>
          <w:trHeight w:val="219"/>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on loan: (1)</w:t>
            </w:r>
          </w:p>
        </w:tc>
        <w:tc>
          <w:tcPr>
            <w:tcW w:w="2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09"/>
        </w:trPr>
        <w:tc>
          <w:tcPr>
            <w:tcW w:w="7300" w:type="dxa"/>
            <w:vAlign w:val="bottom"/>
          </w:tcPr>
          <w:p>
            <w:pPr>
              <w:ind w:left="180"/>
              <w:spacing w:after="0"/>
              <w:rPr>
                <w:sz w:val="20"/>
                <w:szCs w:val="20"/>
                <w:color w:val="auto"/>
              </w:rPr>
            </w:pPr>
            <w:r>
              <w:rPr>
                <w:rFonts w:ascii="Arial" w:cs="Arial" w:eastAsia="Arial" w:hAnsi="Arial"/>
                <w:sz w:val="16"/>
                <w:szCs w:val="16"/>
                <w:color w:val="auto"/>
              </w:rPr>
              <w:t>Amortized cost</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23"/>
              <w:spacing w:after="0"/>
              <w:rPr>
                <w:sz w:val="20"/>
                <w:szCs w:val="20"/>
                <w:color w:val="auto"/>
              </w:rPr>
            </w:pPr>
            <w:r>
              <w:rPr>
                <w:rFonts w:ascii="Arial" w:cs="Arial" w:eastAsia="Arial" w:hAnsi="Arial"/>
                <w:sz w:val="16"/>
                <w:szCs w:val="16"/>
                <w:color w:val="auto"/>
              </w:rPr>
              <w:t>3,819</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3,995</w:t>
            </w:r>
          </w:p>
        </w:tc>
      </w:tr>
      <w:tr>
        <w:trPr>
          <w:trHeight w:val="215"/>
        </w:trPr>
        <w:tc>
          <w:tcPr>
            <w:tcW w:w="7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Estimated fair value</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3,626</w:t>
            </w:r>
          </w:p>
        </w:tc>
        <w:tc>
          <w:tcPr>
            <w:tcW w:w="4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3,638</w:t>
            </w:r>
          </w:p>
        </w:tc>
      </w:tr>
      <w:tr>
        <w:trPr>
          <w:trHeight w:val="210"/>
        </w:trPr>
        <w:tc>
          <w:tcPr>
            <w:tcW w:w="7300" w:type="dxa"/>
            <w:vAlign w:val="bottom"/>
          </w:tcPr>
          <w:p>
            <w:pPr>
              <w:ind w:left="20"/>
              <w:spacing w:after="0"/>
              <w:rPr>
                <w:sz w:val="20"/>
                <w:szCs w:val="20"/>
                <w:color w:val="auto"/>
              </w:rPr>
            </w:pPr>
            <w:r>
              <w:rPr>
                <w:rFonts w:ascii="Arial" w:cs="Arial" w:eastAsia="Arial" w:hAnsi="Arial"/>
                <w:sz w:val="16"/>
                <w:szCs w:val="16"/>
                <w:color w:val="auto"/>
              </w:rPr>
              <w:t>Cash collateral received from counterparties (2)</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23"/>
              <w:spacing w:after="0"/>
              <w:rPr>
                <w:sz w:val="20"/>
                <w:szCs w:val="20"/>
                <w:color w:val="auto"/>
              </w:rPr>
            </w:pPr>
            <w:r>
              <w:rPr>
                <w:rFonts w:ascii="Arial" w:cs="Arial" w:eastAsia="Arial" w:hAnsi="Arial"/>
                <w:sz w:val="16"/>
                <w:szCs w:val="16"/>
                <w:color w:val="auto"/>
              </w:rPr>
              <w:t>3,692</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3,731</w:t>
            </w:r>
          </w:p>
        </w:tc>
      </w:tr>
      <w:tr>
        <w:trPr>
          <w:trHeight w:val="215"/>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Reinvestment portfolio — estimated fair value</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3,590</w:t>
            </w:r>
          </w:p>
        </w:tc>
        <w:tc>
          <w:tcPr>
            <w:tcW w:w="4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3,603</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23" w:lineRule="exact"/>
        <w:rPr>
          <w:sz w:val="20"/>
          <w:szCs w:val="20"/>
          <w:color w:val="auto"/>
        </w:rPr>
      </w:pPr>
    </w:p>
    <w:p>
      <w:pPr>
        <w:ind w:left="320" w:hanging="314"/>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Included in fixed maturity securities.</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Included in payables for collateral under securities loaned and other transactions.</w:t>
      </w:r>
    </w:p>
    <w:p>
      <w:pPr>
        <w:spacing w:after="0" w:line="111"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The cash collateral liability by loaned security type and remaining tenor of the agreements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ind w:left="320"/>
              <w:spacing w:after="0"/>
              <w:rPr>
                <w:sz w:val="20"/>
                <w:szCs w:val="20"/>
                <w:color w:val="auto"/>
              </w:rPr>
            </w:pPr>
            <w:r>
              <w:rPr>
                <w:rFonts w:ascii="Arial" w:cs="Arial" w:eastAsia="Arial" w:hAnsi="Arial"/>
                <w:sz w:val="14"/>
                <w:szCs w:val="14"/>
                <w:b w:val="1"/>
                <w:bCs w:val="1"/>
                <w:color w:val="auto"/>
                <w:w w:val="96"/>
              </w:rPr>
              <w:t>March 31, 2023</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ind w:left="240"/>
              <w:spacing w:after="0"/>
              <w:rPr>
                <w:sz w:val="20"/>
                <w:szCs w:val="20"/>
                <w:color w:val="auto"/>
              </w:rPr>
            </w:pPr>
            <w:r>
              <w:rPr>
                <w:rFonts w:ascii="Arial" w:cs="Arial" w:eastAsia="Arial" w:hAnsi="Arial"/>
                <w:sz w:val="14"/>
                <w:szCs w:val="14"/>
                <w:b w:val="1"/>
                <w:bCs w:val="1"/>
                <w:color w:val="auto"/>
                <w:w w:val="91"/>
              </w:rPr>
              <w:t>December 31, 2022</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Open (1)</w:t>
            </w:r>
          </w:p>
        </w:tc>
        <w:tc>
          <w:tcPr>
            <w:tcW w:w="80" w:type="dxa"/>
            <w:vAlign w:val="bottom"/>
          </w:tcPr>
          <w:p>
            <w:pPr>
              <w:spacing w:after="0"/>
              <w:rPr>
                <w:sz w:val="11"/>
                <w:szCs w:val="11"/>
                <w:color w:val="auto"/>
              </w:rPr>
            </w:pPr>
          </w:p>
        </w:tc>
        <w:tc>
          <w:tcPr>
            <w:tcW w:w="90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4"/>
              </w:rPr>
              <w:t>1 Month or</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1 to 6 Months</w:t>
            </w:r>
          </w:p>
        </w:tc>
        <w:tc>
          <w:tcPr>
            <w:tcW w:w="16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Open (1)</w:t>
            </w:r>
          </w:p>
        </w:tc>
        <w:tc>
          <w:tcPr>
            <w:tcW w:w="100" w:type="dxa"/>
            <w:vAlign w:val="bottom"/>
          </w:tcPr>
          <w:p>
            <w:pPr>
              <w:spacing w:after="0"/>
              <w:rPr>
                <w:sz w:val="11"/>
                <w:szCs w:val="11"/>
                <w:color w:val="auto"/>
              </w:rPr>
            </w:pPr>
          </w:p>
        </w:tc>
        <w:tc>
          <w:tcPr>
            <w:tcW w:w="900" w:type="dxa"/>
            <w:vAlign w:val="bottom"/>
            <w:gridSpan w:val="2"/>
          </w:tcPr>
          <w:p>
            <w:pPr>
              <w:spacing w:after="0" w:line="130" w:lineRule="exact"/>
              <w:rPr>
                <w:sz w:val="20"/>
                <w:szCs w:val="20"/>
                <w:color w:val="auto"/>
              </w:rPr>
            </w:pPr>
            <w:r>
              <w:rPr>
                <w:rFonts w:ascii="Arial" w:cs="Arial" w:eastAsia="Arial" w:hAnsi="Arial"/>
                <w:sz w:val="14"/>
                <w:szCs w:val="14"/>
                <w:b w:val="1"/>
                <w:bCs w:val="1"/>
                <w:color w:val="auto"/>
              </w:rPr>
              <w:t>1 Month or</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1 to 6 Months</w:t>
            </w:r>
          </w:p>
        </w:tc>
        <w:tc>
          <w:tcPr>
            <w:tcW w:w="180" w:type="dxa"/>
            <w:vAlign w:val="bottom"/>
          </w:tcPr>
          <w:p>
            <w:pPr>
              <w:spacing w:after="0"/>
              <w:rPr>
                <w:sz w:val="11"/>
                <w:szCs w:val="11"/>
                <w:color w:val="auto"/>
              </w:rPr>
            </w:pPr>
          </w:p>
        </w:tc>
        <w:tc>
          <w:tcPr>
            <w:tcW w:w="62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1"/>
              </w:rPr>
              <w:t>Less</w:t>
            </w:r>
          </w:p>
        </w:tc>
        <w:tc>
          <w:tcPr>
            <w:tcW w:w="98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Less</w:t>
            </w:r>
          </w:p>
        </w:tc>
        <w:tc>
          <w:tcPr>
            <w:tcW w:w="98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and agency</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1,293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3,138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640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3,151</w:t>
            </w:r>
          </w:p>
        </w:tc>
        <w:tc>
          <w:tcPr>
            <w:tcW w:w="0" w:type="dxa"/>
            <w:vAlign w:val="bottom"/>
          </w:tcPr>
          <w:p>
            <w:pPr>
              <w:spacing w:after="0"/>
              <w:rPr>
                <w:sz w:val="1"/>
                <w:szCs w:val="1"/>
                <w:color w:val="auto"/>
              </w:rPr>
            </w:pPr>
          </w:p>
        </w:tc>
      </w:tr>
      <w:tr>
        <w:trPr>
          <w:trHeight w:val="209"/>
        </w:trPr>
        <w:tc>
          <w:tcPr>
            <w:tcW w:w="3640" w:type="dxa"/>
            <w:vAlign w:val="bottom"/>
          </w:tcPr>
          <w:p>
            <w:pPr>
              <w:ind w:left="20"/>
              <w:spacing w:after="0"/>
              <w:rPr>
                <w:sz w:val="20"/>
                <w:szCs w:val="20"/>
                <w:color w:val="auto"/>
              </w:rPr>
            </w:pPr>
            <w:r>
              <w:rPr>
                <w:rFonts w:ascii="Arial" w:cs="Arial" w:eastAsia="Arial" w:hAnsi="Arial"/>
                <w:sz w:val="16"/>
                <w:szCs w:val="16"/>
                <w:color w:val="auto"/>
              </w:rPr>
              <w:t>U.S. corporate</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20" w:type="dxa"/>
            <w:vAlign w:val="bottom"/>
          </w:tcPr>
          <w:p>
            <w:pPr>
              <w:jc w:val="right"/>
              <w:ind w:right="3"/>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15"/>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corporate</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10"/>
        </w:trPr>
        <w:tc>
          <w:tcPr>
            <w:tcW w:w="3640" w:type="dxa"/>
            <w:vAlign w:val="bottom"/>
          </w:tcPr>
          <w:p>
            <w:pPr>
              <w:ind w:left="20"/>
              <w:spacing w:after="0"/>
              <w:rPr>
                <w:sz w:val="20"/>
                <w:szCs w:val="20"/>
                <w:color w:val="auto"/>
              </w:rPr>
            </w:pPr>
            <w:r>
              <w:rPr>
                <w:rFonts w:ascii="Arial" w:cs="Arial" w:eastAsia="Arial" w:hAnsi="Arial"/>
                <w:sz w:val="16"/>
                <w:szCs w:val="16"/>
                <w:color w:val="auto"/>
              </w:rPr>
              <w:t>Foreign government</w:t>
            </w: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20" w:type="dxa"/>
            <w:vAlign w:val="bottom"/>
          </w:tcPr>
          <w:p>
            <w:pPr>
              <w:jc w:val="right"/>
              <w:ind w:right="3"/>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3"/>
        </w:trPr>
        <w:tc>
          <w:tcPr>
            <w:tcW w:w="3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1,293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3,692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3,731</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23" w:lineRule="exact"/>
        <w:rPr>
          <w:sz w:val="20"/>
          <w:szCs w:val="20"/>
          <w:color w:val="auto"/>
        </w:rPr>
      </w:pPr>
    </w:p>
    <w:p>
      <w:pPr>
        <w:ind w:left="320" w:hanging="314"/>
        <w:spacing w:after="0" w:line="264" w:lineRule="auto"/>
        <w:tabs>
          <w:tab w:leader="none" w:pos="31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related loaned security could be returned to the Company on the next business day which would require the Company to immediately return the cash collateral.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200" w:lineRule="exact"/>
        <w:rPr>
          <w:sz w:val="20"/>
          <w:szCs w:val="20"/>
          <w:color w:val="auto"/>
        </w:rPr>
      </w:pPr>
    </w:p>
    <w:p>
      <w:pPr>
        <w:spacing w:after="0" w:line="36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in normal market conditions, or both. The estimated fair value of the securities on loan related to the cash collateral on open at March 31, 2023 was $775 million, primarily comprised of U.S. government and agency securities which, if put back to the Company, could be immediately sold to satisfy the cash requirement.</w:t>
      </w:r>
    </w:p>
    <w:p>
      <w:pPr>
        <w:spacing w:after="0" w:line="8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reinvestment portfolio acquired with the cash collateral consisted principally of fixed maturity securities (including ABS, agency RMBS, U.S. government and agency securities, U.S. and foreign corporate securities, non-agency RMBS and CMBS) with 54% invested in U.S. government and agency securities, agency RMBS and cash and cash equivalents at March 31, 2023. If the securities on loan or the reinvestment portfolio become less liquid, the Company has the liquidity resources of most of its general account available to meet any potential cash demands when securities on loan are put back to the Company.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Invested Assets on Deposit, Held in Trust and Pledged as Collateral</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Invested assets on deposit, held in trust and pledged as collateral at estimated fair value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 2023</w:t>
            </w:r>
          </w:p>
        </w:tc>
        <w:tc>
          <w:tcPr>
            <w:tcW w:w="360" w:type="dxa"/>
            <w:vAlign w:val="bottom"/>
          </w:tcPr>
          <w:p>
            <w:pPr>
              <w:spacing w:after="0"/>
              <w:rPr>
                <w:sz w:val="15"/>
                <w:szCs w:val="15"/>
                <w:color w:val="auto"/>
              </w:rPr>
            </w:pPr>
          </w:p>
        </w:tc>
        <w:tc>
          <w:tcPr>
            <w:tcW w:w="1560" w:type="dxa"/>
            <w:vAlign w:val="bottom"/>
          </w:tcPr>
          <w:p>
            <w:pPr>
              <w:jc w:val="right"/>
              <w:ind w:right="302"/>
              <w:spacing w:after="0"/>
              <w:rPr>
                <w:sz w:val="20"/>
                <w:szCs w:val="20"/>
                <w:color w:val="auto"/>
              </w:rPr>
            </w:pPr>
            <w:r>
              <w:rPr>
                <w:rFonts w:ascii="Arial" w:cs="Arial" w:eastAsia="Arial" w:hAnsi="Arial"/>
                <w:sz w:val="14"/>
                <w:szCs w:val="14"/>
                <w:b w:val="1"/>
                <w:bCs w:val="1"/>
                <w:color w:val="auto"/>
                <w:w w:val="91"/>
              </w:rPr>
              <w:t>December 31, 2022</w:t>
            </w:r>
          </w:p>
        </w:tc>
      </w:tr>
      <w:tr>
        <w:trPr>
          <w:trHeight w:val="24"/>
        </w:trPr>
        <w:tc>
          <w:tcPr>
            <w:tcW w:w="73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5"/>
        </w:trPr>
        <w:tc>
          <w:tcPr>
            <w:tcW w:w="7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560" w:type="dxa"/>
            <w:vAlign w:val="bottom"/>
          </w:tcPr>
          <w:p>
            <w:pPr>
              <w:spacing w:after="0"/>
              <w:rPr>
                <w:sz w:val="16"/>
                <w:szCs w:val="16"/>
                <w:color w:val="auto"/>
              </w:rPr>
            </w:pPr>
          </w:p>
        </w:tc>
      </w:tr>
      <w:tr>
        <w:trPr>
          <w:trHeight w:val="219"/>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Invested assets on deposit (regulatory deposits) (1)</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8,328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7,999</w:t>
            </w:r>
          </w:p>
        </w:tc>
      </w:tr>
      <w:tr>
        <w:trPr>
          <w:trHeight w:val="210"/>
        </w:trPr>
        <w:tc>
          <w:tcPr>
            <w:tcW w:w="7300" w:type="dxa"/>
            <w:vAlign w:val="bottom"/>
          </w:tcPr>
          <w:p>
            <w:pPr>
              <w:ind w:left="20"/>
              <w:spacing w:after="0"/>
              <w:rPr>
                <w:sz w:val="20"/>
                <w:szCs w:val="20"/>
                <w:color w:val="auto"/>
              </w:rPr>
            </w:pPr>
            <w:r>
              <w:rPr>
                <w:rFonts w:ascii="Arial" w:cs="Arial" w:eastAsia="Arial" w:hAnsi="Arial"/>
                <w:sz w:val="16"/>
                <w:szCs w:val="16"/>
                <w:color w:val="auto"/>
              </w:rPr>
              <w:t>Invested assets held in trust (reinsurance agreements) (2)</w:t>
            </w:r>
          </w:p>
        </w:tc>
        <w:tc>
          <w:tcPr>
            <w:tcW w:w="280" w:type="dxa"/>
            <w:vAlign w:val="bottom"/>
          </w:tcPr>
          <w:p>
            <w:pPr>
              <w:spacing w:after="0"/>
              <w:rPr>
                <w:sz w:val="18"/>
                <w:szCs w:val="18"/>
                <w:color w:val="auto"/>
              </w:rPr>
            </w:pPr>
          </w:p>
        </w:tc>
        <w:tc>
          <w:tcPr>
            <w:tcW w:w="1640" w:type="dxa"/>
            <w:vAlign w:val="bottom"/>
          </w:tcPr>
          <w:p>
            <w:pPr>
              <w:jc w:val="right"/>
              <w:ind w:right="3"/>
              <w:spacing w:after="0"/>
              <w:rPr>
                <w:sz w:val="20"/>
                <w:szCs w:val="20"/>
                <w:color w:val="auto"/>
              </w:rPr>
            </w:pPr>
            <w:r>
              <w:rPr>
                <w:rFonts w:ascii="Arial" w:cs="Arial" w:eastAsia="Arial" w:hAnsi="Arial"/>
                <w:sz w:val="16"/>
                <w:szCs w:val="16"/>
                <w:color w:val="auto"/>
              </w:rPr>
              <w:t>5,857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5,621</w:t>
            </w:r>
          </w:p>
        </w:tc>
      </w:tr>
      <w:tr>
        <w:trPr>
          <w:trHeight w:val="212"/>
        </w:trPr>
        <w:tc>
          <w:tcPr>
            <w:tcW w:w="7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Invested assets pledged as collateral (3)</w:t>
            </w:r>
          </w:p>
        </w:tc>
        <w:tc>
          <w:tcPr>
            <w:tcW w:w="2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12,829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13,920</w:t>
            </w:r>
          </w:p>
        </w:tc>
      </w:tr>
      <w:tr>
        <w:trPr>
          <w:trHeight w:val="208"/>
        </w:trPr>
        <w:tc>
          <w:tcPr>
            <w:tcW w:w="7300" w:type="dxa"/>
            <w:vAlign w:val="bottom"/>
          </w:tcPr>
          <w:p>
            <w:pPr>
              <w:ind w:left="180"/>
              <w:spacing w:after="0"/>
              <w:rPr>
                <w:sz w:val="20"/>
                <w:szCs w:val="20"/>
                <w:color w:val="auto"/>
              </w:rPr>
            </w:pPr>
            <w:r>
              <w:rPr>
                <w:rFonts w:ascii="Arial" w:cs="Arial" w:eastAsia="Arial" w:hAnsi="Arial"/>
                <w:sz w:val="16"/>
                <w:szCs w:val="16"/>
                <w:color w:val="auto"/>
              </w:rPr>
              <w:t>Total invested assets on deposit, held in trust and pledged as collateral</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27,014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27,540</w:t>
            </w:r>
          </w:p>
        </w:tc>
      </w:tr>
      <w:tr>
        <w:trPr>
          <w:trHeight w:val="20"/>
        </w:trPr>
        <w:tc>
          <w:tcPr>
            <w:tcW w:w="7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jc w:val="both"/>
        <w:ind w:left="320" w:hanging="314"/>
        <w:spacing w:after="0" w:line="255" w:lineRule="auto"/>
        <w:tabs>
          <w:tab w:leader="none" w:pos="314"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has assets, primarily fixed maturity securities, on deposit with governmental authorities relating to certain policyholder liabilities, of which $58 million and $21 million of the assets on deposit represents restricted cash and cash equivalents at March 31, 2023 and December 31, 2022, respectively.</w:t>
      </w:r>
    </w:p>
    <w:p>
      <w:pPr>
        <w:spacing w:after="0" w:line="82" w:lineRule="exact"/>
        <w:rPr>
          <w:rFonts w:ascii="Arial" w:cs="Arial" w:eastAsia="Arial" w:hAnsi="Arial"/>
          <w:sz w:val="18"/>
          <w:szCs w:val="18"/>
          <w:color w:val="auto"/>
        </w:rPr>
      </w:pPr>
    </w:p>
    <w:p>
      <w:pPr>
        <w:ind w:left="320" w:hanging="314"/>
        <w:spacing w:after="0" w:line="365" w:lineRule="auto"/>
        <w:tabs>
          <w:tab w:leader="none" w:pos="314"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Company has assets, primarily fixed maturity securities, held in trust relating to certain reinsurance transactions, of which $266 million and $240 million of the assets held in trust balance represents restricted cash and cash equivalents at March 31, 2023 and December 31, 2022, respectively.</w:t>
      </w:r>
    </w:p>
    <w:p>
      <w:pPr>
        <w:spacing w:after="0" w:line="5" w:lineRule="exact"/>
        <w:rPr>
          <w:rFonts w:ascii="Arial" w:cs="Arial" w:eastAsia="Arial" w:hAnsi="Arial"/>
          <w:sz w:val="15"/>
          <w:szCs w:val="15"/>
          <w:color w:val="auto"/>
        </w:rPr>
      </w:pPr>
    </w:p>
    <w:p>
      <w:pPr>
        <w:ind w:left="320" w:hanging="314"/>
        <w:spacing w:after="0" w:line="294" w:lineRule="auto"/>
        <w:tabs>
          <w:tab w:leader="none" w:pos="314"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 has pledged invested assets in connection with various agreements and transactions, including funding agreements (see Note 3 of the Notes to the Consolidated Financial Statements included in the 2022 Annual Report) and derivative transactions (see Note 7).</w:t>
      </w:r>
    </w:p>
    <w:p>
      <w:pPr>
        <w:spacing w:after="0" w:line="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See “— Securities Lending” for information regarding securities on loan. In addition, the Company’s investment in FHLB common stock, which is considered restricted until redeemed by the issuer, was $220 million and $201 million at redemption value at March 31, 2023 and December 31, 2022,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 variable interest entity (“VIE”) is a legal entity that does not have sufficient equity at risk to finance its activities or is structured such that equity investors lack the ability to make significant decisions relating to the entity’s operations through voting rights or do not substantively participate in the gains and losses of the entity.</w:t>
      </w:r>
    </w:p>
    <w:p>
      <w:pPr>
        <w:spacing w:after="0" w:line="8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Company enters into various arrangements with VIEs in the normal course of business and has invested in legal entities that are VIEs. VIEs are consolidated when it is determined that the Company is the primary beneficiary. A primary beneficiary is the variable interest holder in a VIE with both (i) the power to direct the activities of the VIE that most significantly impact the economic performance of the VIE and (ii) the obligation to absorb losses or the right to receive benefits that could potentially be significant to the VIE. In addition, the evaluation of whether a legal entity is a VIE and if the Company is a primary beneficiary includes a review of the capital structure of the VIE, the related contractual relationships and terms, the nature of the operations and purpose of the VIE, the nature of the VIE interests issued and the Company’s involvement with the entity.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There were no material VIEs for which the Company has concluded that it is the primary beneficiary at either March 31, 2023 or December 31, 2022.</w:t>
      </w:r>
    </w:p>
    <w:p>
      <w:pPr>
        <w:spacing w:after="0" w:line="14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carrying amount and maximum exposure to loss related to the VIEs for which the Company has concluded that it holds a variable interest, but is not the primary beneficiary, were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80" w:type="dxa"/>
            <w:vAlign w:val="bottom"/>
            <w:gridSpan w:val="5"/>
          </w:tcPr>
          <w:p>
            <w:pPr>
              <w:ind w:left="740"/>
              <w:spacing w:after="0"/>
              <w:rPr>
                <w:sz w:val="20"/>
                <w:szCs w:val="20"/>
                <w:color w:val="auto"/>
              </w:rPr>
            </w:pPr>
            <w:r>
              <w:rPr>
                <w:rFonts w:ascii="Arial" w:cs="Arial" w:eastAsia="Arial" w:hAnsi="Arial"/>
                <w:sz w:val="14"/>
                <w:szCs w:val="14"/>
                <w:b w:val="1"/>
                <w:bCs w:val="1"/>
                <w:color w:val="auto"/>
              </w:rPr>
              <w:t>March 31, 2023</w:t>
            </w:r>
          </w:p>
        </w:tc>
        <w:tc>
          <w:tcPr>
            <w:tcW w:w="360" w:type="dxa"/>
            <w:vAlign w:val="bottom"/>
          </w:tcPr>
          <w:p>
            <w:pPr>
              <w:spacing w:after="0"/>
              <w:rPr>
                <w:sz w:val="15"/>
                <w:szCs w:val="15"/>
                <w:color w:val="auto"/>
              </w:rPr>
            </w:pPr>
          </w:p>
        </w:tc>
        <w:tc>
          <w:tcPr>
            <w:tcW w:w="2560" w:type="dxa"/>
            <w:vAlign w:val="bottom"/>
            <w:gridSpan w:val="4"/>
          </w:tcPr>
          <w:p>
            <w:pPr>
              <w:jc w:val="right"/>
              <w:ind w:right="825"/>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4"/>
        </w:trPr>
        <w:tc>
          <w:tcPr>
            <w:tcW w:w="5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2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Carrying</w:t>
            </w: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186"/>
              <w:spacing w:after="0" w:line="130" w:lineRule="exact"/>
              <w:rPr>
                <w:sz w:val="20"/>
                <w:szCs w:val="20"/>
                <w:color w:val="auto"/>
              </w:rPr>
            </w:pPr>
            <w:r>
              <w:rPr>
                <w:rFonts w:ascii="Arial" w:cs="Arial" w:eastAsia="Arial" w:hAnsi="Arial"/>
                <w:sz w:val="14"/>
                <w:szCs w:val="14"/>
                <w:b w:val="1"/>
                <w:bCs w:val="1"/>
                <w:color w:val="auto"/>
                <w:w w:val="95"/>
              </w:rPr>
              <w:t>Maximum</w:t>
            </w: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7"/>
              </w:rPr>
              <w:t>Carrying</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205"/>
              <w:spacing w:after="0" w:line="130" w:lineRule="exact"/>
              <w:rPr>
                <w:sz w:val="20"/>
                <w:szCs w:val="20"/>
                <w:color w:val="auto"/>
              </w:rPr>
            </w:pPr>
            <w:r>
              <w:rPr>
                <w:rFonts w:ascii="Arial" w:cs="Arial" w:eastAsia="Arial" w:hAnsi="Arial"/>
                <w:sz w:val="14"/>
                <w:szCs w:val="14"/>
                <w:b w:val="1"/>
                <w:bCs w:val="1"/>
                <w:color w:val="auto"/>
                <w:w w:val="95"/>
              </w:rPr>
              <w:t>Maximum</w:t>
            </w: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0"/>
              </w:rPr>
              <w:t>Exposure</w:t>
            </w:r>
          </w:p>
        </w:tc>
        <w:tc>
          <w:tcPr>
            <w:tcW w:w="3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center"/>
              <w:ind w:right="165"/>
              <w:spacing w:after="0" w:line="142" w:lineRule="exact"/>
              <w:rPr>
                <w:sz w:val="20"/>
                <w:szCs w:val="20"/>
                <w:color w:val="auto"/>
              </w:rPr>
            </w:pPr>
            <w:r>
              <w:rPr>
                <w:rFonts w:ascii="Arial" w:cs="Arial" w:eastAsia="Arial" w:hAnsi="Arial"/>
                <w:sz w:val="14"/>
                <w:szCs w:val="14"/>
                <w:b w:val="1"/>
                <w:bCs w:val="1"/>
                <w:color w:val="auto"/>
                <w:w w:val="90"/>
              </w:rPr>
              <w:t>Exposure</w:t>
            </w:r>
          </w:p>
        </w:tc>
        <w:tc>
          <w:tcPr>
            <w:tcW w:w="0" w:type="dxa"/>
            <w:vAlign w:val="bottom"/>
          </w:tcPr>
          <w:p>
            <w:pPr>
              <w:spacing w:after="0"/>
              <w:rPr>
                <w:sz w:val="1"/>
                <w:szCs w:val="1"/>
                <w:color w:val="auto"/>
              </w:rPr>
            </w:pPr>
          </w:p>
        </w:tc>
      </w:tr>
      <w:tr>
        <w:trPr>
          <w:trHeight w:val="193"/>
        </w:trPr>
        <w:tc>
          <w:tcPr>
            <w:tcW w:w="5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4"/>
              </w:rPr>
              <w:t>to Loss</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65"/>
              <w:spacing w:after="0"/>
              <w:rPr>
                <w:sz w:val="20"/>
                <w:szCs w:val="20"/>
                <w:color w:val="auto"/>
              </w:rPr>
            </w:pPr>
            <w:r>
              <w:rPr>
                <w:rFonts w:ascii="Arial" w:cs="Arial" w:eastAsia="Arial" w:hAnsi="Arial"/>
                <w:sz w:val="14"/>
                <w:szCs w:val="14"/>
                <w:b w:val="1"/>
                <w:bCs w:val="1"/>
                <w:color w:val="auto"/>
                <w:w w:val="84"/>
              </w:rPr>
              <w:t>to Loss</w:t>
            </w:r>
          </w:p>
        </w:tc>
        <w:tc>
          <w:tcPr>
            <w:tcW w:w="0" w:type="dxa"/>
            <w:vAlign w:val="bottom"/>
          </w:tcPr>
          <w:p>
            <w:pPr>
              <w:spacing w:after="0"/>
              <w:rPr>
                <w:sz w:val="1"/>
                <w:szCs w:val="1"/>
                <w:color w:val="auto"/>
              </w:rPr>
            </w:pPr>
          </w:p>
        </w:tc>
      </w:tr>
      <w:tr>
        <w:trPr>
          <w:trHeight w:val="190"/>
        </w:trPr>
        <w:tc>
          <w:tcPr>
            <w:tcW w:w="5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17,471</w:t>
            </w: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Limited partnerships and LLCs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5,491</w:t>
            </w:r>
          </w:p>
        </w:tc>
        <w:tc>
          <w:tcPr>
            <w:tcW w:w="0" w:type="dxa"/>
            <w:vAlign w:val="bottom"/>
          </w:tcPr>
          <w:p>
            <w:pPr>
              <w:spacing w:after="0"/>
              <w:rPr>
                <w:sz w:val="1"/>
                <w:szCs w:val="1"/>
                <w:color w:val="auto"/>
              </w:rPr>
            </w:pPr>
          </w:p>
        </w:tc>
      </w:tr>
      <w:tr>
        <w:trPr>
          <w:trHeight w:val="233"/>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20,201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22,840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20,032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22,962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investments in unconsolidated VIEs are described below.</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Fixed Maturity Securities</w:t>
      </w:r>
    </w:p>
    <w:p>
      <w:pPr>
        <w:spacing w:after="0" w:line="111" w:lineRule="exact"/>
        <w:rPr>
          <w:sz w:val="20"/>
          <w:szCs w:val="20"/>
          <w:color w:val="auto"/>
        </w:rPr>
      </w:pPr>
    </w:p>
    <w:p>
      <w:pPr>
        <w:jc w:val="both"/>
        <w:ind w:left="160" w:firstLine="318"/>
        <w:spacing w:after="0" w:line="248" w:lineRule="auto"/>
        <w:rPr>
          <w:sz w:val="20"/>
          <w:szCs w:val="20"/>
          <w:color w:val="auto"/>
        </w:rPr>
      </w:pPr>
      <w:r>
        <w:rPr>
          <w:rFonts w:ascii="Arial" w:cs="Arial" w:eastAsia="Arial" w:hAnsi="Arial"/>
          <w:sz w:val="18"/>
          <w:szCs w:val="18"/>
          <w:color w:val="auto"/>
        </w:rPr>
        <w:t>The Company invests in U.S. corporate bonds, foreign corporate bonds and Structured Securities issued by VIEs. The Company is not obligated to provide any financial or other support to these VIEs, other than the original investment. The Company’s involvement with these entities is limited to that of a passive investor. The Company has no unilateral right to appoint or remove the servicer, special servicer, or investment manager, which are generally viewed as having the power to direct the activities that most significantly impact the economic performance of the VIE, nor does the Company function in any of these roles. The Company does not have the obligation to absorb losses or the right to receive benefits from the entity that could potentially be significant to the entity; as a result, the Company has determined it is not the primary beneficiary, or consolidator, of the VIE. The Company’s maximum exposure to loss on these fixed maturity securities is limited to the amortized cost of these investments. See “— Fixed Maturity Securities Available-for-sale” for information on these securities.</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Limited Partnerships and LLCs</w:t>
      </w:r>
    </w:p>
    <w:p>
      <w:pPr>
        <w:spacing w:after="0" w:line="111"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The Company holds investments in certain limited partnerships and LLCs which are VIEs. These ventures include limited partnerships, LLCs, private equity funds, and, to a lesser extent, tax credit and renewable energy partnerships. The Company is not considered the primary beneficiary, or consolidator, when its involvement takes the form of a limited partner interest and is restricted to a role of a passive investor, as a limited partner’s interest does not provide the Company with any substantive kick-out or participating rights, nor does it provide the Company with the power to direct the activities of the fund. The Company’s maximum exposure to loss on these investments is limited to: (i) the amount invested in debt or equity of the VIE and (ii) commitments to the VIE, as described in Note 12.</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net investment income were as follows:</w:t>
      </w:r>
    </w:p>
    <w:p>
      <w:pPr>
        <w:spacing w:after="0" w:line="247"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0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r>
      <w:tr>
        <w:trPr>
          <w:trHeight w:val="191"/>
        </w:trPr>
        <w:tc>
          <w:tcPr>
            <w:tcW w:w="8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gridSpan w:val="3"/>
          </w:tcPr>
          <w:p>
            <w:pPr>
              <w:jc w:val="right"/>
              <w:ind w:right="1"/>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6"/>
                <w:szCs w:val="16"/>
                <w:color w:val="auto"/>
              </w:rPr>
            </w:pPr>
          </w:p>
        </w:tc>
      </w:tr>
      <w:tr>
        <w:trPr>
          <w:trHeight w:val="219"/>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 income:</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10"/>
        </w:trPr>
        <w:tc>
          <w:tcPr>
            <w:tcW w:w="8700" w:type="dxa"/>
            <w:vAlign w:val="bottom"/>
          </w:tcPr>
          <w:p>
            <w:pPr>
              <w:ind w:left="20"/>
              <w:spacing w:after="0"/>
              <w:rPr>
                <w:sz w:val="20"/>
                <w:szCs w:val="20"/>
                <w:color w:val="auto"/>
              </w:rPr>
            </w:pPr>
            <w:r>
              <w:rPr>
                <w:rFonts w:ascii="Arial" w:cs="Arial" w:eastAsia="Arial" w:hAnsi="Arial"/>
                <w:sz w:val="16"/>
                <w:szCs w:val="16"/>
                <w:color w:val="auto"/>
              </w:rPr>
              <w:t>Fixed maturity securities</w:t>
            </w:r>
          </w:p>
        </w:tc>
        <w:tc>
          <w:tcPr>
            <w:tcW w:w="780" w:type="dxa"/>
            <w:vAlign w:val="bottom"/>
          </w:tcPr>
          <w:p>
            <w:pPr>
              <w:jc w:val="right"/>
              <w:ind w:right="603"/>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837</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718</w:t>
            </w:r>
          </w:p>
        </w:tc>
      </w:tr>
      <w:tr>
        <w:trPr>
          <w:trHeight w:val="214"/>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Mortgage loans</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09"/>
        </w:trPr>
        <w:tc>
          <w:tcPr>
            <w:tcW w:w="8700" w:type="dxa"/>
            <w:vAlign w:val="bottom"/>
          </w:tcPr>
          <w:p>
            <w:pPr>
              <w:ind w:left="20"/>
              <w:spacing w:after="0"/>
              <w:rPr>
                <w:sz w:val="20"/>
                <w:szCs w:val="20"/>
                <w:color w:val="auto"/>
              </w:rPr>
            </w:pPr>
            <w:r>
              <w:rPr>
                <w:rFonts w:ascii="Arial" w:cs="Arial" w:eastAsia="Arial" w:hAnsi="Arial"/>
                <w:sz w:val="16"/>
                <w:szCs w:val="16"/>
                <w:color w:val="auto"/>
              </w:rPr>
              <w:t>Policy loans</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4"/>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Limited partnerships and LLCs (1)</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r>
      <w:tr>
        <w:trPr>
          <w:trHeight w:val="210"/>
        </w:trPr>
        <w:tc>
          <w:tcPr>
            <w:tcW w:w="8700" w:type="dxa"/>
            <w:vAlign w:val="bottom"/>
          </w:tcPr>
          <w:p>
            <w:pPr>
              <w:ind w:left="20"/>
              <w:spacing w:after="0"/>
              <w:rPr>
                <w:sz w:val="20"/>
                <w:szCs w:val="20"/>
                <w:color w:val="auto"/>
              </w:rPr>
            </w:pPr>
            <w:r>
              <w:rPr>
                <w:rFonts w:ascii="Arial" w:cs="Arial" w:eastAsia="Arial" w:hAnsi="Arial"/>
                <w:sz w:val="16"/>
                <w:szCs w:val="16"/>
                <w:color w:val="auto"/>
              </w:rPr>
              <w:t>Cash, cash equivalents and short-term investments</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7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3"/>
        </w:trPr>
        <w:tc>
          <w:tcPr>
            <w:tcW w:w="8700" w:type="dxa"/>
            <w:vAlign w:val="bottom"/>
          </w:tcPr>
          <w:p>
            <w:pPr>
              <w:ind w:left="180"/>
              <w:spacing w:after="0"/>
              <w:rPr>
                <w:sz w:val="20"/>
                <w:szCs w:val="20"/>
                <w:color w:val="auto"/>
              </w:rPr>
            </w:pPr>
            <w:r>
              <w:rPr>
                <w:rFonts w:ascii="Arial" w:cs="Arial" w:eastAsia="Arial" w:hAnsi="Arial"/>
                <w:sz w:val="16"/>
                <w:szCs w:val="16"/>
                <w:color w:val="auto"/>
              </w:rPr>
              <w:t>Total investment income</w:t>
            </w:r>
          </w:p>
        </w:tc>
        <w:tc>
          <w:tcPr>
            <w:tcW w:w="7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1,150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1,192</w:t>
            </w:r>
          </w:p>
        </w:tc>
      </w:tr>
      <w:tr>
        <w:trPr>
          <w:trHeight w:val="212"/>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Investment expenses</w:t>
            </w:r>
          </w:p>
        </w:tc>
        <w:tc>
          <w:tcPr>
            <w:tcW w:w="7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08"/>
        </w:trPr>
        <w:tc>
          <w:tcPr>
            <w:tcW w:w="8700" w:type="dxa"/>
            <w:vAlign w:val="bottom"/>
          </w:tcPr>
          <w:p>
            <w:pPr>
              <w:ind w:left="180"/>
              <w:spacing w:after="0"/>
              <w:rPr>
                <w:sz w:val="20"/>
                <w:szCs w:val="20"/>
                <w:color w:val="auto"/>
              </w:rPr>
            </w:pPr>
            <w:r>
              <w:rPr>
                <w:rFonts w:ascii="Arial" w:cs="Arial" w:eastAsia="Arial" w:hAnsi="Arial"/>
                <w:sz w:val="16"/>
                <w:szCs w:val="16"/>
                <w:color w:val="auto"/>
              </w:rPr>
              <w:t>Net investment income</w:t>
            </w:r>
          </w:p>
        </w:tc>
        <w:tc>
          <w:tcPr>
            <w:tcW w:w="780" w:type="dxa"/>
            <w:vAlign w:val="bottom"/>
            <w:tcBorders>
              <w:bottom w:val="single" w:sz="8" w:color="auto"/>
            </w:tcBorders>
          </w:tcPr>
          <w:p>
            <w:pPr>
              <w:jc w:val="right"/>
              <w:ind w:right="603"/>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1,059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w:t>
            </w:r>
          </w:p>
        </w:tc>
      </w:tr>
      <w:tr>
        <w:trPr>
          <w:trHeight w:val="20"/>
        </w:trPr>
        <w:tc>
          <w:tcPr>
            <w:tcW w:w="8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net investment income pertaining to other limited partnership interests of ($1) million and $212 million for the three months ended March 31, 2023 and 2022,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Gains (Losses)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Components of Net Investment Gains (Losses)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components of net investment gains (losses) were as follows:</w:t>
      </w:r>
    </w:p>
    <w:p>
      <w:pPr>
        <w:spacing w:after="0" w:line="247"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0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r>
      <w:tr>
        <w:trPr>
          <w:trHeight w:val="191"/>
        </w:trPr>
        <w:tc>
          <w:tcPr>
            <w:tcW w:w="8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gridSpan w:val="3"/>
          </w:tcPr>
          <w:p>
            <w:pPr>
              <w:jc w:val="right"/>
              <w:ind w:right="1"/>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6"/>
                <w:szCs w:val="16"/>
                <w:color w:val="auto"/>
              </w:rPr>
            </w:pPr>
          </w:p>
        </w:tc>
      </w:tr>
      <w:tr>
        <w:trPr>
          <w:trHeight w:val="219"/>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820" w:type="dxa"/>
            <w:vAlign w:val="bottom"/>
            <w:shd w:val="clear" w:color="auto" w:fill="CCEEFF"/>
          </w:tcPr>
          <w:p>
            <w:pPr>
              <w:jc w:val="right"/>
              <w:ind w:right="643"/>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r>
      <w:tr>
        <w:trPr>
          <w:trHeight w:val="210"/>
        </w:trPr>
        <w:tc>
          <w:tcPr>
            <w:tcW w:w="870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5"/>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Mortgage loans</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10"/>
        </w:trPr>
        <w:tc>
          <w:tcPr>
            <w:tcW w:w="8700" w:type="dxa"/>
            <w:vAlign w:val="bottom"/>
          </w:tcPr>
          <w:p>
            <w:pPr>
              <w:ind w:left="20"/>
              <w:spacing w:after="0"/>
              <w:rPr>
                <w:sz w:val="20"/>
                <w:szCs w:val="20"/>
                <w:color w:val="auto"/>
              </w:rPr>
            </w:pPr>
            <w:r>
              <w:rPr>
                <w:rFonts w:ascii="Arial" w:cs="Arial" w:eastAsia="Arial" w:hAnsi="Arial"/>
                <w:sz w:val="16"/>
                <w:szCs w:val="16"/>
                <w:color w:val="auto"/>
              </w:rPr>
              <w:t>Limited partnerships and LLCs</w:t>
            </w:r>
          </w:p>
        </w:tc>
        <w:tc>
          <w:tcPr>
            <w:tcW w:w="82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33"/>
        </w:trPr>
        <w:tc>
          <w:tcPr>
            <w:tcW w:w="8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net investment gains (losses)</w:t>
            </w:r>
          </w:p>
        </w:tc>
        <w:tc>
          <w:tcPr>
            <w:tcW w:w="820" w:type="dxa"/>
            <w:vAlign w:val="bottom"/>
            <w:tcBorders>
              <w:top w:val="single" w:sz="8" w:color="auto"/>
              <w:bottom w:val="single" w:sz="8" w:color="auto"/>
            </w:tcBorders>
            <w:shd w:val="clear" w:color="auto" w:fill="CCEEFF"/>
          </w:tcPr>
          <w:p>
            <w:pPr>
              <w:jc w:val="right"/>
              <w:ind w:right="643"/>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Gains (losses) from foreign currency transactions included within net investment gains (losses) were $2 million and ($16) million for the three months ended March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Sales or Disposals of Fixed Maturity Securities</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Investment gains and losses on sales of securities are determined on a specific identification basis. Proceeds from sales or disposals of fixed maturity securities and the components of fixed maturity securities net investment gains (losses) were as follows:</w:t>
      </w:r>
    </w:p>
    <w:p>
      <w:pPr>
        <w:spacing w:after="0" w:line="210"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0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1"/>
        </w:trPr>
        <w:tc>
          <w:tcPr>
            <w:tcW w:w="8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gridSpan w:val="3"/>
          </w:tcPr>
          <w:p>
            <w:pPr>
              <w:jc w:val="right"/>
              <w:ind w:right="1"/>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w:t>
            </w:r>
          </w:p>
        </w:tc>
        <w:tc>
          <w:tcPr>
            <w:tcW w:w="82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2,539</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Gross investment gains</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700" w:type="dxa"/>
            <w:vAlign w:val="bottom"/>
            <w:vMerge w:val="continue"/>
          </w:tcPr>
          <w:p>
            <w:pPr>
              <w:spacing w:after="0"/>
              <w:rPr>
                <w:sz w:val="15"/>
                <w:szCs w:val="15"/>
                <w:color w:val="auto"/>
              </w:rPr>
            </w:pPr>
          </w:p>
        </w:tc>
        <w:tc>
          <w:tcPr>
            <w:tcW w:w="820" w:type="dxa"/>
            <w:vAlign w:val="bottom"/>
          </w:tcPr>
          <w:p>
            <w:pPr>
              <w:jc w:val="right"/>
              <w:ind w:right="643"/>
              <w:spacing w:after="0" w:line="183" w:lineRule="exact"/>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line="183" w:lineRule="exact"/>
              <w:rPr>
                <w:sz w:val="20"/>
                <w:szCs w:val="20"/>
                <w:color w:val="auto"/>
              </w:rPr>
            </w:pPr>
            <w:r>
              <w:rPr>
                <w:rFonts w:ascii="Arial" w:cs="Arial" w:eastAsia="Arial" w:hAnsi="Arial"/>
                <w:sz w:val="16"/>
                <w:szCs w:val="16"/>
                <w:color w:val="auto"/>
              </w:rPr>
              <w:t>3</w:t>
            </w:r>
          </w:p>
        </w:tc>
        <w:tc>
          <w:tcPr>
            <w:tcW w:w="100" w:type="dxa"/>
            <w:vAlign w:val="bottom"/>
          </w:tcPr>
          <w:p>
            <w:pPr>
              <w:spacing w:after="0"/>
              <w:rPr>
                <w:sz w:val="15"/>
                <w:szCs w:val="15"/>
                <w:color w:val="auto"/>
              </w:rPr>
            </w:pPr>
          </w:p>
        </w:tc>
        <w:tc>
          <w:tcPr>
            <w:tcW w:w="400" w:type="dxa"/>
            <w:vAlign w:val="bottom"/>
          </w:tcPr>
          <w:p>
            <w:pPr>
              <w:jc w:val="right"/>
              <w:ind w:right="221"/>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2"/>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investment losses</w:t>
            </w:r>
          </w:p>
        </w:tc>
        <w:tc>
          <w:tcPr>
            <w:tcW w:w="8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8"/>
        </w:trPr>
        <w:tc>
          <w:tcPr>
            <w:tcW w:w="8700" w:type="dxa"/>
            <w:vAlign w:val="bottom"/>
          </w:tcPr>
          <w:p>
            <w:pPr>
              <w:ind w:left="180"/>
              <w:spacing w:after="0"/>
              <w:rPr>
                <w:sz w:val="20"/>
                <w:szCs w:val="20"/>
                <w:color w:val="auto"/>
              </w:rPr>
            </w:pPr>
            <w:r>
              <w:rPr>
                <w:rFonts w:ascii="Arial" w:cs="Arial" w:eastAsia="Arial" w:hAnsi="Arial"/>
                <w:sz w:val="16"/>
                <w:szCs w:val="16"/>
                <w:color w:val="auto"/>
              </w:rPr>
              <w:t>Net investment gains (losses)</w:t>
            </w:r>
          </w:p>
        </w:tc>
        <w:tc>
          <w:tcPr>
            <w:tcW w:w="820" w:type="dxa"/>
            <w:vAlign w:val="bottom"/>
            <w:tcBorders>
              <w:bottom w:val="single" w:sz="8" w:color="auto"/>
            </w:tcBorders>
          </w:tcPr>
          <w:p>
            <w:pPr>
              <w:jc w:val="right"/>
              <w:ind w:right="64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Derivatives</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See Notes 1 and 8 of the Notes to the Consolidated Financial Statements included in the 2022 Annual Report for a description of the Company’s accounting policies for derivatives and the fair value hierarchy for derivatives.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Types of Derivative Instruments and Derivative Strategies</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Company maintains an overall risk management strategy that incorporates the use of derivative instruments to minimize its exposure to various market risks. Commonly used derivative instruments include, but are not necessarily limited to:</w:t>
      </w:r>
    </w:p>
    <w:p>
      <w:pPr>
        <w:spacing w:after="0" w:line="75"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rate derivatives: swaps, floors, caps, swaptions and forwards;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Foreign currency exchange rate derivatives: forwards and swaps;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Equity market derivatives: options and total return swaps; and</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Credit derivatives: single and index reference credit default swaps and swaptions.</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For detailed information on these contracts and the related strategies, see Note 7 of the Notes to the Consolidated Financial Statements included in the 2022 Annual Report.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(continued)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Risks Managed by Derivatives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primary underlying risk exposure, gross notional amount and estimated fair value of derivatives, excluding embedded derivatives, held were as follows at: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ind w:left="20"/>
              <w:spacing w:after="0"/>
              <w:rPr>
                <w:sz w:val="20"/>
                <w:szCs w:val="20"/>
                <w:color w:val="auto"/>
              </w:rPr>
            </w:pPr>
            <w:r>
              <w:rPr>
                <w:rFonts w:ascii="Arial" w:cs="Arial" w:eastAsia="Arial" w:hAnsi="Arial"/>
                <w:sz w:val="12"/>
                <w:szCs w:val="12"/>
                <w:b w:val="1"/>
                <w:bCs w:val="1"/>
                <w:color w:val="auto"/>
              </w:rPr>
              <w:t>March 31, 2023</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2"/>
                <w:szCs w:val="12"/>
                <w:b w:val="1"/>
                <w:bCs w:val="1"/>
                <w:color w:val="auto"/>
                <w:w w:val="92"/>
              </w:rPr>
              <w:t>December 31, 2022</w:t>
            </w:r>
          </w:p>
        </w:tc>
        <w:tc>
          <w:tcPr>
            <w:tcW w:w="760" w:type="dxa"/>
            <w:vAlign w:val="bottom"/>
            <w:tcBorders>
              <w:bottom w:val="single" w:sz="8" w:color="auto"/>
            </w:tcBorders>
          </w:tcPr>
          <w:p>
            <w:pPr>
              <w:spacing w:after="0"/>
              <w:rPr>
                <w:sz w:val="14"/>
                <w:szCs w:val="14"/>
                <w:color w:val="auto"/>
              </w:rPr>
            </w:pPr>
          </w:p>
        </w:tc>
      </w:tr>
      <w:tr>
        <w:trPr>
          <w:trHeight w:val="186"/>
        </w:trPr>
        <w:tc>
          <w:tcPr>
            <w:tcW w:w="28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Gross</w:t>
            </w:r>
          </w:p>
        </w:tc>
        <w:tc>
          <w:tcPr>
            <w:tcW w:w="160" w:type="dxa"/>
            <w:vAlign w:val="bottom"/>
          </w:tcPr>
          <w:p>
            <w:pPr>
              <w:spacing w:after="0"/>
              <w:rPr>
                <w:sz w:val="16"/>
                <w:szCs w:val="16"/>
                <w:color w:val="auto"/>
              </w:rPr>
            </w:pPr>
          </w:p>
        </w:tc>
        <w:tc>
          <w:tcPr>
            <w:tcW w:w="1800" w:type="dxa"/>
            <w:vAlign w:val="bottom"/>
            <w:gridSpan w:val="5"/>
          </w:tcPr>
          <w:p>
            <w:pPr>
              <w:ind w:left="200"/>
              <w:spacing w:after="0"/>
              <w:rPr>
                <w:sz w:val="20"/>
                <w:szCs w:val="20"/>
                <w:color w:val="auto"/>
              </w:rPr>
            </w:pPr>
            <w:r>
              <w:rPr>
                <w:rFonts w:ascii="Arial" w:cs="Arial" w:eastAsia="Arial" w:hAnsi="Arial"/>
                <w:sz w:val="12"/>
                <w:szCs w:val="12"/>
                <w:b w:val="1"/>
                <w:bCs w:val="1"/>
                <w:color w:val="auto"/>
              </w:rPr>
              <w:t>Estimated Fair Value</w:t>
            </w:r>
          </w:p>
        </w:tc>
        <w:tc>
          <w:tcPr>
            <w:tcW w:w="140" w:type="dxa"/>
            <w:vAlign w:val="bottom"/>
          </w:tcPr>
          <w:p>
            <w:pPr>
              <w:spacing w:after="0"/>
              <w:rPr>
                <w:sz w:val="16"/>
                <w:szCs w:val="16"/>
                <w:color w:val="auto"/>
              </w:rPr>
            </w:pPr>
          </w:p>
        </w:tc>
        <w:tc>
          <w:tcPr>
            <w:tcW w:w="740" w:type="dxa"/>
            <w:vAlign w:val="bottom"/>
          </w:tcPr>
          <w:p>
            <w:pPr>
              <w:jc w:val="center"/>
              <w:ind w:right="78"/>
              <w:spacing w:after="0"/>
              <w:rPr>
                <w:sz w:val="20"/>
                <w:szCs w:val="20"/>
                <w:color w:val="auto"/>
              </w:rPr>
            </w:pPr>
            <w:r>
              <w:rPr>
                <w:rFonts w:ascii="Arial" w:cs="Arial" w:eastAsia="Arial" w:hAnsi="Arial"/>
                <w:sz w:val="12"/>
                <w:szCs w:val="12"/>
                <w:b w:val="1"/>
                <w:bCs w:val="1"/>
                <w:color w:val="auto"/>
                <w:w w:val="92"/>
              </w:rPr>
              <w:t>Gross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4"/>
          </w:tcPr>
          <w:p>
            <w:pPr>
              <w:jc w:val="right"/>
              <w:ind w:right="292"/>
              <w:spacing w:after="0"/>
              <w:rPr>
                <w:sz w:val="20"/>
                <w:szCs w:val="20"/>
                <w:color w:val="auto"/>
              </w:rPr>
            </w:pPr>
            <w:r>
              <w:rPr>
                <w:rFonts w:ascii="Arial" w:cs="Arial" w:eastAsia="Arial" w:hAnsi="Arial"/>
                <w:sz w:val="12"/>
                <w:szCs w:val="12"/>
                <w:b w:val="1"/>
                <w:bCs w:val="1"/>
                <w:color w:val="auto"/>
              </w:rPr>
              <w:t>Estimated Fair Value</w:t>
            </w:r>
          </w:p>
        </w:tc>
      </w:tr>
      <w:tr>
        <w:trPr>
          <w:trHeight w:val="68"/>
        </w:trPr>
        <w:tc>
          <w:tcPr>
            <w:tcW w:w="28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tcPr>
          <w:p>
            <w:pPr>
              <w:jc w:val="center"/>
              <w:ind w:right="280"/>
              <w:spacing w:after="0" w:line="68" w:lineRule="exact"/>
              <w:rPr>
                <w:sz w:val="20"/>
                <w:szCs w:val="20"/>
                <w:color w:val="auto"/>
              </w:rPr>
            </w:pPr>
            <w:r>
              <w:rPr>
                <w:rFonts w:ascii="Arial" w:cs="Arial" w:eastAsia="Arial" w:hAnsi="Arial"/>
                <w:sz w:val="7"/>
                <w:szCs w:val="7"/>
                <w:b w:val="1"/>
                <w:bCs w:val="1"/>
                <w:color w:val="auto"/>
              </w:rPr>
              <w:t>Notional</w:t>
            </w: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jc w:val="center"/>
              <w:ind w:right="78"/>
              <w:spacing w:after="0" w:line="68" w:lineRule="exact"/>
              <w:rPr>
                <w:sz w:val="20"/>
                <w:szCs w:val="20"/>
                <w:color w:val="auto"/>
              </w:rPr>
            </w:pPr>
            <w:r>
              <w:rPr>
                <w:rFonts w:ascii="Arial" w:cs="Arial" w:eastAsia="Arial" w:hAnsi="Arial"/>
                <w:sz w:val="7"/>
                <w:szCs w:val="7"/>
                <w:b w:val="1"/>
                <w:bCs w:val="1"/>
                <w:color w:val="auto"/>
              </w:rPr>
              <w:t>Notional</w:t>
            </w: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r>
      <w:tr>
        <w:trPr>
          <w:trHeight w:val="170"/>
        </w:trPr>
        <w:tc>
          <w:tcPr>
            <w:tcW w:w="2820" w:type="dxa"/>
            <w:vAlign w:val="bottom"/>
          </w:tcPr>
          <w:p>
            <w:pPr>
              <w:spacing w:after="0"/>
              <w:rPr>
                <w:sz w:val="14"/>
                <w:szCs w:val="14"/>
                <w:color w:val="auto"/>
              </w:rPr>
            </w:pPr>
          </w:p>
        </w:tc>
        <w:tc>
          <w:tcPr>
            <w:tcW w:w="2620" w:type="dxa"/>
            <w:vAlign w:val="bottom"/>
            <w:gridSpan w:val="2"/>
          </w:tcPr>
          <w:p>
            <w:pPr>
              <w:ind w:left="320"/>
              <w:spacing w:after="0"/>
              <w:rPr>
                <w:sz w:val="20"/>
                <w:szCs w:val="20"/>
                <w:color w:val="auto"/>
              </w:rPr>
            </w:pPr>
            <w:r>
              <w:rPr>
                <w:rFonts w:ascii="Arial" w:cs="Arial" w:eastAsia="Arial" w:hAnsi="Arial"/>
                <w:sz w:val="12"/>
                <w:szCs w:val="12"/>
                <w:b w:val="1"/>
                <w:bCs w:val="1"/>
                <w:color w:val="auto"/>
              </w:rPr>
              <w:t>Primary Underlying Risk Exposure</w:t>
            </w:r>
          </w:p>
        </w:tc>
        <w:tc>
          <w:tcPr>
            <w:tcW w:w="16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6"/>
              </w:rPr>
              <w:t>Amount</w:t>
            </w:r>
          </w:p>
        </w:tc>
        <w:tc>
          <w:tcPr>
            <w:tcW w:w="160" w:type="dxa"/>
            <w:vAlign w:val="bottom"/>
          </w:tcPr>
          <w:p>
            <w:pPr>
              <w:spacing w:after="0"/>
              <w:rPr>
                <w:sz w:val="14"/>
                <w:szCs w:val="14"/>
                <w:color w:val="auto"/>
              </w:rPr>
            </w:pPr>
          </w:p>
        </w:tc>
        <w:tc>
          <w:tcPr>
            <w:tcW w:w="940" w:type="dxa"/>
            <w:vAlign w:val="bottom"/>
            <w:gridSpan w:val="3"/>
          </w:tcPr>
          <w:p>
            <w:pPr>
              <w:ind w:left="100"/>
              <w:spacing w:after="0"/>
              <w:rPr>
                <w:sz w:val="20"/>
                <w:szCs w:val="20"/>
                <w:color w:val="auto"/>
              </w:rPr>
            </w:pPr>
            <w:r>
              <w:rPr>
                <w:rFonts w:ascii="Arial" w:cs="Arial" w:eastAsia="Arial" w:hAnsi="Arial"/>
                <w:sz w:val="12"/>
                <w:szCs w:val="12"/>
                <w:b w:val="1"/>
                <w:bCs w:val="1"/>
                <w:color w:val="auto"/>
              </w:rPr>
              <w:t>Assets</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Liabilities</w:t>
            </w:r>
          </w:p>
        </w:tc>
        <w:tc>
          <w:tcPr>
            <w:tcW w:w="140" w:type="dxa"/>
            <w:vAlign w:val="bottom"/>
          </w:tcPr>
          <w:p>
            <w:pPr>
              <w:spacing w:after="0"/>
              <w:rPr>
                <w:sz w:val="14"/>
                <w:szCs w:val="14"/>
                <w:color w:val="auto"/>
              </w:rPr>
            </w:pPr>
          </w:p>
        </w:tc>
        <w:tc>
          <w:tcPr>
            <w:tcW w:w="740" w:type="dxa"/>
            <w:vAlign w:val="bottom"/>
          </w:tcPr>
          <w:p>
            <w:pPr>
              <w:jc w:val="center"/>
              <w:ind w:right="78"/>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center"/>
              <w:ind w:right="400"/>
              <w:spacing w:after="0"/>
              <w:rPr>
                <w:sz w:val="20"/>
                <w:szCs w:val="20"/>
                <w:color w:val="auto"/>
              </w:rPr>
            </w:pPr>
            <w:r>
              <w:rPr>
                <w:rFonts w:ascii="Arial" w:cs="Arial" w:eastAsia="Arial" w:hAnsi="Arial"/>
                <w:sz w:val="12"/>
                <w:szCs w:val="12"/>
                <w:b w:val="1"/>
                <w:bCs w:val="1"/>
                <w:color w:val="auto"/>
                <w:w w:val="81"/>
              </w:rPr>
              <w:t>Assets</w:t>
            </w:r>
          </w:p>
        </w:tc>
        <w:tc>
          <w:tcPr>
            <w:tcW w:w="760" w:type="dxa"/>
            <w:vAlign w:val="bottom"/>
          </w:tcPr>
          <w:p>
            <w:pPr>
              <w:jc w:val="right"/>
              <w:ind w:right="112"/>
              <w:spacing w:after="0"/>
              <w:rPr>
                <w:sz w:val="20"/>
                <w:szCs w:val="20"/>
                <w:color w:val="auto"/>
              </w:rPr>
            </w:pPr>
            <w:r>
              <w:rPr>
                <w:rFonts w:ascii="Arial" w:cs="Arial" w:eastAsia="Arial" w:hAnsi="Arial"/>
                <w:sz w:val="12"/>
                <w:szCs w:val="12"/>
                <w:b w:val="1"/>
                <w:bCs w:val="1"/>
                <w:color w:val="auto"/>
              </w:rPr>
              <w:t>Liabilities</w:t>
            </w:r>
          </w:p>
        </w:tc>
      </w:tr>
      <w:tr>
        <w:trPr>
          <w:trHeight w:val="166"/>
        </w:trPr>
        <w:tc>
          <w:tcPr>
            <w:tcW w:w="2820" w:type="dxa"/>
            <w:vAlign w:val="bottom"/>
          </w:tcPr>
          <w:p>
            <w:pPr>
              <w:spacing w:after="0"/>
              <w:rPr>
                <w:sz w:val="14"/>
                <w:szCs w:val="14"/>
                <w:color w:val="auto"/>
              </w:rPr>
            </w:pPr>
          </w:p>
        </w:tc>
        <w:tc>
          <w:tcPr>
            <w:tcW w:w="2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gridSpan w:val="4"/>
          </w:tcPr>
          <w:p>
            <w:pPr>
              <w:jc w:val="right"/>
              <w:ind w:right="558"/>
              <w:spacing w:after="0"/>
              <w:rPr>
                <w:sz w:val="20"/>
                <w:szCs w:val="20"/>
                <w:color w:val="auto"/>
              </w:rPr>
            </w:pPr>
            <w:r>
              <w:rPr>
                <w:rFonts w:ascii="Arial" w:cs="Arial" w:eastAsia="Arial" w:hAnsi="Arial"/>
                <w:sz w:val="12"/>
                <w:szCs w:val="12"/>
                <w:b w:val="1"/>
                <w:bCs w:val="1"/>
                <w:color w:val="auto"/>
              </w:rPr>
              <w:t>(In millions)</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r>
      <w:tr>
        <w:trPr>
          <w:trHeight w:val="205"/>
        </w:trPr>
        <w:tc>
          <w:tcPr>
            <w:tcW w:w="54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89"/>
        </w:trPr>
        <w:tc>
          <w:tcPr>
            <w:tcW w:w="2820" w:type="dxa"/>
            <w:vAlign w:val="bottom"/>
          </w:tcPr>
          <w:p>
            <w:pPr>
              <w:ind w:left="20"/>
              <w:spacing w:after="0"/>
              <w:rPr>
                <w:sz w:val="20"/>
                <w:szCs w:val="20"/>
                <w:color w:val="auto"/>
              </w:rPr>
            </w:pPr>
            <w:r>
              <w:rPr>
                <w:rFonts w:ascii="Arial" w:cs="Arial" w:eastAsia="Arial" w:hAnsi="Arial"/>
                <w:sz w:val="14"/>
                <w:szCs w:val="14"/>
                <w:color w:val="auto"/>
              </w:rPr>
              <w:t>Cash flow hedges:</w:t>
            </w:r>
          </w:p>
        </w:tc>
        <w:tc>
          <w:tcPr>
            <w:tcW w:w="2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8"/>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forwards</w:t>
            </w:r>
          </w:p>
        </w:tc>
        <w:tc>
          <w:tcPr>
            <w:tcW w:w="2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   $</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ind w:left="480"/>
              <w:spacing w:after="0"/>
              <w:rPr>
                <w:sz w:val="20"/>
                <w:szCs w:val="20"/>
                <w:color w:val="auto"/>
              </w:rPr>
            </w:pPr>
            <w:r>
              <w:rPr>
                <w:rFonts w:ascii="Arial" w:cs="Arial" w:eastAsia="Arial" w:hAnsi="Arial"/>
                <w:sz w:val="14"/>
                <w:szCs w:val="14"/>
                <w:color w:val="auto"/>
              </w:rPr>
              <w:t>—   $</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92"/>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currency swaps</w:t>
            </w:r>
          </w:p>
        </w:tc>
        <w:tc>
          <w:tcPr>
            <w:tcW w:w="26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Foreign currency exchange rate</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4,005</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199"/>
        </w:trPr>
        <w:tc>
          <w:tcPr>
            <w:tcW w:w="2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qualifying hedges</w:t>
            </w:r>
          </w:p>
        </w:tc>
        <w:tc>
          <w:tcPr>
            <w:tcW w:w="2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3453130</wp:posOffset>
            </wp:positionH>
            <wp:positionV relativeFrom="paragraph">
              <wp:posOffset>0</wp:posOffset>
            </wp:positionV>
            <wp:extent cx="36849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8490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Derivatives Not Designated or Not Qualifying as Hedging Instruments: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2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rate</w:t>
            </w: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rPr>
                <w:sz w:val="20"/>
                <w:szCs w:val="20"/>
                <w:color w:val="auto"/>
              </w:rPr>
            </w:pPr>
            <w:r>
              <w:rPr>
                <w:rFonts w:ascii="Arial" w:cs="Arial" w:eastAsia="Arial" w:hAnsi="Arial"/>
                <w:sz w:val="14"/>
                <w:szCs w:val="14"/>
                <w:color w:val="auto"/>
              </w:rPr>
              <w:t>Interest rate floors</w:t>
            </w:r>
          </w:p>
        </w:tc>
        <w:tc>
          <w:tcPr>
            <w:tcW w:w="2820" w:type="dxa"/>
            <w:vAlign w:val="bottom"/>
          </w:tcPr>
          <w:p>
            <w:pPr>
              <w:ind w:left="220"/>
              <w:spacing w:after="0"/>
              <w:rPr>
                <w:sz w:val="20"/>
                <w:szCs w:val="20"/>
                <w:color w:val="auto"/>
              </w:rPr>
            </w:pPr>
            <w:r>
              <w:rPr>
                <w:rFonts w:ascii="Arial" w:cs="Arial" w:eastAsia="Arial" w:hAnsi="Arial"/>
                <w:sz w:val="14"/>
                <w:szCs w:val="14"/>
                <w:color w:val="auto"/>
              </w:rPr>
              <w:t>Interest rate</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3,250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8"/>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caps</w:t>
            </w:r>
          </w:p>
        </w:tc>
        <w:tc>
          <w:tcPr>
            <w:tcW w:w="2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rate</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rPr>
                <w:sz w:val="20"/>
                <w:szCs w:val="20"/>
                <w:color w:val="auto"/>
              </w:rPr>
            </w:pPr>
            <w:r>
              <w:rPr>
                <w:rFonts w:ascii="Arial" w:cs="Arial" w:eastAsia="Arial" w:hAnsi="Arial"/>
                <w:sz w:val="14"/>
                <w:szCs w:val="14"/>
                <w:color w:val="auto"/>
              </w:rPr>
              <w:t>Interest rate options</w:t>
            </w:r>
          </w:p>
        </w:tc>
        <w:tc>
          <w:tcPr>
            <w:tcW w:w="2820" w:type="dxa"/>
            <w:vAlign w:val="bottom"/>
          </w:tcPr>
          <w:p>
            <w:pPr>
              <w:ind w:left="220"/>
              <w:spacing w:after="0"/>
              <w:rPr>
                <w:sz w:val="20"/>
                <w:szCs w:val="20"/>
                <w:color w:val="auto"/>
              </w:rPr>
            </w:pPr>
            <w:r>
              <w:rPr>
                <w:rFonts w:ascii="Arial" w:cs="Arial" w:eastAsia="Arial" w:hAnsi="Arial"/>
                <w:sz w:val="14"/>
                <w:szCs w:val="14"/>
                <w:color w:val="auto"/>
              </w:rPr>
              <w:t>Interest rate</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32,388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28,688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208"/>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forwards</w:t>
            </w:r>
          </w:p>
        </w:tc>
        <w:tc>
          <w:tcPr>
            <w:tcW w:w="2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rate</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17,886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2,466</w:t>
            </w: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rPr>
                <w:sz w:val="20"/>
                <w:szCs w:val="20"/>
                <w:color w:val="auto"/>
              </w:rPr>
            </w:pPr>
            <w:r>
              <w:rPr>
                <w:rFonts w:ascii="Arial" w:cs="Arial" w:eastAsia="Arial" w:hAnsi="Arial"/>
                <w:sz w:val="14"/>
                <w:szCs w:val="14"/>
                <w:color w:val="auto"/>
              </w:rPr>
              <w:t>Foreign currency swaps</w:t>
            </w:r>
          </w:p>
        </w:tc>
        <w:tc>
          <w:tcPr>
            <w:tcW w:w="2820" w:type="dxa"/>
            <w:vAlign w:val="bottom"/>
          </w:tcPr>
          <w:p>
            <w:pPr>
              <w:ind w:left="220"/>
              <w:spacing w:after="0"/>
              <w:rPr>
                <w:sz w:val="20"/>
                <w:szCs w:val="20"/>
                <w:color w:val="auto"/>
              </w:rPr>
            </w:pPr>
            <w:r>
              <w:rPr>
                <w:rFonts w:ascii="Arial" w:cs="Arial" w:eastAsia="Arial" w:hAnsi="Arial"/>
                <w:sz w:val="14"/>
                <w:szCs w:val="14"/>
                <w:color w:val="auto"/>
              </w:rPr>
              <w:t>Foreign currency exchange rate</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811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forwards</w:t>
            </w:r>
          </w:p>
        </w:tc>
        <w:tc>
          <w:tcPr>
            <w:tcW w:w="2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currency exchange rate</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rPr>
                <w:sz w:val="20"/>
                <w:szCs w:val="20"/>
                <w:color w:val="auto"/>
              </w:rPr>
            </w:pPr>
            <w:r>
              <w:rPr>
                <w:rFonts w:ascii="Arial" w:cs="Arial" w:eastAsia="Arial" w:hAnsi="Arial"/>
                <w:sz w:val="14"/>
                <w:szCs w:val="14"/>
                <w:color w:val="auto"/>
              </w:rPr>
              <w:t>Credit default swaps — written</w:t>
            </w:r>
          </w:p>
        </w:tc>
        <w:tc>
          <w:tcPr>
            <w:tcW w:w="2820" w:type="dxa"/>
            <w:vAlign w:val="bottom"/>
          </w:tcPr>
          <w:p>
            <w:pPr>
              <w:ind w:left="220"/>
              <w:spacing w:after="0"/>
              <w:rPr>
                <w:sz w:val="20"/>
                <w:szCs w:val="20"/>
                <w:color w:val="auto"/>
              </w:rPr>
            </w:pPr>
            <w:r>
              <w:rPr>
                <w:rFonts w:ascii="Arial" w:cs="Arial" w:eastAsia="Arial" w:hAnsi="Arial"/>
                <w:sz w:val="14"/>
                <w:szCs w:val="14"/>
                <w:color w:val="auto"/>
              </w:rPr>
              <w:t>Credit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1,760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1,757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8"/>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default swaptions</w:t>
            </w:r>
          </w:p>
        </w:tc>
        <w:tc>
          <w:tcPr>
            <w:tcW w:w="2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Credit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620" w:type="dxa"/>
            <w:vAlign w:val="bottom"/>
          </w:tcPr>
          <w:p>
            <w:pPr>
              <w:ind w:left="20"/>
              <w:spacing w:after="0"/>
              <w:rPr>
                <w:sz w:val="20"/>
                <w:szCs w:val="20"/>
                <w:color w:val="auto"/>
              </w:rPr>
            </w:pPr>
            <w:r>
              <w:rPr>
                <w:rFonts w:ascii="Arial" w:cs="Arial" w:eastAsia="Arial" w:hAnsi="Arial"/>
                <w:sz w:val="14"/>
                <w:szCs w:val="14"/>
                <w:color w:val="auto"/>
              </w:rPr>
              <w:t>Equity index options</w:t>
            </w:r>
          </w:p>
        </w:tc>
        <w:tc>
          <w:tcPr>
            <w:tcW w:w="2820" w:type="dxa"/>
            <w:vAlign w:val="bottom"/>
          </w:tcPr>
          <w:p>
            <w:pPr>
              <w:ind w:left="220"/>
              <w:spacing w:after="0"/>
              <w:rPr>
                <w:sz w:val="20"/>
                <w:szCs w:val="20"/>
                <w:color w:val="auto"/>
              </w:rPr>
            </w:pPr>
            <w:r>
              <w:rPr>
                <w:rFonts w:ascii="Arial" w:cs="Arial" w:eastAsia="Arial" w:hAnsi="Arial"/>
                <w:sz w:val="14"/>
                <w:szCs w:val="14"/>
                <w:color w:val="auto"/>
              </w:rPr>
              <w:t>Equity market</w:t>
            </w: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17,056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390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17,229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697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351</w:t>
            </w:r>
          </w:p>
        </w:tc>
        <w:tc>
          <w:tcPr>
            <w:tcW w:w="0" w:type="dxa"/>
            <w:vAlign w:val="bottom"/>
          </w:tcPr>
          <w:p>
            <w:pPr>
              <w:spacing w:after="0"/>
              <w:rPr>
                <w:sz w:val="1"/>
                <w:szCs w:val="1"/>
                <w:color w:val="auto"/>
              </w:rPr>
            </w:pPr>
          </w:p>
        </w:tc>
      </w:tr>
      <w:tr>
        <w:trPr>
          <w:trHeight w:val="208"/>
        </w:trPr>
        <w:tc>
          <w:tcPr>
            <w:tcW w:w="2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total return swaps</w:t>
            </w:r>
          </w:p>
        </w:tc>
        <w:tc>
          <w:tcPr>
            <w:tcW w:w="2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market</w:t>
            </w: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43,941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32,909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120"/>
        </w:trPr>
        <w:tc>
          <w:tcPr>
            <w:tcW w:w="2620" w:type="dxa"/>
            <w:vAlign w:val="bottom"/>
          </w:tcPr>
          <w:p>
            <w:pPr>
              <w:ind w:left="180"/>
              <w:spacing w:after="0" w:line="121" w:lineRule="exact"/>
              <w:rPr>
                <w:sz w:val="20"/>
                <w:szCs w:val="20"/>
                <w:color w:val="auto"/>
              </w:rPr>
            </w:pPr>
            <w:r>
              <w:rPr>
                <w:rFonts w:ascii="Arial" w:cs="Arial" w:eastAsia="Arial" w:hAnsi="Arial"/>
                <w:sz w:val="13"/>
                <w:szCs w:val="13"/>
                <w:color w:val="auto"/>
              </w:rPr>
              <w:t>Total non-designated or non-qualifying</w:t>
            </w:r>
          </w:p>
        </w:tc>
        <w:tc>
          <w:tcPr>
            <w:tcW w:w="2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138,489</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2,090</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3,240</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112,905</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1,688</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3,900</w:t>
            </w:r>
          </w:p>
        </w:tc>
        <w:tc>
          <w:tcPr>
            <w:tcW w:w="0" w:type="dxa"/>
            <w:vAlign w:val="bottom"/>
          </w:tcPr>
          <w:p>
            <w:pPr>
              <w:spacing w:after="0"/>
              <w:rPr>
                <w:sz w:val="1"/>
                <w:szCs w:val="1"/>
                <w:color w:val="auto"/>
              </w:rPr>
            </w:pPr>
          </w:p>
        </w:tc>
      </w:tr>
      <w:tr>
        <w:trPr>
          <w:trHeight w:val="185"/>
        </w:trPr>
        <w:tc>
          <w:tcPr>
            <w:tcW w:w="26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derivatives</w:t>
            </w:r>
          </w:p>
        </w:tc>
        <w:tc>
          <w:tcPr>
            <w:tcW w:w="28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28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142,534</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3,253</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116,991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2,284</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3,920</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Based on gross notional amounts, a substantial portion of the Company’s derivatives was not designated or did not qualify as part of a hedging relationship at both March 31, 2023 and December 31, 2022. The Company’s use of derivatives includes (i) derivatives that serve as macro hedges of the Company’s exposure to various risks and generally do not qualify for hedge accounting because they do not meet the criteria required under portfolio hedging rules; (ii) derivatives that economically hedge insurance liabilities and generally do not qualify for hedge accounting because they do not meet the criteria of being “highly effective” as outlined in Accounting Standards Codification 815 — Derivatives and Hedging; (iii) derivatives that economically hedge MRBs that do not qualify for hedge accounting because the changes in estimated fair value of the MRBs are already recorded in net income; and (iv) written credit default swaps that are used to create synthetic credit investments and that do not qualify for hedge accounting because they do not involve a hedging relationship.</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(continued)</w:t>
      </w:r>
    </w:p>
    <w:p>
      <w:pPr>
        <w:spacing w:after="0" w:line="200" w:lineRule="exact"/>
        <w:rPr>
          <w:sz w:val="20"/>
          <w:szCs w:val="20"/>
          <w:color w:val="auto"/>
        </w:rPr>
      </w:pPr>
    </w:p>
    <w:p>
      <w:pPr>
        <w:spacing w:after="0" w:line="36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amount and location of gains (losses), including earned income, recognized for derivatives and gains (losses) pertaining to hedged items reported in net derivative gains (losses)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Net Derivative Gains</w:t>
            </w:r>
          </w:p>
        </w:tc>
        <w:tc>
          <w:tcPr>
            <w:tcW w:w="100" w:type="dxa"/>
            <w:vAlign w:val="bottom"/>
          </w:tcPr>
          <w:p>
            <w:pPr>
              <w:spacing w:after="0"/>
              <w:rPr>
                <w:sz w:val="14"/>
                <w:szCs w:val="14"/>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Net Derivative Gains</w:t>
            </w:r>
          </w:p>
        </w:tc>
        <w:tc>
          <w:tcPr>
            <w:tcW w:w="20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Net Investment</w:t>
            </w:r>
          </w:p>
        </w:tc>
        <w:tc>
          <w:tcPr>
            <w:tcW w:w="120" w:type="dxa"/>
            <w:vAlign w:val="bottom"/>
          </w:tcPr>
          <w:p>
            <w:pPr>
              <w:spacing w:after="0"/>
              <w:rPr>
                <w:sz w:val="14"/>
                <w:szCs w:val="14"/>
                <w:color w:val="auto"/>
              </w:rPr>
            </w:pPr>
          </w:p>
        </w:tc>
        <w:tc>
          <w:tcPr>
            <w:tcW w:w="1340" w:type="dxa"/>
            <w:vAlign w:val="bottom"/>
          </w:tcPr>
          <w:p>
            <w:pPr>
              <w:jc w:val="center"/>
              <w:ind w:right="22"/>
              <w:spacing w:after="0"/>
              <w:rPr>
                <w:sz w:val="20"/>
                <w:szCs w:val="20"/>
                <w:color w:val="auto"/>
              </w:rPr>
            </w:pPr>
            <w:r>
              <w:rPr>
                <w:rFonts w:ascii="Arial" w:cs="Arial" w:eastAsia="Arial" w:hAnsi="Arial"/>
                <w:sz w:val="14"/>
                <w:szCs w:val="14"/>
                <w:b w:val="1"/>
                <w:bCs w:val="1"/>
                <w:color w:val="auto"/>
                <w:w w:val="92"/>
              </w:rPr>
              <w:t>Amount of Gains</w:t>
            </w: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168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87"/>
              </w:rPr>
              <w:t>(Losses) Recognized for</w:t>
            </w:r>
          </w:p>
        </w:tc>
        <w:tc>
          <w:tcPr>
            <w:tcW w:w="100" w:type="dxa"/>
            <w:vAlign w:val="bottom"/>
          </w:tcPr>
          <w:p>
            <w:pPr>
              <w:spacing w:after="0"/>
              <w:rPr>
                <w:sz w:val="12"/>
                <w:szCs w:val="12"/>
                <w:color w:val="auto"/>
              </w:rPr>
            </w:pPr>
          </w:p>
        </w:tc>
        <w:tc>
          <w:tcPr>
            <w:tcW w:w="14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7"/>
              </w:rPr>
              <w:t>(Losses) Recognized</w:t>
            </w: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center"/>
              <w:ind w:right="42"/>
              <w:spacing w:after="0" w:line="142" w:lineRule="exact"/>
              <w:rPr>
                <w:sz w:val="20"/>
                <w:szCs w:val="20"/>
                <w:color w:val="auto"/>
              </w:rPr>
            </w:pPr>
            <w:r>
              <w:rPr>
                <w:rFonts w:ascii="Arial" w:cs="Arial" w:eastAsia="Arial" w:hAnsi="Arial"/>
                <w:sz w:val="14"/>
                <w:szCs w:val="14"/>
                <w:b w:val="1"/>
                <w:bCs w:val="1"/>
                <w:color w:val="auto"/>
                <w:w w:val="90"/>
              </w:rPr>
              <w:t>(Losses) Deferred in</w:t>
            </w:r>
          </w:p>
        </w:tc>
        <w:tc>
          <w:tcPr>
            <w:tcW w:w="0" w:type="dxa"/>
            <w:vAlign w:val="bottom"/>
          </w:tcPr>
          <w:p>
            <w:pPr>
              <w:spacing w:after="0"/>
              <w:rPr>
                <w:sz w:val="1"/>
                <w:szCs w:val="1"/>
                <w:color w:val="auto"/>
              </w:rPr>
            </w:pPr>
          </w:p>
        </w:tc>
      </w:tr>
      <w:tr>
        <w:trPr>
          <w:trHeight w:val="193"/>
        </w:trPr>
        <w:tc>
          <w:tcPr>
            <w:tcW w:w="5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Derivatives</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for Hedged Items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90"/>
        </w:trPr>
        <w:tc>
          <w:tcPr>
            <w:tcW w:w="5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ind w:left="920"/>
              <w:spacing w:after="0"/>
              <w:rPr>
                <w:sz w:val="20"/>
                <w:szCs w:val="20"/>
                <w:color w:val="auto"/>
              </w:rPr>
            </w:pPr>
            <w:r>
              <w:rPr>
                <w:rFonts w:ascii="Arial" w:cs="Arial" w:eastAsia="Arial" w:hAnsi="Arial"/>
                <w:sz w:val="14"/>
                <w:szCs w:val="14"/>
                <w:b w:val="1"/>
                <w:bCs w:val="1"/>
                <w:color w:val="auto"/>
                <w:w w:val="91"/>
              </w:rPr>
              <w:t>(In millions)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March 31, 2023</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hedges: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Pr>
          <w:p>
            <w:pPr>
              <w:ind w:left="20"/>
              <w:spacing w:after="0"/>
              <w:rPr>
                <w:sz w:val="20"/>
                <w:szCs w:val="20"/>
                <w:color w:val="auto"/>
              </w:rPr>
            </w:pPr>
            <w:r>
              <w:rPr>
                <w:rFonts w:ascii="Arial" w:cs="Arial" w:eastAsia="Arial" w:hAnsi="Arial"/>
                <w:sz w:val="16"/>
                <w:szCs w:val="16"/>
                <w:color w:val="auto"/>
              </w:rPr>
              <w:t>Interest rate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3"/>
        </w:trPr>
        <w:tc>
          <w:tcPr>
            <w:tcW w:w="5100" w:type="dxa"/>
            <w:vAlign w:val="bottom"/>
          </w:tcPr>
          <w:p>
            <w:pPr>
              <w:ind w:left="180"/>
              <w:spacing w:after="0"/>
              <w:rPr>
                <w:sz w:val="20"/>
                <w:szCs w:val="20"/>
                <w:color w:val="auto"/>
              </w:rPr>
            </w:pPr>
            <w:r>
              <w:rPr>
                <w:rFonts w:ascii="Arial" w:cs="Arial" w:eastAsia="Arial" w:hAnsi="Arial"/>
                <w:sz w:val="16"/>
                <w:szCs w:val="16"/>
                <w:color w:val="auto"/>
              </w:rPr>
              <w:t>Total cash flow hedges</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4"/>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4"/>
              </w:rPr>
              <w:t>Derivatives Not Designated or Not Qualifying as Hedging Instruments:</w:t>
            </w:r>
          </w:p>
        </w:tc>
        <w:tc>
          <w:tcPr>
            <w:tcW w:w="14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00" w:type="dxa"/>
            <w:vAlign w:val="bottom"/>
          </w:tcPr>
          <w:p>
            <w:pPr>
              <w:ind w:left="20"/>
              <w:spacing w:after="0"/>
              <w:rPr>
                <w:sz w:val="20"/>
                <w:szCs w:val="20"/>
                <w:color w:val="auto"/>
              </w:rPr>
            </w:pPr>
            <w:r>
              <w:rPr>
                <w:rFonts w:ascii="Arial" w:cs="Arial" w:eastAsia="Arial" w:hAnsi="Arial"/>
                <w:sz w:val="16"/>
                <w:szCs w:val="16"/>
                <w:color w:val="auto"/>
              </w:rPr>
              <w:t>Interest rate</w:t>
            </w:r>
          </w:p>
        </w:tc>
        <w:tc>
          <w:tcPr>
            <w:tcW w:w="14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00" w:type="dxa"/>
            <w:vAlign w:val="bottom"/>
          </w:tcPr>
          <w:p>
            <w:pPr>
              <w:ind w:left="2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18"/>
                <w:szCs w:val="18"/>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market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Embedded</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non-qualifying hedges</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100" w:type="dxa"/>
            <w:vAlign w:val="bottom"/>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1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Three Months Ended March 31, 2022</w:t>
            </w: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hedges: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Interest rate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5"/>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3"/>
        </w:trPr>
        <w:tc>
          <w:tcPr>
            <w:tcW w:w="5100" w:type="dxa"/>
            <w:vAlign w:val="bottom"/>
          </w:tcPr>
          <w:p>
            <w:pPr>
              <w:ind w:left="180"/>
              <w:spacing w:after="0"/>
              <w:rPr>
                <w:sz w:val="20"/>
                <w:szCs w:val="20"/>
                <w:color w:val="auto"/>
              </w:rPr>
            </w:pPr>
            <w:r>
              <w:rPr>
                <w:rFonts w:ascii="Arial" w:cs="Arial" w:eastAsia="Arial" w:hAnsi="Arial"/>
                <w:sz w:val="16"/>
                <w:szCs w:val="16"/>
                <w:color w:val="auto"/>
              </w:rPr>
              <w:t>Total cash flow hedges</w:t>
            </w:r>
          </w:p>
        </w:tc>
        <w:tc>
          <w:tcPr>
            <w:tcW w:w="140" w:type="dxa"/>
            <w:vAlign w:val="bottom"/>
          </w:tcPr>
          <w:p>
            <w:pPr>
              <w:spacing w:after="0"/>
              <w:rPr>
                <w:sz w:val="17"/>
                <w:szCs w:val="17"/>
                <w:color w:val="auto"/>
              </w:rPr>
            </w:pPr>
          </w:p>
        </w:tc>
        <w:tc>
          <w:tcPr>
            <w:tcW w:w="144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406"/>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94"/>
              </w:rPr>
              <w:t>Derivatives Not Designated or Not Qualifying as Hedging Instruments:</w:t>
            </w:r>
          </w:p>
        </w:tc>
        <w:tc>
          <w:tcPr>
            <w:tcW w:w="140" w:type="dxa"/>
            <w:vAlign w:val="bottom"/>
            <w:tcBorders>
              <w:top w:val="single" w:sz="8" w:color="auto"/>
            </w:tcBorders>
            <w:shd w:val="clear" w:color="auto" w:fill="CCEEFF"/>
          </w:tcPr>
          <w:p>
            <w:pPr>
              <w:spacing w:after="0"/>
              <w:rPr>
                <w:sz w:val="24"/>
                <w:szCs w:val="24"/>
                <w:color w:val="auto"/>
              </w:rPr>
            </w:pPr>
          </w:p>
        </w:tc>
        <w:tc>
          <w:tcPr>
            <w:tcW w:w="14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13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34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100" w:type="dxa"/>
            <w:vAlign w:val="bottom"/>
          </w:tcPr>
          <w:p>
            <w:pPr>
              <w:ind w:left="20"/>
              <w:spacing w:after="0"/>
              <w:rPr>
                <w:sz w:val="20"/>
                <w:szCs w:val="20"/>
                <w:color w:val="auto"/>
              </w:rPr>
            </w:pPr>
            <w:r>
              <w:rPr>
                <w:rFonts w:ascii="Arial" w:cs="Arial" w:eastAsia="Arial" w:hAnsi="Arial"/>
                <w:sz w:val="16"/>
                <w:szCs w:val="16"/>
                <w:color w:val="auto"/>
              </w:rPr>
              <w:t>Interest rate</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100" w:type="dxa"/>
            <w:vAlign w:val="bottom"/>
          </w:tcPr>
          <w:p>
            <w:pPr>
              <w:ind w:left="2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market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Embedded</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763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1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non-qualifying hedges</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ind w:left="1140"/>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100" w:type="dxa"/>
            <w:vAlign w:val="bottom"/>
          </w:tcPr>
          <w:p>
            <w:pPr>
              <w:ind w:left="1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tcPr>
          <w:p>
            <w:pPr>
              <w:ind w:left="114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At March 31, 2023 and December 31, 2022, the maximum length of time over which the Company was hedging its exposure to variability in future cash flows for forecasted transactions was less than one year and one year, respectively.</w:t>
      </w:r>
    </w:p>
    <w:p>
      <w:pPr>
        <w:spacing w:after="0" w:line="128" w:lineRule="exact"/>
        <w:rPr>
          <w:sz w:val="20"/>
          <w:szCs w:val="20"/>
          <w:color w:val="auto"/>
        </w:rPr>
      </w:pPr>
    </w:p>
    <w:p>
      <w:pPr>
        <w:ind w:right="420" w:firstLine="318"/>
        <w:spacing w:after="0" w:line="368" w:lineRule="auto"/>
        <w:rPr>
          <w:sz w:val="20"/>
          <w:szCs w:val="20"/>
          <w:color w:val="auto"/>
        </w:rPr>
      </w:pPr>
      <w:r>
        <w:rPr>
          <w:rFonts w:ascii="Arial" w:cs="Arial" w:eastAsia="Arial" w:hAnsi="Arial"/>
          <w:sz w:val="18"/>
          <w:szCs w:val="18"/>
          <w:color w:val="auto"/>
        </w:rPr>
        <w:t xml:space="preserve">At March 31, 2023 and December 31, 2022, the balance in AOCI associated with cash flow hedges was $598 million and $638 million, respectively. </w:t>
      </w:r>
      <w:r>
        <w:rPr>
          <w:rFonts w:ascii="Arial" w:cs="Arial" w:eastAsia="Arial" w:hAnsi="Arial"/>
          <w:sz w:val="18"/>
          <w:szCs w:val="18"/>
          <w:b w:val="1"/>
          <w:bCs w:val="1"/>
          <w:i w:val="1"/>
          <w:iCs w:val="1"/>
          <w:color w:val="auto"/>
        </w:rPr>
        <w:t>Credit Derivatives</w:t>
      </w:r>
    </w:p>
    <w:p>
      <w:pPr>
        <w:spacing w:after="0" w:line="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connection with synthetically created credit investment transactions, the Company writes credit default swaps for which it receives a premium to insure credit risk. If a credit event occurs, as defined by the contract, the contract may be cash settled or it may be settled gross by the Company paying the counterparty the specified swap notional amount in exchange for the delivery of par quantities of the referenced credit obligation.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(continued)</w:t>
      </w: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estimated fair value, maximum amount of future payments and weighted average years to maturity of written credit default swaps were as follows at: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ind w:right="126"/>
              <w:spacing w:after="0"/>
              <w:rPr>
                <w:sz w:val="20"/>
                <w:szCs w:val="20"/>
                <w:color w:val="auto"/>
              </w:rPr>
            </w:pPr>
            <w:r>
              <w:rPr>
                <w:rFonts w:ascii="Arial" w:cs="Arial" w:eastAsia="Arial" w:hAnsi="Arial"/>
                <w:sz w:val="14"/>
                <w:szCs w:val="14"/>
                <w:b w:val="1"/>
                <w:bCs w:val="1"/>
                <w:color w:val="auto"/>
              </w:rPr>
              <w:t>March 31, 2023</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ind w:right="6"/>
              <w:spacing w:after="0"/>
              <w:rPr>
                <w:sz w:val="20"/>
                <w:szCs w:val="20"/>
                <w:color w:val="auto"/>
              </w:rPr>
            </w:pPr>
            <w:r>
              <w:rPr>
                <w:rFonts w:ascii="Arial" w:cs="Arial" w:eastAsia="Arial" w:hAnsi="Arial"/>
                <w:sz w:val="14"/>
                <w:szCs w:val="14"/>
                <w:b w:val="1"/>
                <w:bCs w:val="1"/>
                <w:color w:val="auto"/>
                <w:w w:val="95"/>
              </w:rPr>
              <w:t>December 31, 2022</w:t>
            </w: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3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1"/>
                <w:szCs w:val="11"/>
                <w:color w:val="auto"/>
              </w:rPr>
            </w:pPr>
          </w:p>
        </w:tc>
        <w:tc>
          <w:tcPr>
            <w:tcW w:w="1300" w:type="dxa"/>
            <w:vAlign w:val="bottom"/>
          </w:tcPr>
          <w:p>
            <w:pPr>
              <w:jc w:val="center"/>
              <w:ind w:right="86"/>
              <w:spacing w:after="0" w:line="130" w:lineRule="exact"/>
              <w:rPr>
                <w:sz w:val="20"/>
                <w:szCs w:val="20"/>
                <w:color w:val="auto"/>
              </w:rPr>
            </w:pPr>
            <w:r>
              <w:rPr>
                <w:rFonts w:ascii="Arial" w:cs="Arial" w:eastAsia="Arial" w:hAnsi="Arial"/>
                <w:sz w:val="14"/>
                <w:szCs w:val="14"/>
                <w:b w:val="1"/>
                <w:bCs w:val="1"/>
                <w:color w:val="auto"/>
                <w:w w:val="95"/>
              </w:rPr>
              <w:t>Maximum</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1"/>
                <w:szCs w:val="11"/>
                <w:color w:val="auto"/>
              </w:rPr>
            </w:pPr>
          </w:p>
        </w:tc>
        <w:tc>
          <w:tcPr>
            <w:tcW w:w="1300" w:type="dxa"/>
            <w:vAlign w:val="bottom"/>
          </w:tcPr>
          <w:p>
            <w:pPr>
              <w:jc w:val="center"/>
              <w:ind w:right="86"/>
              <w:spacing w:after="0" w:line="130" w:lineRule="exact"/>
              <w:rPr>
                <w:sz w:val="20"/>
                <w:szCs w:val="20"/>
                <w:color w:val="auto"/>
              </w:rPr>
            </w:pPr>
            <w:r>
              <w:rPr>
                <w:rFonts w:ascii="Arial" w:cs="Arial" w:eastAsia="Arial" w:hAnsi="Arial"/>
                <w:sz w:val="14"/>
                <w:szCs w:val="14"/>
                <w:b w:val="1"/>
                <w:bCs w:val="1"/>
                <w:color w:val="auto"/>
                <w:w w:val="95"/>
              </w:rPr>
              <w:t>Maximum</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106"/>
              <w:spacing w:after="0" w:line="142" w:lineRule="exact"/>
              <w:rPr>
                <w:sz w:val="20"/>
                <w:szCs w:val="20"/>
                <w:color w:val="auto"/>
              </w:rPr>
            </w:pPr>
            <w:r>
              <w:rPr>
                <w:rFonts w:ascii="Arial" w:cs="Arial" w:eastAsia="Arial" w:hAnsi="Arial"/>
                <w:sz w:val="14"/>
                <w:szCs w:val="14"/>
                <w:b w:val="1"/>
                <w:bCs w:val="1"/>
                <w:color w:val="auto"/>
                <w:w w:val="91"/>
              </w:rPr>
              <w:t>Amount of</w:t>
            </w:r>
          </w:p>
        </w:tc>
        <w:tc>
          <w:tcPr>
            <w:tcW w:w="13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center"/>
              <w:ind w:right="86"/>
              <w:spacing w:after="0" w:line="142" w:lineRule="exact"/>
              <w:rPr>
                <w:sz w:val="20"/>
                <w:szCs w:val="20"/>
                <w:color w:val="auto"/>
              </w:rPr>
            </w:pPr>
            <w:r>
              <w:rPr>
                <w:rFonts w:ascii="Arial" w:cs="Arial" w:eastAsia="Arial" w:hAnsi="Arial"/>
                <w:sz w:val="14"/>
                <w:szCs w:val="14"/>
                <w:b w:val="1"/>
                <w:bCs w:val="1"/>
                <w:color w:val="auto"/>
                <w:w w:val="94"/>
              </w:rPr>
              <w:t>Amount of</w:t>
            </w:r>
          </w:p>
        </w:tc>
        <w:tc>
          <w:tcPr>
            <w:tcW w:w="1200" w:type="dxa"/>
            <w:vAlign w:val="bottom"/>
            <w:vMerge w:val="restart"/>
          </w:tcPr>
          <w:p>
            <w:pPr>
              <w:jc w:val="center"/>
              <w:ind w:left="44"/>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6"/>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6" w:lineRule="exact"/>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2"/>
                <w:szCs w:val="12"/>
                <w:color w:val="auto"/>
              </w:rPr>
            </w:pPr>
          </w:p>
        </w:tc>
        <w:tc>
          <w:tcPr>
            <w:tcW w:w="1300" w:type="dxa"/>
            <w:vAlign w:val="bottom"/>
          </w:tcPr>
          <w:p>
            <w:pPr>
              <w:jc w:val="center"/>
              <w:ind w:right="86"/>
              <w:spacing w:after="0" w:line="146" w:lineRule="exact"/>
              <w:rPr>
                <w:sz w:val="20"/>
                <w:szCs w:val="20"/>
                <w:color w:val="auto"/>
              </w:rPr>
            </w:pPr>
            <w:r>
              <w:rPr>
                <w:rFonts w:ascii="Arial" w:cs="Arial" w:eastAsia="Arial" w:hAnsi="Arial"/>
                <w:sz w:val="14"/>
                <w:szCs w:val="14"/>
                <w:b w:val="1"/>
                <w:bCs w:val="1"/>
                <w:color w:val="auto"/>
                <w:w w:val="96"/>
              </w:rPr>
              <w:t>Future</w:t>
            </w: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w w:val="92"/>
              </w:rPr>
              <w:t>Fair Value</w:t>
            </w:r>
          </w:p>
        </w:tc>
        <w:tc>
          <w:tcPr>
            <w:tcW w:w="180" w:type="dxa"/>
            <w:vAlign w:val="bottom"/>
          </w:tcPr>
          <w:p>
            <w:pPr>
              <w:spacing w:after="0"/>
              <w:rPr>
                <w:sz w:val="12"/>
                <w:szCs w:val="12"/>
                <w:color w:val="auto"/>
              </w:rPr>
            </w:pPr>
          </w:p>
        </w:tc>
        <w:tc>
          <w:tcPr>
            <w:tcW w:w="1300" w:type="dxa"/>
            <w:vAlign w:val="bottom"/>
          </w:tcPr>
          <w:p>
            <w:pPr>
              <w:jc w:val="center"/>
              <w:ind w:right="86"/>
              <w:spacing w:after="0" w:line="146" w:lineRule="exact"/>
              <w:rPr>
                <w:sz w:val="20"/>
                <w:szCs w:val="20"/>
                <w:color w:val="auto"/>
              </w:rPr>
            </w:pPr>
            <w:r>
              <w:rPr>
                <w:rFonts w:ascii="Arial" w:cs="Arial" w:eastAsia="Arial" w:hAnsi="Arial"/>
                <w:sz w:val="14"/>
                <w:szCs w:val="14"/>
                <w:b w:val="1"/>
                <w:bCs w:val="1"/>
                <w:color w:val="auto"/>
                <w:w w:val="96"/>
              </w:rPr>
              <w:t>Future</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Rating Agency Designation of Referenced Credit</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of Credit</w:t>
            </w:r>
          </w:p>
        </w:tc>
        <w:tc>
          <w:tcPr>
            <w:tcW w:w="180" w:type="dxa"/>
            <w:vAlign w:val="bottom"/>
          </w:tcPr>
          <w:p>
            <w:pPr>
              <w:spacing w:after="0"/>
              <w:rPr>
                <w:sz w:val="11"/>
                <w:szCs w:val="11"/>
                <w:color w:val="auto"/>
              </w:rPr>
            </w:pPr>
          </w:p>
        </w:tc>
        <w:tc>
          <w:tcPr>
            <w:tcW w:w="1300" w:type="dxa"/>
            <w:vAlign w:val="bottom"/>
          </w:tcPr>
          <w:p>
            <w:pPr>
              <w:jc w:val="center"/>
              <w:ind w:right="86"/>
              <w:spacing w:after="0" w:line="133" w:lineRule="exact"/>
              <w:rPr>
                <w:sz w:val="20"/>
                <w:szCs w:val="20"/>
                <w:color w:val="auto"/>
              </w:rPr>
            </w:pPr>
            <w:r>
              <w:rPr>
                <w:rFonts w:ascii="Arial" w:cs="Arial" w:eastAsia="Arial" w:hAnsi="Arial"/>
                <w:sz w:val="14"/>
                <w:szCs w:val="14"/>
                <w:b w:val="1"/>
                <w:bCs w:val="1"/>
                <w:color w:val="auto"/>
                <w:w w:val="89"/>
              </w:rPr>
              <w:t>Payments under</w:t>
            </w:r>
          </w:p>
        </w:tc>
        <w:tc>
          <w:tcPr>
            <w:tcW w:w="13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3"/>
              </w:rPr>
              <w:t>of Credit</w:t>
            </w:r>
          </w:p>
        </w:tc>
        <w:tc>
          <w:tcPr>
            <w:tcW w:w="180" w:type="dxa"/>
            <w:vAlign w:val="bottom"/>
          </w:tcPr>
          <w:p>
            <w:pPr>
              <w:spacing w:after="0"/>
              <w:rPr>
                <w:sz w:val="11"/>
                <w:szCs w:val="11"/>
                <w:color w:val="auto"/>
              </w:rPr>
            </w:pPr>
          </w:p>
        </w:tc>
        <w:tc>
          <w:tcPr>
            <w:tcW w:w="1300" w:type="dxa"/>
            <w:vAlign w:val="bottom"/>
          </w:tcPr>
          <w:p>
            <w:pPr>
              <w:jc w:val="center"/>
              <w:ind w:right="86"/>
              <w:spacing w:after="0" w:line="133" w:lineRule="exact"/>
              <w:rPr>
                <w:sz w:val="20"/>
                <w:szCs w:val="20"/>
                <w:color w:val="auto"/>
              </w:rPr>
            </w:pPr>
            <w:r>
              <w:rPr>
                <w:rFonts w:ascii="Arial" w:cs="Arial" w:eastAsia="Arial" w:hAnsi="Arial"/>
                <w:sz w:val="14"/>
                <w:szCs w:val="14"/>
                <w:b w:val="1"/>
                <w:bCs w:val="1"/>
                <w:color w:val="auto"/>
                <w:w w:val="89"/>
              </w:rPr>
              <w:t>Payments under</w:t>
            </w:r>
          </w:p>
        </w:tc>
        <w:tc>
          <w:tcPr>
            <w:tcW w:w="1200" w:type="dxa"/>
            <w:vAlign w:val="bottom"/>
          </w:tcPr>
          <w:p>
            <w:pPr>
              <w:jc w:val="center"/>
              <w:ind w:left="44"/>
              <w:spacing w:after="0" w:line="133"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6"/>
        </w:trPr>
        <w:tc>
          <w:tcPr>
            <w:tcW w:w="3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w w:val="96"/>
              </w:rPr>
              <w:t>Default</w:t>
            </w:r>
          </w:p>
        </w:tc>
        <w:tc>
          <w:tcPr>
            <w:tcW w:w="180" w:type="dxa"/>
            <w:vAlign w:val="bottom"/>
          </w:tcPr>
          <w:p>
            <w:pPr>
              <w:spacing w:after="0"/>
              <w:rPr>
                <w:sz w:val="12"/>
                <w:szCs w:val="12"/>
                <w:color w:val="auto"/>
              </w:rPr>
            </w:pPr>
          </w:p>
        </w:tc>
        <w:tc>
          <w:tcPr>
            <w:tcW w:w="1300" w:type="dxa"/>
            <w:vAlign w:val="bottom"/>
          </w:tcPr>
          <w:p>
            <w:pPr>
              <w:jc w:val="center"/>
              <w:ind w:right="106"/>
              <w:spacing w:after="0" w:line="146" w:lineRule="exact"/>
              <w:rPr>
                <w:sz w:val="20"/>
                <w:szCs w:val="20"/>
                <w:color w:val="auto"/>
              </w:rPr>
            </w:pPr>
            <w:r>
              <w:rPr>
                <w:rFonts w:ascii="Arial" w:cs="Arial" w:eastAsia="Arial" w:hAnsi="Arial"/>
                <w:sz w:val="14"/>
                <w:szCs w:val="14"/>
                <w:b w:val="1"/>
                <w:bCs w:val="1"/>
                <w:color w:val="auto"/>
                <w:w w:val="95"/>
              </w:rPr>
              <w:t>Credit Default</w:t>
            </w:r>
          </w:p>
        </w:tc>
        <w:tc>
          <w:tcPr>
            <w:tcW w:w="130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w w:val="90"/>
              </w:rPr>
              <w:t>Years to</w:t>
            </w: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w w:val="96"/>
              </w:rPr>
              <w:t>Default</w:t>
            </w:r>
          </w:p>
        </w:tc>
        <w:tc>
          <w:tcPr>
            <w:tcW w:w="180" w:type="dxa"/>
            <w:vAlign w:val="bottom"/>
          </w:tcPr>
          <w:p>
            <w:pPr>
              <w:spacing w:after="0"/>
              <w:rPr>
                <w:sz w:val="12"/>
                <w:szCs w:val="12"/>
                <w:color w:val="auto"/>
              </w:rPr>
            </w:pPr>
          </w:p>
        </w:tc>
        <w:tc>
          <w:tcPr>
            <w:tcW w:w="1300" w:type="dxa"/>
            <w:vAlign w:val="bottom"/>
          </w:tcPr>
          <w:p>
            <w:pPr>
              <w:jc w:val="center"/>
              <w:ind w:right="86"/>
              <w:spacing w:after="0" w:line="146" w:lineRule="exact"/>
              <w:rPr>
                <w:sz w:val="20"/>
                <w:szCs w:val="20"/>
                <w:color w:val="auto"/>
              </w:rPr>
            </w:pPr>
            <w:r>
              <w:rPr>
                <w:rFonts w:ascii="Arial" w:cs="Arial" w:eastAsia="Arial" w:hAnsi="Arial"/>
                <w:sz w:val="14"/>
                <w:szCs w:val="14"/>
                <w:b w:val="1"/>
                <w:bCs w:val="1"/>
                <w:color w:val="auto"/>
                <w:w w:val="93"/>
              </w:rPr>
              <w:t>Credit Default</w:t>
            </w:r>
          </w:p>
        </w:tc>
        <w:tc>
          <w:tcPr>
            <w:tcW w:w="1200" w:type="dxa"/>
            <w:vAlign w:val="bottom"/>
          </w:tcPr>
          <w:p>
            <w:pPr>
              <w:jc w:val="center"/>
              <w:ind w:left="44"/>
              <w:spacing w:after="0" w:line="146" w:lineRule="exact"/>
              <w:rPr>
                <w:sz w:val="20"/>
                <w:szCs w:val="20"/>
                <w:color w:val="auto"/>
              </w:rPr>
            </w:pPr>
            <w:r>
              <w:rPr>
                <w:rFonts w:ascii="Arial" w:cs="Arial" w:eastAsia="Arial" w:hAnsi="Arial"/>
                <w:sz w:val="14"/>
                <w:szCs w:val="14"/>
                <w:b w:val="1"/>
                <w:bCs w:val="1"/>
                <w:color w:val="auto"/>
                <w:w w:val="86"/>
              </w:rPr>
              <w:t>Years to</w:t>
            </w:r>
          </w:p>
        </w:tc>
        <w:tc>
          <w:tcPr>
            <w:tcW w:w="0" w:type="dxa"/>
            <w:vAlign w:val="bottom"/>
          </w:tcPr>
          <w:p>
            <w:pPr>
              <w:spacing w:after="0"/>
              <w:rPr>
                <w:sz w:val="1"/>
                <w:szCs w:val="1"/>
                <w:color w:val="auto"/>
              </w:rPr>
            </w:pPr>
          </w:p>
        </w:tc>
      </w:tr>
      <w:tr>
        <w:trPr>
          <w:trHeight w:val="193"/>
        </w:trPr>
        <w:tc>
          <w:tcPr>
            <w:tcW w:w="3700" w:type="dxa"/>
            <w:vAlign w:val="bottom"/>
            <w:gridSpan w:val="2"/>
          </w:tcPr>
          <w:p>
            <w:pPr>
              <w:ind w:left="20"/>
              <w:spacing w:after="0"/>
              <w:rPr>
                <w:sz w:val="20"/>
                <w:szCs w:val="20"/>
                <w:color w:val="auto"/>
              </w:rPr>
            </w:pPr>
            <w:r>
              <w:rPr>
                <w:rFonts w:ascii="Arial" w:cs="Arial" w:eastAsia="Arial" w:hAnsi="Arial"/>
                <w:sz w:val="14"/>
                <w:szCs w:val="14"/>
                <w:b w:val="1"/>
                <w:bCs w:val="1"/>
                <w:color w:val="auto"/>
              </w:rPr>
              <w:t>Obligations (1)</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Swaps</w:t>
            </w:r>
          </w:p>
        </w:tc>
        <w:tc>
          <w:tcPr>
            <w:tcW w:w="180" w:type="dxa"/>
            <w:vAlign w:val="bottom"/>
          </w:tcPr>
          <w:p>
            <w:pPr>
              <w:spacing w:after="0"/>
              <w:rPr>
                <w:sz w:val="16"/>
                <w:szCs w:val="16"/>
                <w:color w:val="auto"/>
              </w:rPr>
            </w:pPr>
          </w:p>
        </w:tc>
        <w:tc>
          <w:tcPr>
            <w:tcW w:w="1300" w:type="dxa"/>
            <w:vAlign w:val="bottom"/>
          </w:tcPr>
          <w:p>
            <w:pPr>
              <w:jc w:val="center"/>
              <w:ind w:right="86"/>
              <w:spacing w:after="0"/>
              <w:rPr>
                <w:sz w:val="20"/>
                <w:szCs w:val="20"/>
                <w:color w:val="auto"/>
              </w:rPr>
            </w:pPr>
            <w:r>
              <w:rPr>
                <w:rFonts w:ascii="Arial" w:cs="Arial" w:eastAsia="Arial" w:hAnsi="Arial"/>
                <w:sz w:val="14"/>
                <w:szCs w:val="14"/>
                <w:b w:val="1"/>
                <w:bCs w:val="1"/>
                <w:color w:val="auto"/>
                <w:w w:val="85"/>
              </w:rPr>
              <w:t>Swaps</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Maturity (2)</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Swaps</w:t>
            </w:r>
          </w:p>
        </w:tc>
        <w:tc>
          <w:tcPr>
            <w:tcW w:w="180" w:type="dxa"/>
            <w:vAlign w:val="bottom"/>
          </w:tcPr>
          <w:p>
            <w:pPr>
              <w:spacing w:after="0"/>
              <w:rPr>
                <w:sz w:val="16"/>
                <w:szCs w:val="16"/>
                <w:color w:val="auto"/>
              </w:rPr>
            </w:pPr>
          </w:p>
        </w:tc>
        <w:tc>
          <w:tcPr>
            <w:tcW w:w="1300" w:type="dxa"/>
            <w:vAlign w:val="bottom"/>
          </w:tcPr>
          <w:p>
            <w:pPr>
              <w:jc w:val="center"/>
              <w:ind w:right="86"/>
              <w:spacing w:after="0"/>
              <w:rPr>
                <w:sz w:val="20"/>
                <w:szCs w:val="20"/>
                <w:color w:val="auto"/>
              </w:rPr>
            </w:pPr>
            <w:r>
              <w:rPr>
                <w:rFonts w:ascii="Arial" w:cs="Arial" w:eastAsia="Arial" w:hAnsi="Arial"/>
                <w:sz w:val="14"/>
                <w:szCs w:val="14"/>
                <w:b w:val="1"/>
                <w:bCs w:val="1"/>
                <w:color w:val="auto"/>
                <w:w w:val="85"/>
              </w:rPr>
              <w:t>Swaps</w:t>
            </w:r>
          </w:p>
        </w:tc>
        <w:tc>
          <w:tcPr>
            <w:tcW w:w="1200" w:type="dxa"/>
            <w:vAlign w:val="bottom"/>
          </w:tcPr>
          <w:p>
            <w:pPr>
              <w:jc w:val="center"/>
              <w:ind w:left="44"/>
              <w:spacing w:after="0"/>
              <w:rPr>
                <w:sz w:val="20"/>
                <w:szCs w:val="20"/>
                <w:color w:val="auto"/>
              </w:rPr>
            </w:pPr>
            <w:r>
              <w:rPr>
                <w:rFonts w:ascii="Arial" w:cs="Arial" w:eastAsia="Arial" w:hAnsi="Arial"/>
                <w:sz w:val="14"/>
                <w:szCs w:val="14"/>
                <w:b w:val="1"/>
                <w:bCs w:val="1"/>
                <w:color w:val="auto"/>
              </w:rPr>
              <w:t>Maturity (2)</w:t>
            </w:r>
          </w:p>
        </w:tc>
        <w:tc>
          <w:tcPr>
            <w:tcW w:w="0" w:type="dxa"/>
            <w:vAlign w:val="bottom"/>
          </w:tcPr>
          <w:p>
            <w:pPr>
              <w:spacing w:after="0"/>
              <w:rPr>
                <w:sz w:val="1"/>
                <w:szCs w:val="1"/>
                <w:color w:val="auto"/>
              </w:rPr>
            </w:pPr>
          </w:p>
        </w:tc>
      </w:tr>
      <w:tr>
        <w:trPr>
          <w:trHeight w:val="190"/>
        </w:trPr>
        <w:tc>
          <w:tcPr>
            <w:tcW w:w="3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340" w:type="dxa"/>
            <w:vAlign w:val="bottom"/>
            <w:tcBorders>
              <w:top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Aaa/Aa/A</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9"/>
        </w:trPr>
        <w:tc>
          <w:tcPr>
            <w:tcW w:w="3700" w:type="dxa"/>
            <w:vAlign w:val="bottom"/>
            <w:gridSpan w:val="2"/>
          </w:tcPr>
          <w:p>
            <w:pPr>
              <w:ind w:left="20"/>
              <w:spacing w:after="0"/>
              <w:rPr>
                <w:sz w:val="20"/>
                <w:szCs w:val="20"/>
                <w:color w:val="auto"/>
              </w:rPr>
            </w:pPr>
            <w:r>
              <w:rPr>
                <w:rFonts w:ascii="Arial" w:cs="Arial" w:eastAsia="Arial" w:hAnsi="Arial"/>
                <w:sz w:val="16"/>
                <w:szCs w:val="16"/>
                <w:color w:val="auto"/>
              </w:rPr>
              <w:t>Baa</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1,188</w:t>
            </w:r>
          </w:p>
        </w:tc>
        <w:tc>
          <w:tcPr>
            <w:tcW w:w="120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1,185</w:t>
            </w:r>
          </w:p>
        </w:tc>
        <w:tc>
          <w:tcPr>
            <w:tcW w:w="120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5"/>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0"/>
        </w:trPr>
        <w:tc>
          <w:tcPr>
            <w:tcW w:w="37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Caa and Lower</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3"/>
        </w:trPr>
        <w:tc>
          <w:tcPr>
            <w:tcW w:w="3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jc w:val="both"/>
        <w:ind w:left="320" w:hanging="314"/>
        <w:spacing w:after="0" w:line="255" w:lineRule="auto"/>
        <w:tabs>
          <w:tab w:leader="none" w:pos="3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has written credit protection on both single name and index references. The rating agency designations are based on availability and the midpoint of the applicable ratings among Moody’s, S&amp;P and Fitch. If no rating is available from a rating agency, then an internally developed rating is used.</w:t>
      </w:r>
    </w:p>
    <w:p>
      <w:pPr>
        <w:spacing w:after="0" w:line="82" w:lineRule="exact"/>
        <w:rPr>
          <w:rFonts w:ascii="Arial" w:cs="Arial" w:eastAsia="Arial" w:hAnsi="Arial"/>
          <w:sz w:val="18"/>
          <w:szCs w:val="18"/>
          <w:color w:val="auto"/>
        </w:rPr>
      </w:pPr>
    </w:p>
    <w:p>
      <w:pPr>
        <w:ind w:left="320" w:hanging="314"/>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weighted average years to maturity of the credit default swaps is calculated based on weighted average gross notional amounts.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Company may be exposed to credit-related losses in the event of counterparty nonperformance on derivative instruments. Generally, the credit exposure is the fair value at the reporting date less any collateral received from the counterparty.</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manages its credit risk by: (i) entering into derivative transactions with creditworthy counterparties governed by master netting agreements;</w:t>
      </w:r>
    </w:p>
    <w:p>
      <w:pPr>
        <w:spacing w:after="0" w:line="51" w:lineRule="exact"/>
        <w:rPr>
          <w:sz w:val="20"/>
          <w:szCs w:val="20"/>
          <w:color w:val="auto"/>
        </w:rPr>
      </w:pPr>
    </w:p>
    <w:p>
      <w:pPr>
        <w:ind w:firstLine="6"/>
        <w:spacing w:after="0" w:line="251" w:lineRule="auto"/>
        <w:tabs>
          <w:tab w:leader="none" w:pos="2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trading through regulated exchanges and central clearing counterparties; (iii) obtaining collateral, such as cash and securities, when appropriate; and (iv) setting limits on single party credit exposures which are subject to periodic management review.</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8 for a description of the impact of credit risk on the valuation of derivatives.</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estimated fair values of net derivative assets and net derivative liabilities after the application of master netting agreements and collateral were as follows at:</w:t>
      </w:r>
    </w:p>
    <w:p>
      <w:pPr>
        <w:spacing w:after="0" w:line="210" w:lineRule="exact"/>
        <w:rPr>
          <w:sz w:val="20"/>
          <w:szCs w:val="20"/>
          <w:color w:val="auto"/>
        </w:rPr>
      </w:pPr>
    </w:p>
    <w:p>
      <w:pPr>
        <w:jc w:val="center"/>
        <w:ind w:right="940"/>
        <w:spacing w:after="0"/>
        <w:rPr>
          <w:sz w:val="20"/>
          <w:szCs w:val="20"/>
          <w:color w:val="auto"/>
        </w:rPr>
      </w:pPr>
      <w:r>
        <w:rPr>
          <w:rFonts w:ascii="Arial" w:cs="Arial" w:eastAsia="Arial" w:hAnsi="Arial"/>
          <w:sz w:val="14"/>
          <w:szCs w:val="14"/>
          <w:b w:val="1"/>
          <w:bCs w:val="1"/>
          <w:color w:val="auto"/>
        </w:rPr>
        <w:t>Gross Amounts Not Offset on the Consolidated</w:t>
      </w:r>
    </w:p>
    <w:p>
      <w:pPr>
        <w:spacing w:after="0" w:line="1" w:lineRule="exact"/>
        <w:rPr>
          <w:sz w:val="20"/>
          <w:szCs w:val="20"/>
          <w:color w:val="auto"/>
        </w:rPr>
      </w:pPr>
    </w:p>
    <w:p>
      <w:pPr>
        <w:jc w:val="center"/>
        <w:ind w:right="940"/>
        <w:spacing w:after="0"/>
        <w:rPr>
          <w:sz w:val="20"/>
          <w:szCs w:val="20"/>
          <w:color w:val="auto"/>
        </w:rPr>
      </w:pPr>
      <w:r>
        <w:rPr>
          <w:rFonts w:ascii="Arial" w:cs="Arial" w:eastAsia="Arial" w:hAnsi="Arial"/>
          <w:sz w:val="14"/>
          <w:szCs w:val="14"/>
          <w:b w:val="1"/>
          <w:bCs w:val="1"/>
          <w:color w:val="auto"/>
        </w:rPr>
        <w:t>Balance Sheets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jc w:val="right"/>
              <w:ind w:right="303"/>
              <w:spacing w:after="0" w:line="141" w:lineRule="exact"/>
              <w:rPr>
                <w:sz w:val="20"/>
                <w:szCs w:val="20"/>
                <w:color w:val="auto"/>
              </w:rPr>
            </w:pPr>
            <w:r>
              <w:rPr>
                <w:rFonts w:ascii="Arial" w:cs="Arial" w:eastAsia="Arial" w:hAnsi="Arial"/>
                <w:sz w:val="14"/>
                <w:szCs w:val="14"/>
                <w:b w:val="1"/>
                <w:bCs w:val="1"/>
                <w:color w:val="auto"/>
                <w:w w:val="96"/>
              </w:rPr>
              <w:t>Gross Amount</w:t>
            </w:r>
          </w:p>
        </w:tc>
        <w:tc>
          <w:tcPr>
            <w:tcW w:w="1500" w:type="dxa"/>
            <w:vAlign w:val="bottom"/>
            <w:tcBorders>
              <w:top w:val="single" w:sz="8" w:color="auto"/>
            </w:tcBorders>
            <w:gridSpan w:val="2"/>
          </w:tcPr>
          <w:p>
            <w:pPr>
              <w:jc w:val="right"/>
              <w:ind w:right="22"/>
              <w:spacing w:after="0" w:line="141" w:lineRule="exact"/>
              <w:rPr>
                <w:sz w:val="20"/>
                <w:szCs w:val="20"/>
                <w:color w:val="auto"/>
              </w:rPr>
            </w:pPr>
            <w:r>
              <w:rPr>
                <w:rFonts w:ascii="Arial" w:cs="Arial" w:eastAsia="Arial" w:hAnsi="Arial"/>
                <w:sz w:val="14"/>
                <w:szCs w:val="14"/>
                <w:b w:val="1"/>
                <w:bCs w:val="1"/>
                <w:color w:val="auto"/>
                <w:w w:val="95"/>
              </w:rPr>
              <w:t>Financial Instruments</w:t>
            </w:r>
          </w:p>
        </w:tc>
        <w:tc>
          <w:tcPr>
            <w:tcW w:w="3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ind w:right="343"/>
              <w:spacing w:after="0" w:line="141" w:lineRule="exact"/>
              <w:rPr>
                <w:sz w:val="20"/>
                <w:szCs w:val="20"/>
                <w:color w:val="auto"/>
              </w:rPr>
            </w:pPr>
            <w:r>
              <w:rPr>
                <w:rFonts w:ascii="Arial" w:cs="Arial" w:eastAsia="Arial" w:hAnsi="Arial"/>
                <w:sz w:val="14"/>
                <w:szCs w:val="14"/>
                <w:b w:val="1"/>
                <w:bCs w:val="1"/>
                <w:color w:val="auto"/>
              </w:rPr>
              <w:t>Collateral</w:t>
            </w:r>
          </w:p>
        </w:tc>
        <w:tc>
          <w:tcPr>
            <w:tcW w:w="420" w:type="dxa"/>
            <w:vAlign w:val="bottom"/>
          </w:tcPr>
          <w:p>
            <w:pPr>
              <w:spacing w:after="0"/>
              <w:rPr>
                <w:sz w:val="12"/>
                <w:szCs w:val="12"/>
                <w:color w:val="auto"/>
              </w:rPr>
            </w:pPr>
          </w:p>
        </w:tc>
        <w:tc>
          <w:tcPr>
            <w:tcW w:w="114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w w:val="93"/>
              </w:rPr>
              <w:t>Net Amount</w:t>
            </w:r>
          </w:p>
        </w:tc>
        <w:tc>
          <w:tcPr>
            <w:tcW w:w="180" w:type="dxa"/>
            <w:vAlign w:val="bottom"/>
          </w:tcPr>
          <w:p>
            <w:pPr>
              <w:spacing w:after="0"/>
              <w:rPr>
                <w:sz w:val="12"/>
                <w:szCs w:val="12"/>
                <w:color w:val="auto"/>
              </w:rPr>
            </w:pPr>
          </w:p>
        </w:tc>
        <w:tc>
          <w:tcPr>
            <w:tcW w:w="1360" w:type="dxa"/>
            <w:vAlign w:val="bottom"/>
          </w:tcPr>
          <w:p>
            <w:pPr>
              <w:jc w:val="right"/>
              <w:ind w:right="62"/>
              <w:spacing w:after="0" w:line="141" w:lineRule="exact"/>
              <w:rPr>
                <w:sz w:val="20"/>
                <w:szCs w:val="20"/>
                <w:color w:val="auto"/>
              </w:rPr>
            </w:pPr>
            <w:r>
              <w:rPr>
                <w:rFonts w:ascii="Arial" w:cs="Arial" w:eastAsia="Arial" w:hAnsi="Arial"/>
                <w:sz w:val="14"/>
                <w:szCs w:val="14"/>
                <w:b w:val="1"/>
                <w:bCs w:val="1"/>
                <w:color w:val="auto"/>
                <w:w w:val="89"/>
              </w:rPr>
              <w:t>Securities Collateral</w:t>
            </w:r>
          </w:p>
        </w:tc>
        <w:tc>
          <w:tcPr>
            <w:tcW w:w="160" w:type="dxa"/>
            <w:vAlign w:val="bottom"/>
          </w:tcPr>
          <w:p>
            <w:pPr>
              <w:spacing w:after="0"/>
              <w:rPr>
                <w:sz w:val="12"/>
                <w:szCs w:val="12"/>
                <w:color w:val="auto"/>
              </w:rPr>
            </w:pPr>
          </w:p>
        </w:tc>
        <w:tc>
          <w:tcPr>
            <w:tcW w:w="1340" w:type="dxa"/>
            <w:vAlign w:val="bottom"/>
          </w:tcPr>
          <w:p>
            <w:pPr>
              <w:jc w:val="right"/>
              <w:ind w:right="103"/>
              <w:spacing w:after="0" w:line="141" w:lineRule="exact"/>
              <w:rPr>
                <w:sz w:val="20"/>
                <w:szCs w:val="20"/>
                <w:color w:val="auto"/>
              </w:rPr>
            </w:pPr>
            <w:r>
              <w:rPr>
                <w:rFonts w:ascii="Arial" w:cs="Arial" w:eastAsia="Arial" w:hAnsi="Arial"/>
                <w:sz w:val="14"/>
                <w:szCs w:val="14"/>
                <w:b w:val="1"/>
                <w:bCs w:val="1"/>
                <w:color w:val="auto"/>
                <w:w w:val="98"/>
              </w:rPr>
              <w:t>Net Amount After</w:t>
            </w: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Recognized</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(1)</w:t>
            </w:r>
          </w:p>
        </w:tc>
        <w:tc>
          <w:tcPr>
            <w:tcW w:w="148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4"/>
                <w:szCs w:val="14"/>
                <w:b w:val="1"/>
                <w:bCs w:val="1"/>
                <w:color w:val="auto"/>
                <w:w w:val="97"/>
              </w:rPr>
              <w:t>Received/Pledged (2)</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4"/>
                <w:szCs w:val="14"/>
                <w:b w:val="1"/>
                <w:bCs w:val="1"/>
                <w:color w:val="auto"/>
                <w:w w:val="99"/>
              </w:rPr>
              <w:t>Received/Pledged (3)</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w w:val="90"/>
              </w:rPr>
              <w:t>Securities Collateral</w:t>
            </w:r>
          </w:p>
        </w:tc>
        <w:tc>
          <w:tcPr>
            <w:tcW w:w="0" w:type="dxa"/>
            <w:vAlign w:val="bottom"/>
          </w:tcPr>
          <w:p>
            <w:pPr>
              <w:spacing w:after="0"/>
              <w:rPr>
                <w:sz w:val="1"/>
                <w:szCs w:val="1"/>
                <w:color w:val="auto"/>
              </w:rPr>
            </w:pPr>
          </w:p>
        </w:tc>
      </w:tr>
      <w:tr>
        <w:trPr>
          <w:trHeight w:val="190"/>
        </w:trPr>
        <w:tc>
          <w:tcPr>
            <w:tcW w:w="2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2023</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120" w:type="dxa"/>
            <w:vAlign w:val="bottom"/>
          </w:tcPr>
          <w:p>
            <w:pPr>
              <w:ind w:left="20"/>
              <w:spacing w:after="0"/>
              <w:rPr>
                <w:sz w:val="20"/>
                <w:szCs w:val="20"/>
                <w:color w:val="auto"/>
              </w:rPr>
            </w:pPr>
            <w:r>
              <w:rPr>
                <w:rFonts w:ascii="Arial" w:cs="Arial" w:eastAsia="Arial" w:hAnsi="Arial"/>
                <w:sz w:val="16"/>
                <w:szCs w:val="16"/>
                <w:color w:val="auto"/>
              </w:rPr>
              <w:t>Derivative assets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3"/>
              <w:spacing w:after="0"/>
              <w:rPr>
                <w:sz w:val="20"/>
                <w:szCs w:val="20"/>
                <w:color w:val="auto"/>
              </w:rPr>
            </w:pPr>
            <w:r>
              <w:rPr>
                <w:rFonts w:ascii="Arial" w:cs="Arial" w:eastAsia="Arial" w:hAnsi="Arial"/>
                <w:sz w:val="16"/>
                <w:szCs w:val="16"/>
                <w:color w:val="auto"/>
              </w:rPr>
              <w:t>2,597</w:t>
            </w: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(1,997)</w:t>
            </w:r>
          </w:p>
        </w:tc>
        <w:tc>
          <w:tcPr>
            <w:tcW w:w="3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(527)</w:t>
            </w:r>
          </w:p>
        </w:tc>
        <w:tc>
          <w:tcPr>
            <w:tcW w:w="4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73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(43)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5"/>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liabilities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3,183</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(1,997)</w:t>
            </w:r>
          </w:p>
        </w:tc>
        <w:tc>
          <w:tcPr>
            <w:tcW w:w="3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1,186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(1,186)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120" w:type="dxa"/>
            <w:vAlign w:val="bottom"/>
          </w:tcPr>
          <w:p>
            <w:pPr>
              <w:ind w:left="20"/>
              <w:spacing w:after="0"/>
              <w:rPr>
                <w:sz w:val="20"/>
                <w:szCs w:val="20"/>
                <w:color w:val="auto"/>
              </w:rPr>
            </w:pPr>
            <w:r>
              <w:rPr>
                <w:rFonts w:ascii="Arial" w:cs="Arial" w:eastAsia="Arial" w:hAnsi="Arial"/>
                <w:sz w:val="16"/>
                <w:szCs w:val="16"/>
                <w:b w:val="1"/>
                <w:bCs w:val="1"/>
                <w:color w:val="auto"/>
              </w:rPr>
              <w:t>December 31, 2022</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assets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2,308</w:t>
            </w:r>
          </w:p>
        </w:tc>
        <w:tc>
          <w:tcPr>
            <w:tcW w:w="3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(1,659)</w:t>
            </w:r>
          </w:p>
        </w:tc>
        <w:tc>
          <w:tcPr>
            <w:tcW w:w="3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4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7"/>
        </w:trPr>
        <w:tc>
          <w:tcPr>
            <w:tcW w:w="2120" w:type="dxa"/>
            <w:vAlign w:val="bottom"/>
          </w:tcPr>
          <w:p>
            <w:pPr>
              <w:ind w:left="20"/>
              <w:spacing w:after="0"/>
              <w:rPr>
                <w:sz w:val="20"/>
                <w:szCs w:val="20"/>
                <w:color w:val="auto"/>
              </w:rPr>
            </w:pPr>
            <w:r>
              <w:rPr>
                <w:rFonts w:ascii="Arial" w:cs="Arial" w:eastAsia="Arial" w:hAnsi="Arial"/>
                <w:sz w:val="16"/>
                <w:szCs w:val="16"/>
                <w:color w:val="auto"/>
              </w:rPr>
              <w:t>Derivative liabilities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83"/>
              <w:spacing w:after="0"/>
              <w:rPr>
                <w:sz w:val="20"/>
                <w:szCs w:val="20"/>
                <w:color w:val="auto"/>
              </w:rPr>
            </w:pPr>
            <w:r>
              <w:rPr>
                <w:rFonts w:ascii="Arial" w:cs="Arial" w:eastAsia="Arial" w:hAnsi="Arial"/>
                <w:sz w:val="16"/>
                <w:szCs w:val="16"/>
                <w:color w:val="auto"/>
              </w:rPr>
              <w:t>3,919</w:t>
            </w:r>
          </w:p>
        </w:tc>
        <w:tc>
          <w:tcPr>
            <w:tcW w:w="380" w:type="dxa"/>
            <w:vAlign w:val="bottom"/>
          </w:tcPr>
          <w:p>
            <w:pPr>
              <w:jc w:val="right"/>
              <w:ind w:right="202"/>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(1,659)</w:t>
            </w:r>
          </w:p>
        </w:tc>
        <w:tc>
          <w:tcPr>
            <w:tcW w:w="3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4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2,253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(2,251)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23" w:lineRule="exact"/>
        <w:rPr>
          <w:sz w:val="20"/>
          <w:szCs w:val="20"/>
          <w:color w:val="auto"/>
        </w:rPr>
      </w:pPr>
    </w:p>
    <w:p>
      <w:pPr>
        <w:ind w:left="320" w:hanging="314"/>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amounts subject to an enforceable master netting agreement or similar agreement.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(continued)</w:t>
      </w:r>
    </w:p>
    <w:p>
      <w:pPr>
        <w:spacing w:after="0" w:line="200" w:lineRule="exact"/>
        <w:rPr>
          <w:sz w:val="20"/>
          <w:szCs w:val="20"/>
          <w:color w:val="auto"/>
        </w:rPr>
      </w:pPr>
    </w:p>
    <w:p>
      <w:pPr>
        <w:spacing w:after="0" w:line="368" w:lineRule="exact"/>
        <w:rPr>
          <w:sz w:val="20"/>
          <w:szCs w:val="20"/>
          <w:color w:val="auto"/>
        </w:rPr>
      </w:pPr>
    </w:p>
    <w:p>
      <w:pPr>
        <w:ind w:left="320" w:hanging="314"/>
        <w:spacing w:after="0"/>
        <w:tabs>
          <w:tab w:leader="none" w:pos="3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amount of cash collateral offset in the table above is limited to the net estimated fair value of derivatives after application of netting agreement.</w:t>
      </w:r>
    </w:p>
    <w:p>
      <w:pPr>
        <w:spacing w:after="0" w:line="145" w:lineRule="exact"/>
        <w:rPr>
          <w:rFonts w:ascii="Arial" w:cs="Arial" w:eastAsia="Arial" w:hAnsi="Arial"/>
          <w:sz w:val="15"/>
          <w:szCs w:val="15"/>
          <w:color w:val="auto"/>
        </w:rPr>
      </w:pPr>
    </w:p>
    <w:p>
      <w:pPr>
        <w:ind w:left="320" w:hanging="314"/>
        <w:spacing w:after="0" w:line="264" w:lineRule="auto"/>
        <w:tabs>
          <w:tab w:leader="none" w:pos="314"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Securities collateral received from counterparties is not reported on the consolidated balance sheets and may not be sold or re-pledged unless the counterparty is in default. Amounts do not include excess of collateral pledged or received.</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Company’s collateral arrangements generally require the counterparty in a net liability position, after considering the effect of netting agreements, to pledge collateral when the amount owed by that counterparty reaches a minimum transfer amount. Certain of these arrangements also include credit-contingent provisions which permit the party with positive fair value to terminate the derivative at the current fair value or demand immediate full collateralization from the party in a net liability position, in the event that the financial strength or credit rating of the party in a net liability position falls below a certain level.</w:t>
      </w:r>
    </w:p>
    <w:p>
      <w:pPr>
        <w:spacing w:after="0" w:line="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aggregate estimated fair values of derivatives in a net liability position containing such credit-contingent provisions and the aggregate estimated fair value of assets posted as collateral for such instruments were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305"/>
              <w:spacing w:after="0"/>
              <w:rPr>
                <w:sz w:val="20"/>
                <w:szCs w:val="20"/>
                <w:color w:val="auto"/>
              </w:rPr>
            </w:pPr>
            <w:r>
              <w:rPr>
                <w:rFonts w:ascii="Arial" w:cs="Arial" w:eastAsia="Arial" w:hAnsi="Arial"/>
                <w:sz w:val="14"/>
                <w:szCs w:val="14"/>
                <w:b w:val="1"/>
                <w:bCs w:val="1"/>
                <w:color w:val="auto"/>
              </w:rPr>
              <w:t>March 31, 2023</w:t>
            </w:r>
          </w:p>
        </w:tc>
        <w:tc>
          <w:tcPr>
            <w:tcW w:w="260" w:type="dxa"/>
            <w:vAlign w:val="bottom"/>
          </w:tcPr>
          <w:p>
            <w:pPr>
              <w:spacing w:after="0"/>
              <w:rPr>
                <w:sz w:val="15"/>
                <w:szCs w:val="15"/>
                <w:color w:val="auto"/>
              </w:rPr>
            </w:pPr>
          </w:p>
        </w:tc>
        <w:tc>
          <w:tcPr>
            <w:tcW w:w="1480" w:type="dxa"/>
            <w:vAlign w:val="bottom"/>
          </w:tcPr>
          <w:p>
            <w:pPr>
              <w:jc w:val="right"/>
              <w:ind w:right="183"/>
              <w:spacing w:after="0"/>
              <w:rPr>
                <w:sz w:val="20"/>
                <w:szCs w:val="20"/>
                <w:color w:val="auto"/>
              </w:rPr>
            </w:pPr>
            <w:r>
              <w:rPr>
                <w:rFonts w:ascii="Arial" w:cs="Arial" w:eastAsia="Arial" w:hAnsi="Arial"/>
                <w:sz w:val="14"/>
                <w:szCs w:val="14"/>
                <w:b w:val="1"/>
                <w:bCs w:val="1"/>
                <w:color w:val="auto"/>
                <w:w w:val="95"/>
              </w:rPr>
              <w:t>December 31, 2022</w:t>
            </w:r>
          </w:p>
        </w:tc>
      </w:tr>
      <w:tr>
        <w:trPr>
          <w:trHeight w:val="24"/>
        </w:trPr>
        <w:tc>
          <w:tcPr>
            <w:tcW w:w="7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3"/>
          </w:tcPr>
          <w:p>
            <w:pPr>
              <w:spacing w:after="0"/>
              <w:rPr>
                <w:sz w:val="2"/>
                <w:szCs w:val="2"/>
                <w:color w:val="auto"/>
              </w:rPr>
            </w:pPr>
          </w:p>
        </w:tc>
      </w:tr>
      <w:tr>
        <w:trPr>
          <w:trHeight w:val="185"/>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gridSpan w:val="3"/>
          </w:tcPr>
          <w:p>
            <w:pPr>
              <w:jc w:val="right"/>
              <w:ind w:right="1263"/>
              <w:spacing w:after="0"/>
              <w:rPr>
                <w:sz w:val="20"/>
                <w:szCs w:val="20"/>
                <w:color w:val="auto"/>
              </w:rPr>
            </w:pPr>
            <w:r>
              <w:rPr>
                <w:rFonts w:ascii="Arial" w:cs="Arial" w:eastAsia="Arial" w:hAnsi="Arial"/>
                <w:sz w:val="14"/>
                <w:szCs w:val="14"/>
                <w:b w:val="1"/>
                <w:bCs w:val="1"/>
                <w:color w:val="auto"/>
              </w:rPr>
              <w:t>(In millions)</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fair value of derivatives in a net liability position (1)</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1,186</w:t>
            </w:r>
          </w:p>
        </w:tc>
        <w:tc>
          <w:tcPr>
            <w:tcW w:w="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2,260</w:t>
            </w:r>
          </w:p>
        </w:tc>
      </w:tr>
      <w:tr>
        <w:trPr>
          <w:trHeight w:val="209"/>
        </w:trPr>
        <w:tc>
          <w:tcPr>
            <w:tcW w:w="7820" w:type="dxa"/>
            <w:vAlign w:val="bottom"/>
          </w:tcPr>
          <w:p>
            <w:pPr>
              <w:ind w:left="20"/>
              <w:spacing w:after="0"/>
              <w:rPr>
                <w:sz w:val="20"/>
                <w:szCs w:val="20"/>
                <w:color w:val="auto"/>
              </w:rPr>
            </w:pPr>
            <w:r>
              <w:rPr>
                <w:rFonts w:ascii="Arial" w:cs="Arial" w:eastAsia="Arial" w:hAnsi="Arial"/>
                <w:sz w:val="16"/>
                <w:szCs w:val="16"/>
                <w:color w:val="auto"/>
              </w:rPr>
              <w:t>Estimated fair value of collateral provided (2):</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maturity securities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4,057</w:t>
            </w:r>
          </w:p>
        </w:tc>
        <w:tc>
          <w:tcPr>
            <w:tcW w:w="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4,894</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After taking into consideration the existence of netting agreements.</w:t>
      </w:r>
    </w:p>
    <w:p>
      <w:pPr>
        <w:spacing w:after="0" w:line="111" w:lineRule="exact"/>
        <w:rPr>
          <w:rFonts w:ascii="Arial" w:cs="Arial" w:eastAsia="Arial" w:hAnsi="Arial"/>
          <w:sz w:val="18"/>
          <w:szCs w:val="18"/>
          <w:color w:val="auto"/>
        </w:rPr>
      </w:pPr>
    </w:p>
    <w:p>
      <w:pPr>
        <w:jc w:val="both"/>
        <w:ind w:left="320" w:hanging="314"/>
        <w:spacing w:after="0" w:line="318" w:lineRule="auto"/>
        <w:tabs>
          <w:tab w:leader="none" w:pos="314" w:val="left"/>
        </w:tabs>
        <w:numPr>
          <w:ilvl w:val="0"/>
          <w:numId w:val="23"/>
        </w:numPr>
        <w:rPr>
          <w:rFonts w:ascii="Arial" w:cs="Arial" w:eastAsia="Arial" w:hAnsi="Arial"/>
          <w:sz w:val="15"/>
          <w:szCs w:val="15"/>
          <w:color w:val="auto"/>
        </w:rPr>
      </w:pPr>
      <w:r>
        <w:rPr>
          <w:rFonts w:ascii="Arial" w:cs="Arial" w:eastAsia="Arial" w:hAnsi="Arial"/>
          <w:sz w:val="15"/>
          <w:szCs w:val="15"/>
          <w:color w:val="auto"/>
        </w:rPr>
        <w:t>Substantially all of the Company’s collateral arrangements provide for daily posting of collateral for the full value of the derivative contract. As a result, if the credit-contingent provisions of derivative contracts in a net liability position were triggered, minimal additional assets would be required to be posted as collateral or needed to settle the instruments immediately. Additionally, the Company is required to pledge initial margin for certain new over-the-counter (“OTC”) bilateral contracts between two counterparties (“OTC-bilateral”) derivative transactions to third-party custodians.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Considerable judgment is often required in interpreting market data to develop estimates of fair value, and the use of different assumptions or valuation methodologies may have a material effect on the estimated fair value amounts.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assets and liabilities measured at estimated fair value on a recurring basis and their corresponding placement in the fair value hierarchy are presented in the tables below. Investments that do not have a readily determinable fair value and are measured at net asset value (or equivalent) as a practical expedient to estimated fair value are excluded from the fair value hierarchy.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0" w:type="dxa"/>
            <w:vAlign w:val="bottom"/>
            <w:gridSpan w:val="5"/>
          </w:tcPr>
          <w:p>
            <w:pPr>
              <w:ind w:left="720"/>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
        </w:trPr>
        <w:tc>
          <w:tcPr>
            <w:tcW w:w="55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5"/>
        </w:trPr>
        <w:tc>
          <w:tcPr>
            <w:tcW w:w="55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Fair Value Hierarchy</w:t>
            </w: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161"/>
              <w:spacing w:after="0"/>
              <w:rPr>
                <w:sz w:val="20"/>
                <w:szCs w:val="20"/>
                <w:color w:val="auto"/>
              </w:rPr>
            </w:pPr>
            <w:r>
              <w:rPr>
                <w:rFonts w:ascii="Arial" w:cs="Arial" w:eastAsia="Arial" w:hAnsi="Arial"/>
                <w:sz w:val="14"/>
                <w:szCs w:val="14"/>
                <w:b w:val="1"/>
                <w:bCs w:val="1"/>
                <w:color w:val="auto"/>
                <w:w w:val="97"/>
              </w:rPr>
              <w:t>Total Estimated</w:t>
            </w:r>
          </w:p>
        </w:tc>
      </w:tr>
      <w:tr>
        <w:trPr>
          <w:trHeight w:val="193"/>
        </w:trPr>
        <w:tc>
          <w:tcPr>
            <w:tcW w:w="55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Fair Value</w:t>
            </w:r>
          </w:p>
        </w:tc>
      </w:tr>
      <w:tr>
        <w:trPr>
          <w:trHeight w:val="190"/>
        </w:trPr>
        <w:tc>
          <w:tcPr>
            <w:tcW w:w="5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Fixed maturity securities:</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corporate</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32,283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33,612</w:t>
            </w:r>
          </w:p>
        </w:tc>
      </w:tr>
      <w:tr>
        <w:trPr>
          <w:trHeight w:val="209"/>
        </w:trPr>
        <w:tc>
          <w:tcPr>
            <w:tcW w:w="5500" w:type="dxa"/>
            <w:vAlign w:val="bottom"/>
          </w:tcPr>
          <w:p>
            <w:pPr>
              <w:ind w:left="20"/>
              <w:spacing w:after="0"/>
              <w:rPr>
                <w:sz w:val="20"/>
                <w:szCs w:val="20"/>
                <w:color w:val="auto"/>
              </w:rPr>
            </w:pPr>
            <w:r>
              <w:rPr>
                <w:rFonts w:ascii="Arial" w:cs="Arial" w:eastAsia="Arial" w:hAnsi="Arial"/>
                <w:sz w:val="16"/>
                <w:szCs w:val="16"/>
                <w:color w:val="auto"/>
              </w:rPr>
              <w:t>Foreign corporate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10,276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10,883</w:t>
            </w: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and agency</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3,613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4,674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8,287</w:t>
            </w:r>
          </w:p>
        </w:tc>
      </w:tr>
      <w:tr>
        <w:trPr>
          <w:trHeight w:val="209"/>
        </w:trPr>
        <w:tc>
          <w:tcPr>
            <w:tcW w:w="5500" w:type="dxa"/>
            <w:vAlign w:val="bottom"/>
          </w:tcPr>
          <w:p>
            <w:pPr>
              <w:ind w:left="20"/>
              <w:spacing w:after="0"/>
              <w:rPr>
                <w:sz w:val="20"/>
                <w:szCs w:val="20"/>
                <w:color w:val="auto"/>
              </w:rPr>
            </w:pPr>
            <w:r>
              <w:rPr>
                <w:rFonts w:ascii="Arial" w:cs="Arial" w:eastAsia="Arial" w:hAnsi="Arial"/>
                <w:sz w:val="16"/>
                <w:szCs w:val="16"/>
                <w:color w:val="auto"/>
              </w:rPr>
              <w:t>RMBS</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7,576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7,590</w:t>
            </w: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CMBS</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6,641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6,674</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ABS</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5,293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5,596</w:t>
            </w: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political subdivision</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3,949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3,949</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Foreign government</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1,055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1,094</w:t>
            </w:r>
          </w:p>
        </w:tc>
      </w:tr>
      <w:tr>
        <w:trPr>
          <w:trHeight w:val="208"/>
        </w:trPr>
        <w:tc>
          <w:tcPr>
            <w:tcW w:w="55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fixed maturity securities</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3,613</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71,747</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77,685</w:t>
            </w:r>
          </w:p>
        </w:tc>
      </w:tr>
      <w:tr>
        <w:trPr>
          <w:trHeight w:val="203"/>
        </w:trPr>
        <w:tc>
          <w:tcPr>
            <w:tcW w:w="550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8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investments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Derivative assets: (1)</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r>
      <w:tr>
        <w:trPr>
          <w:trHeight w:val="209"/>
        </w:trPr>
        <w:tc>
          <w:tcPr>
            <w:tcW w:w="5500" w:type="dxa"/>
            <w:vAlign w:val="bottom"/>
          </w:tcPr>
          <w:p>
            <w:pPr>
              <w:ind w:left="20"/>
              <w:spacing w:after="0"/>
              <w:rPr>
                <w:sz w:val="20"/>
                <w:szCs w:val="20"/>
                <w:color w:val="auto"/>
              </w:rPr>
            </w:pPr>
            <w:r>
              <w:rPr>
                <w:rFonts w:ascii="Arial" w:cs="Arial" w:eastAsia="Arial" w:hAnsi="Arial"/>
                <w:sz w:val="16"/>
                <w:szCs w:val="16"/>
                <w:color w:val="auto"/>
              </w:rPr>
              <w:t>Foreign currency exchange 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667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693</w:t>
            </w: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market</w:t>
            </w: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1,519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1,519</w:t>
            </w:r>
          </w:p>
        </w:tc>
      </w:tr>
      <w:tr>
        <w:trPr>
          <w:trHeight w:val="208"/>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derivative assets</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2,608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2,642</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Market risk benefit assets</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510</w:t>
            </w:r>
          </w:p>
        </w:tc>
      </w:tr>
      <w:tr>
        <w:trPr>
          <w:trHeight w:val="212"/>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Separate account assets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87,420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87,440</w:t>
            </w:r>
          </w:p>
        </w:tc>
      </w:tr>
      <w:tr>
        <w:trPr>
          <w:trHeight w:val="208"/>
        </w:trPr>
        <w:tc>
          <w:tcPr>
            <w:tcW w:w="550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4"/>
              </w:rPr>
              <w:t>4,585</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162,275</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2,894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169,754</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8"/>
        </w:trPr>
        <w:tc>
          <w:tcPr>
            <w:tcW w:w="55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Liabilities</w:t>
            </w:r>
          </w:p>
        </w:tc>
        <w:tc>
          <w:tcPr>
            <w:tcW w:w="8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09"/>
        </w:trPr>
        <w:tc>
          <w:tcPr>
            <w:tcW w:w="5500" w:type="dxa"/>
            <w:vAlign w:val="bottom"/>
          </w:tcPr>
          <w:p>
            <w:pPr>
              <w:ind w:left="20"/>
              <w:spacing w:after="0"/>
              <w:rPr>
                <w:sz w:val="20"/>
                <w:szCs w:val="20"/>
                <w:color w:val="auto"/>
              </w:rPr>
            </w:pPr>
            <w:r>
              <w:rPr>
                <w:rFonts w:ascii="Arial" w:cs="Arial" w:eastAsia="Arial" w:hAnsi="Arial"/>
                <w:sz w:val="16"/>
                <w:szCs w:val="16"/>
                <w:color w:val="auto"/>
              </w:rPr>
              <w:t>Market risk benefit liabilities</w:t>
            </w: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10,729</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10,729</w:t>
            </w: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liabilities: (1)</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Interest 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1,995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1,995</w:t>
            </w: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Credit</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market</w:t>
            </w:r>
          </w:p>
        </w:tc>
        <w:tc>
          <w:tcPr>
            <w:tcW w:w="8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1,248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1,248</w:t>
            </w:r>
          </w:p>
        </w:tc>
      </w:tr>
      <w:tr>
        <w:trPr>
          <w:trHeight w:val="203"/>
        </w:trPr>
        <w:tc>
          <w:tcPr>
            <w:tcW w:w="5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derivative liabilities</w:t>
            </w: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3,252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3,253</w:t>
            </w:r>
          </w:p>
        </w:tc>
      </w:tr>
      <w:tr>
        <w:trPr>
          <w:trHeight w:val="20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Embedded derivatives on index-linked annuities (2)</w:t>
            </w:r>
          </w:p>
        </w:tc>
        <w:tc>
          <w:tcPr>
            <w:tcW w:w="8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5,164</w:t>
            </w:r>
          </w:p>
        </w:tc>
      </w:tr>
      <w:tr>
        <w:trPr>
          <w:trHeight w:val="208"/>
        </w:trPr>
        <w:tc>
          <w:tcPr>
            <w:tcW w:w="5500" w:type="dxa"/>
            <w:vAlign w:val="bottom"/>
          </w:tcPr>
          <w:p>
            <w:pPr>
              <w:ind w:left="180"/>
              <w:spacing w:after="0"/>
              <w:rPr>
                <w:sz w:val="20"/>
                <w:szCs w:val="20"/>
                <w:color w:val="auto"/>
              </w:rPr>
            </w:pPr>
            <w:r>
              <w:rPr>
                <w:rFonts w:ascii="Arial" w:cs="Arial" w:eastAsia="Arial" w:hAnsi="Arial"/>
                <w:sz w:val="16"/>
                <w:szCs w:val="16"/>
                <w:color w:val="auto"/>
              </w:rPr>
              <w:t>Total liabilities</w:t>
            </w: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3,252</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15,894</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19,146</w:t>
            </w:r>
          </w:p>
        </w:tc>
      </w:tr>
      <w:tr>
        <w:trPr>
          <w:trHeight w:val="20"/>
        </w:trPr>
        <w:tc>
          <w:tcPr>
            <w:tcW w:w="5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0" w:type="dxa"/>
            <w:vAlign w:val="bottom"/>
            <w:gridSpan w:val="5"/>
          </w:tcPr>
          <w:p>
            <w:pPr>
              <w:ind w:left="620"/>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
        </w:trPr>
        <w:tc>
          <w:tcPr>
            <w:tcW w:w="55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5"/>
        </w:trPr>
        <w:tc>
          <w:tcPr>
            <w:tcW w:w="55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Fair Value Hierarchy</w:t>
            </w: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161"/>
              <w:spacing w:after="0"/>
              <w:rPr>
                <w:sz w:val="20"/>
                <w:szCs w:val="20"/>
                <w:color w:val="auto"/>
              </w:rPr>
            </w:pPr>
            <w:r>
              <w:rPr>
                <w:rFonts w:ascii="Arial" w:cs="Arial" w:eastAsia="Arial" w:hAnsi="Arial"/>
                <w:sz w:val="14"/>
                <w:szCs w:val="14"/>
                <w:b w:val="1"/>
                <w:bCs w:val="1"/>
                <w:color w:val="auto"/>
                <w:w w:val="97"/>
              </w:rPr>
              <w:t>Total Estimated</w:t>
            </w:r>
          </w:p>
        </w:tc>
      </w:tr>
      <w:tr>
        <w:trPr>
          <w:trHeight w:val="193"/>
        </w:trPr>
        <w:tc>
          <w:tcPr>
            <w:tcW w:w="55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Fair Value</w:t>
            </w:r>
          </w:p>
        </w:tc>
      </w:tr>
      <w:tr>
        <w:trPr>
          <w:trHeight w:val="190"/>
        </w:trPr>
        <w:tc>
          <w:tcPr>
            <w:tcW w:w="5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09"/>
        </w:trPr>
        <w:tc>
          <w:tcPr>
            <w:tcW w:w="5500" w:type="dxa"/>
            <w:vAlign w:val="bottom"/>
          </w:tcPr>
          <w:p>
            <w:pPr>
              <w:ind w:left="20"/>
              <w:spacing w:after="0"/>
              <w:rPr>
                <w:sz w:val="20"/>
                <w:szCs w:val="20"/>
                <w:color w:val="auto"/>
              </w:rPr>
            </w:pPr>
            <w:r>
              <w:rPr>
                <w:rFonts w:ascii="Arial" w:cs="Arial" w:eastAsia="Arial" w:hAnsi="Arial"/>
                <w:sz w:val="16"/>
                <w:szCs w:val="16"/>
                <w:color w:val="auto"/>
              </w:rPr>
              <w:t>Fixed maturity securities:</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corporate</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w w:val="89"/>
              </w:rPr>
              <w:t>$</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31,418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32,607</w:t>
            </w:r>
          </w:p>
        </w:tc>
      </w:tr>
      <w:tr>
        <w:trPr>
          <w:trHeight w:val="209"/>
        </w:trPr>
        <w:tc>
          <w:tcPr>
            <w:tcW w:w="5500" w:type="dxa"/>
            <w:vAlign w:val="bottom"/>
          </w:tcPr>
          <w:p>
            <w:pPr>
              <w:ind w:left="20"/>
              <w:spacing w:after="0"/>
              <w:rPr>
                <w:sz w:val="20"/>
                <w:szCs w:val="20"/>
                <w:color w:val="auto"/>
              </w:rPr>
            </w:pPr>
            <w:r>
              <w:rPr>
                <w:rFonts w:ascii="Arial" w:cs="Arial" w:eastAsia="Arial" w:hAnsi="Arial"/>
                <w:sz w:val="16"/>
                <w:szCs w:val="16"/>
                <w:color w:val="auto"/>
              </w:rPr>
              <w:t>Foreign corporate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9,978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10,576</w:t>
            </w: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and agency</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3,566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4,450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8,016</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RMBS</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7,514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7,528</w:t>
            </w: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CMBS</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6,578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6,611</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ABS</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5,041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5,359</w:t>
            </w: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political subdivision</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3,799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3,799</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Foreign government</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1,043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1,081</w:t>
            </w:r>
          </w:p>
        </w:tc>
      </w:tr>
      <w:tr>
        <w:trPr>
          <w:trHeight w:val="208"/>
        </w:trPr>
        <w:tc>
          <w:tcPr>
            <w:tcW w:w="55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fixed maturity securities</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3,566</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69,821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75,577</w:t>
            </w:r>
          </w:p>
        </w:tc>
      </w:tr>
      <w:tr>
        <w:trPr>
          <w:trHeight w:val="203"/>
        </w:trPr>
        <w:tc>
          <w:tcPr>
            <w:tcW w:w="550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8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investments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Derivative assets: (1)</w:t>
            </w: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r>
      <w:tr>
        <w:trPr>
          <w:trHeight w:val="209"/>
        </w:trPr>
        <w:tc>
          <w:tcPr>
            <w:tcW w:w="5500" w:type="dxa"/>
            <w:vAlign w:val="bottom"/>
          </w:tcPr>
          <w:p>
            <w:pPr>
              <w:ind w:left="20"/>
              <w:spacing w:after="0"/>
              <w:rPr>
                <w:sz w:val="20"/>
                <w:szCs w:val="20"/>
                <w:color w:val="auto"/>
              </w:rPr>
            </w:pPr>
            <w:r>
              <w:rPr>
                <w:rFonts w:ascii="Arial" w:cs="Arial" w:eastAsia="Arial" w:hAnsi="Arial"/>
                <w:sz w:val="16"/>
                <w:szCs w:val="16"/>
                <w:color w:val="auto"/>
              </w:rPr>
              <w:t>Foreign currency exchange 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745</w:t>
            </w: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Credit</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9"/>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market</w:t>
            </w: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1,217</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1,217</w:t>
            </w:r>
          </w:p>
        </w:tc>
      </w:tr>
      <w:tr>
        <w:trPr>
          <w:trHeight w:val="208"/>
        </w:trPr>
        <w:tc>
          <w:tcPr>
            <w:tcW w:w="5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derivative assets</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2,247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2,284</w:t>
            </w:r>
          </w:p>
        </w:tc>
      </w:tr>
      <w:tr>
        <w:trPr>
          <w:trHeight w:val="209"/>
        </w:trPr>
        <w:tc>
          <w:tcPr>
            <w:tcW w:w="5500" w:type="dxa"/>
            <w:vAlign w:val="bottom"/>
          </w:tcPr>
          <w:p>
            <w:pPr>
              <w:ind w:left="20"/>
              <w:spacing w:after="0"/>
              <w:rPr>
                <w:sz w:val="20"/>
                <w:szCs w:val="20"/>
                <w:color w:val="auto"/>
              </w:rPr>
            </w:pPr>
            <w:r>
              <w:rPr>
                <w:rFonts w:ascii="Arial" w:cs="Arial" w:eastAsia="Arial" w:hAnsi="Arial"/>
                <w:sz w:val="16"/>
                <w:szCs w:val="16"/>
                <w:color w:val="auto"/>
              </w:rPr>
              <w:t>Market risk benefit assets</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483</w:t>
            </w:r>
          </w:p>
        </w:tc>
      </w:tr>
      <w:tr>
        <w:trPr>
          <w:trHeight w:val="212"/>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Separate account assets</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84,936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84,965</w:t>
            </w:r>
          </w:p>
        </w:tc>
      </w:tr>
      <w:tr>
        <w:trPr>
          <w:trHeight w:val="208"/>
        </w:trPr>
        <w:tc>
          <w:tcPr>
            <w:tcW w:w="5500" w:type="dxa"/>
            <w:vAlign w:val="bottom"/>
          </w:tcPr>
          <w:p>
            <w:pPr>
              <w:ind w:left="180"/>
              <w:spacing w:after="0"/>
              <w:rPr>
                <w:sz w:val="20"/>
                <w:szCs w:val="20"/>
                <w:color w:val="auto"/>
              </w:rPr>
            </w:pPr>
            <w:r>
              <w:rPr>
                <w:rFonts w:ascii="Arial" w:cs="Arial" w:eastAsia="Arial" w:hAnsi="Arial"/>
                <w:sz w:val="16"/>
                <w:szCs w:val="16"/>
                <w:color w:val="auto"/>
              </w:rPr>
              <w:t>Total assets</w:t>
            </w:r>
          </w:p>
        </w:tc>
        <w:tc>
          <w:tcPr>
            <w:tcW w:w="860" w:type="dxa"/>
            <w:vAlign w:val="bottom"/>
            <w:tcBorders>
              <w:top w:val="single" w:sz="8" w:color="auto"/>
              <w:bottom w:val="single" w:sz="8" w:color="auto"/>
            </w:tcBorders>
          </w:tcPr>
          <w:p>
            <w:pPr>
              <w:jc w:val="right"/>
              <w:ind w:right="682"/>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4"/>
              </w:rPr>
              <w:t>4,352</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157,390</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2,737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164,479</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8"/>
        </w:trPr>
        <w:tc>
          <w:tcPr>
            <w:tcW w:w="55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Liabilities</w:t>
            </w:r>
          </w:p>
        </w:tc>
        <w:tc>
          <w:tcPr>
            <w:tcW w:w="8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Market risk benefit liabilities</w:t>
            </w: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10,389</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10,389</w:t>
            </w: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liabilities: (1)</w:t>
            </w: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Interest rate</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2,802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2,802</w:t>
            </w:r>
          </w:p>
        </w:tc>
      </w:tr>
      <w:tr>
        <w:trPr>
          <w:trHeight w:val="21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exchange rate</w:t>
            </w:r>
          </w:p>
        </w:tc>
        <w:tc>
          <w:tcPr>
            <w:tcW w:w="8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0"/>
        </w:trPr>
        <w:tc>
          <w:tcPr>
            <w:tcW w:w="5500" w:type="dxa"/>
            <w:vAlign w:val="bottom"/>
          </w:tcPr>
          <w:p>
            <w:pPr>
              <w:ind w:left="20"/>
              <w:spacing w:after="0"/>
              <w:rPr>
                <w:sz w:val="20"/>
                <w:szCs w:val="20"/>
                <w:color w:val="auto"/>
              </w:rPr>
            </w:pPr>
            <w:r>
              <w:rPr>
                <w:rFonts w:ascii="Arial" w:cs="Arial" w:eastAsia="Arial" w:hAnsi="Arial"/>
                <w:sz w:val="16"/>
                <w:szCs w:val="16"/>
                <w:color w:val="auto"/>
              </w:rPr>
              <w:t>Credit</w:t>
            </w:r>
          </w:p>
        </w:tc>
        <w:tc>
          <w:tcPr>
            <w:tcW w:w="8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market</w:t>
            </w:r>
          </w:p>
        </w:tc>
        <w:tc>
          <w:tcPr>
            <w:tcW w:w="8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1,098</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1,098</w:t>
            </w:r>
          </w:p>
        </w:tc>
      </w:tr>
      <w:tr>
        <w:trPr>
          <w:trHeight w:val="203"/>
        </w:trPr>
        <w:tc>
          <w:tcPr>
            <w:tcW w:w="5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derivative liabilities</w:t>
            </w:r>
          </w:p>
        </w:tc>
        <w:tc>
          <w:tcPr>
            <w:tcW w:w="8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3,918</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3,920</w:t>
            </w:r>
          </w:p>
        </w:tc>
      </w:tr>
      <w:tr>
        <w:trPr>
          <w:trHeight w:val="205"/>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Embedded derivatives on index-linked annuities (2)</w:t>
            </w:r>
          </w:p>
        </w:tc>
        <w:tc>
          <w:tcPr>
            <w:tcW w:w="8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3,932</w:t>
            </w:r>
          </w:p>
        </w:tc>
      </w:tr>
      <w:tr>
        <w:trPr>
          <w:trHeight w:val="208"/>
        </w:trPr>
        <w:tc>
          <w:tcPr>
            <w:tcW w:w="5500" w:type="dxa"/>
            <w:vAlign w:val="bottom"/>
          </w:tcPr>
          <w:p>
            <w:pPr>
              <w:ind w:left="180"/>
              <w:spacing w:after="0"/>
              <w:rPr>
                <w:sz w:val="20"/>
                <w:szCs w:val="20"/>
                <w:color w:val="auto"/>
              </w:rPr>
            </w:pPr>
            <w:r>
              <w:rPr>
                <w:rFonts w:ascii="Arial" w:cs="Arial" w:eastAsia="Arial" w:hAnsi="Arial"/>
                <w:sz w:val="16"/>
                <w:szCs w:val="16"/>
                <w:color w:val="auto"/>
              </w:rPr>
              <w:t>Total liabilities</w:t>
            </w:r>
          </w:p>
        </w:tc>
        <w:tc>
          <w:tcPr>
            <w:tcW w:w="860" w:type="dxa"/>
            <w:vAlign w:val="bottom"/>
          </w:tcPr>
          <w:p>
            <w:pPr>
              <w:jc w:val="right"/>
              <w:ind w:right="682"/>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3,918</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14,323</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18,241</w:t>
            </w:r>
          </w:p>
        </w:tc>
      </w:tr>
      <w:tr>
        <w:trPr>
          <w:trHeight w:val="20"/>
        </w:trPr>
        <w:tc>
          <w:tcPr>
            <w:tcW w:w="5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Derivative assets are reported in other invested assets and derivative liabilities are reported in other liabilities. The amounts are presented gross in the tables above to reflect the presentation on the consolidated balance sheets.</w:t>
      </w:r>
    </w:p>
    <w:p>
      <w:pPr>
        <w:spacing w:after="0" w:line="74" w:lineRule="exact"/>
        <w:rPr>
          <w:rFonts w:ascii="Arial" w:cs="Arial" w:eastAsia="Arial" w:hAnsi="Arial"/>
          <w:sz w:val="18"/>
          <w:szCs w:val="18"/>
          <w:color w:val="auto"/>
        </w:rPr>
      </w:pPr>
    </w:p>
    <w:p>
      <w:pPr>
        <w:ind w:left="320" w:hanging="314"/>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Embedded derivative liabilities on index-linked annuities are reported in policyholder account balances.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200" w:lineRule="exact"/>
        <w:rPr>
          <w:sz w:val="20"/>
          <w:szCs w:val="20"/>
          <w:color w:val="auto"/>
        </w:rPr>
      </w:pPr>
    </w:p>
    <w:p>
      <w:pPr>
        <w:spacing w:after="0" w:line="3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Valuation Controls and Procedures</w:t>
      </w:r>
    </w:p>
    <w:p>
      <w:pPr>
        <w:spacing w:after="0" w:line="111"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The Company monitors and provides oversight of valuation controls and policies for securities, mortgage loans and derivatives, which are primarily executed by its valuation service providers.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In addition, the Chief Accounting Officer periodically reports to the Audit Committee of Brighthouse Financial’s Board of Directors regarding compliance with fair value accounting standards.</w:t>
      </w:r>
    </w:p>
    <w:p>
      <w:pPr>
        <w:spacing w:after="0" w:line="90"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7"/>
          <w:szCs w:val="17"/>
          <w:color w:val="auto"/>
        </w:rPr>
        <w:t>The fair value of financial assets and financial liabilities is based on quoted market prices, where available. Prices received are assessed to determine if they represent a reasonable estimate of fair value. Several controls are performed,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a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w:t>
      </w:r>
    </w:p>
    <w:p>
      <w:pPr>
        <w:spacing w:after="0" w:line="79"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A formal process is also applied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the last available price will be used.</w:t>
      </w:r>
    </w:p>
    <w:p>
      <w:pPr>
        <w:spacing w:after="0" w:line="85"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Additional controls are performed, such as, balance sheet analytics to assess reasonableness of period-to-period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three months ended March 31, 2023.</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Determination of Fair Value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Fixed Maturity Securities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fair values for actively traded marketable bonds, primarily U.S. government and agency securities, are determined using the quoted market prices and are classified as Level 1 assets. For fixed maturity securities classified as Level 2 assets, fair values are determined using either a market or income approach and are valued based on a variety of observable inputs as described below.</w:t>
      </w:r>
    </w:p>
    <w:p>
      <w:pPr>
        <w:spacing w:after="0" w:line="135"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i w:val="1"/>
          <w:iCs w:val="1"/>
          <w:color w:val="auto"/>
        </w:rPr>
        <w:t xml:space="preserve">U.S. corporate and foreign corporate securities: </w:t>
      </w:r>
      <w:r>
        <w:rPr>
          <w:rFonts w:ascii="Arial" w:cs="Arial" w:eastAsia="Arial" w:hAnsi="Arial"/>
          <w:sz w:val="18"/>
          <w:szCs w:val="18"/>
          <w:color w:val="auto"/>
        </w:rPr>
        <w:t>Fair value is determined using third-party commercial pricing services, with the primary inputs</w:t>
      </w:r>
      <w:r>
        <w:rPr>
          <w:rFonts w:ascii="Arial" w:cs="Arial" w:eastAsia="Arial" w:hAnsi="Arial"/>
          <w:sz w:val="18"/>
          <w:szCs w:val="18"/>
          <w:i w:val="1"/>
          <w:iCs w:val="1"/>
          <w:color w:val="auto"/>
        </w:rPr>
        <w:t xml:space="preserve"> </w:t>
      </w:r>
      <w:r>
        <w:rPr>
          <w:rFonts w:ascii="Arial" w:cs="Arial" w:eastAsia="Arial" w:hAnsi="Arial"/>
          <w:sz w:val="18"/>
          <w:szCs w:val="18"/>
          <w:color w:val="auto"/>
        </w:rPr>
        <w:t>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spacing w:after="0" w:line="14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i w:val="1"/>
          <w:iCs w:val="1"/>
          <w:color w:val="auto"/>
        </w:rPr>
        <w:t xml:space="preserve">U.S. government and agency, state and political subdivision and foreign government securities: </w:t>
      </w:r>
      <w:r>
        <w:rPr>
          <w:rFonts w:ascii="Arial" w:cs="Arial" w:eastAsia="Arial" w:hAnsi="Arial"/>
          <w:sz w:val="18"/>
          <w:szCs w:val="18"/>
          <w:color w:val="auto"/>
        </w:rPr>
        <w:t>Fair value is determined using third-party</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pricing services, with the primary inputs being quoted prices in markets that are not active, benchmark U.S. Treasury yield or other yields, spread off the U.S. Treasury yield curve for the identical security, issuer ratings and issuer spreads, broker-dealer quotes, and comparable securities that are actively traded.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320" w:firstLine="318"/>
        <w:spacing w:after="0" w:line="268" w:lineRule="auto"/>
        <w:rPr>
          <w:sz w:val="20"/>
          <w:szCs w:val="20"/>
          <w:color w:val="auto"/>
        </w:rPr>
      </w:pPr>
      <w:r>
        <w:rPr>
          <w:rFonts w:ascii="Arial" w:cs="Arial" w:eastAsia="Arial" w:hAnsi="Arial"/>
          <w:sz w:val="17"/>
          <w:szCs w:val="17"/>
          <w:i w:val="1"/>
          <w:iCs w:val="1"/>
          <w:color w:val="auto"/>
        </w:rPr>
        <w:t xml:space="preserve">Structured Securities: </w:t>
      </w:r>
      <w:r>
        <w:rPr>
          <w:rFonts w:ascii="Arial" w:cs="Arial" w:eastAsia="Arial" w:hAnsi="Arial"/>
          <w:sz w:val="17"/>
          <w:szCs w:val="17"/>
          <w:color w:val="auto"/>
        </w:rPr>
        <w:t>Fair value is determined using third-party commercial pricing services, with the primary inputs being quoted prices in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Equity Securities and Short-term Investments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fair value for actively traded equity securities and short-term investments are determined using quoted market prices and are classified as Level 1 assets. For financial instruments classified as Level 2 assets, fair values are determined using a market approach and are valued based on a variety of observable inputs as described below.</w:t>
      </w:r>
    </w:p>
    <w:p>
      <w:pPr>
        <w:spacing w:after="0" w:line="135"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8"/>
          <w:szCs w:val="18"/>
          <w:i w:val="1"/>
          <w:iCs w:val="1"/>
          <w:color w:val="auto"/>
        </w:rPr>
        <w:t xml:space="preserve">Equity securities and short-term investments: </w:t>
      </w:r>
      <w:r>
        <w:rPr>
          <w:rFonts w:ascii="Arial" w:cs="Arial" w:eastAsia="Arial" w:hAnsi="Arial"/>
          <w:sz w:val="18"/>
          <w:szCs w:val="18"/>
          <w:color w:val="auto"/>
        </w:rPr>
        <w:t>Fair value is determined using third-party commercial pricing services, with the primary input being</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in markets that are not active.</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Derivatives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Derivatives are financial instruments with values derived from interest rates, foreign currency exchange rates, credit spreads and/or other financial indices. Derivatives may be exchange-traded or contracted in the OTC market. Certain of the Company’s OTC derivatives are cleared and settled through central clearing counterparties (“OTC-cleared”), while others are OTC-bilateral.</w:t>
      </w:r>
    </w:p>
    <w:p>
      <w:pPr>
        <w:spacing w:after="0" w:line="82"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The fair values for exchange-traded derivatives are determined using the quoted market prices and are classified as Level 1 assets. For OTC-bilateral derivatives and OTC-cleared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spacing w:after="0" w:line="85" w:lineRule="exact"/>
        <w:rPr>
          <w:sz w:val="20"/>
          <w:szCs w:val="20"/>
          <w:color w:val="auto"/>
        </w:rPr>
      </w:pPr>
    </w:p>
    <w:p>
      <w:pPr>
        <w:jc w:val="both"/>
        <w:ind w:left="320" w:firstLine="318"/>
        <w:spacing w:after="0" w:line="249" w:lineRule="auto"/>
        <w:rPr>
          <w:sz w:val="20"/>
          <w:szCs w:val="20"/>
          <w:color w:val="auto"/>
        </w:rPr>
      </w:pPr>
      <w:r>
        <w:rPr>
          <w:rFonts w:ascii="Arial" w:cs="Arial" w:eastAsia="Arial" w:hAnsi="Arial"/>
          <w:sz w:val="18"/>
          <w:szCs w:val="18"/>
          <w:color w:val="auto"/>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spacing w:after="0" w:line="90" w:lineRule="exact"/>
        <w:rPr>
          <w:sz w:val="20"/>
          <w:szCs w:val="20"/>
          <w:color w:val="auto"/>
        </w:rPr>
      </w:pPr>
    </w:p>
    <w:p>
      <w:pPr>
        <w:jc w:val="both"/>
        <w:ind w:left="320" w:firstLine="318"/>
        <w:spacing w:after="0" w:line="277" w:lineRule="auto"/>
        <w:rPr>
          <w:sz w:val="20"/>
          <w:szCs w:val="20"/>
          <w:color w:val="auto"/>
        </w:rPr>
      </w:pPr>
      <w:r>
        <w:rPr>
          <w:rFonts w:ascii="Arial" w:cs="Arial" w:eastAsia="Arial" w:hAnsi="Arial"/>
          <w:sz w:val="17"/>
          <w:szCs w:val="17"/>
          <w:color w:val="auto"/>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spacing w:after="0" w:line="65"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7"/>
          <w:szCs w:val="17"/>
          <w:color w:val="auto"/>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Market Risk Benefits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MRBs principally include guaranteed minimum benefits on variable annuity contracts including benefits reinsured related to these guarantees.</w:t>
      </w:r>
    </w:p>
    <w:p>
      <w:pPr>
        <w:spacing w:after="0" w:line="146" w:lineRule="exact"/>
        <w:rPr>
          <w:sz w:val="20"/>
          <w:szCs w:val="20"/>
          <w:color w:val="auto"/>
        </w:rPr>
      </w:pPr>
    </w:p>
    <w:p>
      <w:pPr>
        <w:jc w:val="both"/>
        <w:ind w:left="320" w:firstLine="318"/>
        <w:spacing w:after="0" w:line="265" w:lineRule="auto"/>
        <w:rPr>
          <w:sz w:val="20"/>
          <w:szCs w:val="20"/>
          <w:color w:val="auto"/>
        </w:rPr>
      </w:pPr>
      <w:r>
        <w:rPr>
          <w:rFonts w:ascii="Arial" w:cs="Arial" w:eastAsia="Arial" w:hAnsi="Arial"/>
          <w:sz w:val="17"/>
          <w:szCs w:val="17"/>
          <w:color w:val="auto"/>
        </w:rPr>
        <w:t>The estimated fair value of variable annuity guarantees accounted for as MRBs is determined based on the present value of projected future benefits less the present value of projected future fees attributable to the guarantees. At policy inception, the Company determines an attributed fee ratio by solving for a percentage of projected future rider fees to be collected from the policyholder equal to the present value of projected future guaranteed benefits. To the extent the rider fees are insufficient, the Company may also include fees related to mortality and expense charges in the attributed fee ratio, provided the total fees included in the calculation do not exceed total contract fees and assessments collected from the contract holder. Any additional fees not included in the attributed fee ratio are considered revenue and reported in universal life and investment-type product policy fees. The attributed fee ratio is not updated in subsequent periods.</w:t>
      </w:r>
    </w:p>
    <w:p>
      <w:pPr>
        <w:spacing w:after="0" w:line="79"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The Company updates the estimated fair value of variable annuity guarantees in subsequent periods by projecting future benefits using capital markets inputs and actuarial assumptions including expectations of policyholder behavior. A risk neutral valuation methodology is used to project the cash flows from the guarantees under multiple capital markets scenarios. The reported estimated fair value is then determined by taking the present value of these cash flows using a discount rate that incorporates a spread over the risk-free rate to reflect the Company’s nonperformance risk and adding a risk margin.</w:t>
      </w:r>
    </w:p>
    <w:p>
      <w:pPr>
        <w:spacing w:after="0" w:line="88" w:lineRule="exact"/>
        <w:rPr>
          <w:sz w:val="20"/>
          <w:szCs w:val="20"/>
          <w:color w:val="auto"/>
        </w:rPr>
      </w:pPr>
    </w:p>
    <w:p>
      <w:pPr>
        <w:jc w:val="both"/>
        <w:ind w:left="320" w:firstLine="318"/>
        <w:spacing w:after="0" w:line="312" w:lineRule="auto"/>
        <w:rPr>
          <w:sz w:val="20"/>
          <w:szCs w:val="20"/>
          <w:color w:val="auto"/>
        </w:rPr>
      </w:pPr>
      <w:r>
        <w:rPr>
          <w:rFonts w:ascii="Arial" w:cs="Arial" w:eastAsia="Arial" w:hAnsi="Arial"/>
          <w:sz w:val="15"/>
          <w:szCs w:val="15"/>
          <w:color w:val="auto"/>
        </w:rPr>
        <w:t>The valuation of MRBs includes an adjustment for the risk that the Company fails to satisfy its obligations, which is referred to as nonperformance risk. The nonperformance risk adjustment is captured as an additional spread applied to the risk-free rate in determining the rate to discount the cash flows of the liability. The spread over the risk-free rate is based on the Company’s creditworthiness taking into consideration publicly available information relating to spreads in the secondary market for Brighthouse Financial’s debt. These observable spreads are then adjusted, as necessary, to reflect the financial strength ratings of the issuing insurance subsidiaries as compared to the credit rating of Brighthouse Financial.</w:t>
      </w:r>
    </w:p>
    <w:p>
      <w:pPr>
        <w:spacing w:after="0" w:line="45"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Risk margins are established to capture the non-capital markets risks of the instrument which represent the additional compensation a market participant would require to assume the risks related to the uncertainties in certain actuarial assumptions. The establishment of risk margins requires the use of significant actuarial judgment, including assumptions of the amount needed to cover the guarantees.</w:t>
      </w:r>
    </w:p>
    <w:p>
      <w:pPr>
        <w:spacing w:after="0" w:line="82"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Actuarial assumptions are reviewed at least annually, and if they change significantly, the estimated fair value is adjusted through net income. Capital market inputs used in the measurement of variable annuity guarantees are updated quarterly through net income, except for the change attributable to the Company’s nonperformance risk, which is reported in OCI.</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Embedded Derivatives</w:t>
      </w:r>
    </w:p>
    <w:p>
      <w:pPr>
        <w:spacing w:after="0" w:line="111"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8"/>
          <w:szCs w:val="18"/>
          <w:color w:val="auto"/>
        </w:rPr>
        <w:t>Embedded derivatives include crediting rates associated with index-linked annuity contracts. Embedded derivatives are recorded at estimated fair value with changes in estimated fair value reported in net income.</w:t>
      </w:r>
    </w:p>
    <w:p>
      <w:pPr>
        <w:spacing w:after="0" w:line="75" w:lineRule="exact"/>
        <w:rPr>
          <w:sz w:val="20"/>
          <w:szCs w:val="20"/>
          <w:color w:val="auto"/>
        </w:rPr>
      </w:pPr>
    </w:p>
    <w:p>
      <w:pPr>
        <w:jc w:val="both"/>
        <w:ind w:left="320" w:firstLine="318"/>
        <w:spacing w:after="0" w:line="294" w:lineRule="auto"/>
        <w:rPr>
          <w:sz w:val="20"/>
          <w:szCs w:val="20"/>
          <w:color w:val="auto"/>
        </w:rPr>
      </w:pPr>
      <w:r>
        <w:rPr>
          <w:rFonts w:ascii="Arial" w:cs="Arial" w:eastAsia="Arial" w:hAnsi="Arial"/>
          <w:sz w:val="17"/>
          <w:szCs w:val="17"/>
          <w:color w:val="auto"/>
        </w:rPr>
        <w:t>The crediting rates associated with these features are embedded derivatives which are measured at estimated fair value separately from the host fixed annuity contract. These embedded derivatives are classified within policyholder account balances on the consolidated balance sheets.</w:t>
      </w:r>
    </w:p>
    <w:p>
      <w:pPr>
        <w:spacing w:after="0" w:line="5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estimated fair value of crediting rates associated with index-linked annuities is determined using a combination of an option pricing model and an option-budget approach. The valuation of these embedded derivatives also includes the establishment of a risk margin, as well as changes in nonperformance risk.</w:t>
      </w:r>
    </w:p>
    <w:p>
      <w:pPr>
        <w:spacing w:after="0" w:line="82"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Actuarial assumptions including policyholder behavior and expectations for renewals at the end of the term period are reviewed at least annually, and if they change significantly, the estimated fair value is adjusted through net income. Capital market inputs used in the measurement of crediting rate embedded derivatives are updated quarterly through net income.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Transfers Into or Out of Level 3:</w:t>
      </w:r>
    </w:p>
    <w:p>
      <w:pPr>
        <w:spacing w:after="0" w:line="111" w:lineRule="exact"/>
        <w:rPr>
          <w:sz w:val="20"/>
          <w:szCs w:val="20"/>
          <w:color w:val="auto"/>
        </w:rPr>
      </w:pPr>
    </w:p>
    <w:p>
      <w:pPr>
        <w:jc w:val="both"/>
        <w:ind w:left="320" w:firstLine="318"/>
        <w:spacing w:after="0" w:line="250" w:lineRule="auto"/>
        <w:rPr>
          <w:sz w:val="20"/>
          <w:szCs w:val="20"/>
          <w:color w:val="auto"/>
        </w:rPr>
      </w:pPr>
      <w:r>
        <w:rPr>
          <w:rFonts w:ascii="Arial" w:cs="Arial" w:eastAsia="Arial" w:hAnsi="Arial"/>
          <w:sz w:val="18"/>
          <w:szCs w:val="18"/>
          <w:color w:val="auto"/>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pacing w:after="0" w:line="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Assets and Liabilities Measured at Fair Value Using Significant Unobservable Inputs (Level 3)</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were as follows at: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4"/>
            <w:vMerge w:val="restart"/>
          </w:tcPr>
          <w:p>
            <w:pPr>
              <w:jc w:val="center"/>
              <w:ind w:right="120"/>
              <w:spacing w:after="0"/>
              <w:rPr>
                <w:sz w:val="20"/>
                <w:szCs w:val="20"/>
                <w:color w:val="auto"/>
              </w:rPr>
            </w:pPr>
            <w:r>
              <w:rPr>
                <w:rFonts w:ascii="Arial" w:cs="Arial" w:eastAsia="Arial" w:hAnsi="Arial"/>
                <w:sz w:val="12"/>
                <w:szCs w:val="12"/>
                <w:b w:val="1"/>
                <w:bCs w:val="1"/>
                <w:color w:val="auto"/>
                <w:w w:val="95"/>
              </w:rPr>
              <w:t>March 31, 2023</w:t>
            </w:r>
          </w:p>
        </w:tc>
        <w:tc>
          <w:tcPr>
            <w:tcW w:w="1820" w:type="dxa"/>
            <w:vAlign w:val="bottom"/>
            <w:gridSpan w:val="3"/>
            <w:vMerge w:val="restart"/>
          </w:tcPr>
          <w:p>
            <w:pPr>
              <w:jc w:val="center"/>
              <w:spacing w:after="0"/>
              <w:rPr>
                <w:sz w:val="20"/>
                <w:szCs w:val="20"/>
                <w:color w:val="auto"/>
              </w:rPr>
            </w:pPr>
            <w:r>
              <w:rPr>
                <w:rFonts w:ascii="Arial" w:cs="Arial" w:eastAsia="Arial" w:hAnsi="Arial"/>
                <w:sz w:val="12"/>
                <w:szCs w:val="12"/>
                <w:b w:val="1"/>
                <w:bCs w:val="1"/>
                <w:color w:val="auto"/>
                <w:w w:val="92"/>
              </w:rPr>
              <w:t>December 31, 2022</w:t>
            </w:r>
          </w:p>
        </w:tc>
        <w:tc>
          <w:tcPr>
            <w:tcW w:w="10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Arial" w:cs="Arial" w:eastAsia="Arial" w:hAnsi="Arial"/>
                <w:sz w:val="12"/>
                <w:szCs w:val="12"/>
                <w:b w:val="1"/>
                <w:bCs w:val="1"/>
                <w:color w:val="auto"/>
                <w:w w:val="97"/>
              </w:rPr>
              <w:t>Impact of</w:t>
            </w:r>
          </w:p>
        </w:tc>
        <w:tc>
          <w:tcPr>
            <w:tcW w:w="0" w:type="dxa"/>
            <w:vAlign w:val="bottom"/>
          </w:tcPr>
          <w:p>
            <w:pPr>
              <w:spacing w:after="0"/>
              <w:rPr>
                <w:sz w:val="1"/>
                <w:szCs w:val="1"/>
                <w:color w:val="auto"/>
              </w:rPr>
            </w:pPr>
          </w:p>
        </w:tc>
      </w:tr>
      <w:tr>
        <w:trPr>
          <w:trHeight w:val="99"/>
        </w:trPr>
        <w:tc>
          <w:tcPr>
            <w:tcW w:w="2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900" w:type="dxa"/>
            <w:vAlign w:val="bottom"/>
            <w:gridSpan w:val="4"/>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Increase in Input</w:t>
            </w:r>
          </w:p>
        </w:tc>
        <w:tc>
          <w:tcPr>
            <w:tcW w:w="0" w:type="dxa"/>
            <w:vAlign w:val="bottom"/>
          </w:tcPr>
          <w:p>
            <w:pPr>
              <w:spacing w:after="0"/>
              <w:rPr>
                <w:sz w:val="1"/>
                <w:szCs w:val="1"/>
                <w:color w:val="auto"/>
              </w:rPr>
            </w:pPr>
          </w:p>
        </w:tc>
      </w:tr>
      <w:tr>
        <w:trPr>
          <w:trHeight w:val="133"/>
        </w:trPr>
        <w:tc>
          <w:tcPr>
            <w:tcW w:w="2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Valuation Techniques</w:t>
            </w:r>
          </w:p>
        </w:tc>
        <w:tc>
          <w:tcPr>
            <w:tcW w:w="120" w:type="dxa"/>
            <w:vAlign w:val="bottom"/>
          </w:tcPr>
          <w:p>
            <w:pPr>
              <w:spacing w:after="0"/>
              <w:rPr>
                <w:sz w:val="11"/>
                <w:szCs w:val="11"/>
                <w:color w:val="auto"/>
              </w:rPr>
            </w:pPr>
          </w:p>
        </w:tc>
        <w:tc>
          <w:tcPr>
            <w:tcW w:w="17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Significant</w:t>
            </w:r>
          </w:p>
        </w:tc>
        <w:tc>
          <w:tcPr>
            <w:tcW w:w="6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2"/>
              </w:rPr>
              <w:t>Range</w:t>
            </w: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vMerge w:val="restart"/>
          </w:tcPr>
          <w:p>
            <w:pPr>
              <w:jc w:val="center"/>
              <w:spacing w:after="0"/>
              <w:rPr>
                <w:sz w:val="20"/>
                <w:szCs w:val="20"/>
                <w:color w:val="auto"/>
              </w:rPr>
            </w:pPr>
            <w:r>
              <w:rPr>
                <w:rFonts w:ascii="Arial" w:cs="Arial" w:eastAsia="Arial" w:hAnsi="Arial"/>
                <w:sz w:val="12"/>
                <w:szCs w:val="12"/>
                <w:b w:val="1"/>
                <w:bCs w:val="1"/>
                <w:color w:val="auto"/>
                <w:w w:val="92"/>
              </w:rPr>
              <w:t>Range</w:t>
            </w: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2"/>
              </w:rPr>
              <w:t>on Estimated</w:t>
            </w:r>
          </w:p>
        </w:tc>
        <w:tc>
          <w:tcPr>
            <w:tcW w:w="0" w:type="dxa"/>
            <w:vAlign w:val="bottom"/>
          </w:tcPr>
          <w:p>
            <w:pPr>
              <w:spacing w:after="0"/>
              <w:rPr>
                <w:sz w:val="1"/>
                <w:szCs w:val="1"/>
                <w:color w:val="auto"/>
              </w:rPr>
            </w:pPr>
          </w:p>
        </w:tc>
      </w:tr>
      <w:tr>
        <w:trPr>
          <w:trHeight w:val="166"/>
        </w:trPr>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ind w:left="200"/>
              <w:spacing w:after="0"/>
              <w:rPr>
                <w:sz w:val="20"/>
                <w:szCs w:val="20"/>
                <w:color w:val="auto"/>
              </w:rPr>
            </w:pPr>
            <w:r>
              <w:rPr>
                <w:rFonts w:ascii="Arial" w:cs="Arial" w:eastAsia="Arial" w:hAnsi="Arial"/>
                <w:sz w:val="12"/>
                <w:szCs w:val="12"/>
                <w:b w:val="1"/>
                <w:bCs w:val="1"/>
                <w:color w:val="auto"/>
              </w:rPr>
              <w:t>Unobservable Inputs</w:t>
            </w:r>
          </w:p>
        </w:tc>
        <w:tc>
          <w:tcPr>
            <w:tcW w:w="6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2"/>
                <w:szCs w:val="12"/>
                <w:b w:val="1"/>
                <w:bCs w:val="1"/>
                <w:color w:val="auto"/>
                <w:w w:val="97"/>
              </w:rPr>
              <w:t>Fair Value</w:t>
            </w:r>
          </w:p>
        </w:tc>
        <w:tc>
          <w:tcPr>
            <w:tcW w:w="0" w:type="dxa"/>
            <w:vAlign w:val="bottom"/>
          </w:tcPr>
          <w:p>
            <w:pPr>
              <w:spacing w:after="0"/>
              <w:rPr>
                <w:sz w:val="1"/>
                <w:szCs w:val="1"/>
                <w:color w:val="auto"/>
              </w:rPr>
            </w:pPr>
          </w:p>
        </w:tc>
      </w:tr>
      <w:tr>
        <w:trPr>
          <w:trHeight w:val="185"/>
        </w:trPr>
        <w:tc>
          <w:tcPr>
            <w:tcW w:w="2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Market Risk Benefits</w:t>
            </w:r>
          </w:p>
        </w:tc>
        <w:tc>
          <w:tcPr>
            <w:tcW w:w="8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gridSpan w:val="2"/>
          </w:tcPr>
          <w:p>
            <w:pPr>
              <w:jc w:val="right"/>
              <w:ind w:right="660"/>
              <w:spacing w:after="0" w:line="120" w:lineRule="exact"/>
              <w:rPr>
                <w:sz w:val="20"/>
                <w:szCs w:val="20"/>
                <w:color w:val="auto"/>
              </w:rPr>
            </w:pPr>
            <w:r>
              <w:rPr>
                <w:rFonts w:ascii="Arial" w:cs="Arial" w:eastAsia="Arial" w:hAnsi="Arial"/>
                <w:sz w:val="12"/>
                <w:szCs w:val="12"/>
                <w:color w:val="auto"/>
              </w:rPr>
              <w:t>• Option pricing</w:t>
            </w:r>
          </w:p>
        </w:tc>
        <w:tc>
          <w:tcPr>
            <w:tcW w:w="1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620" w:type="dxa"/>
            <w:vAlign w:val="bottom"/>
            <w:gridSpan w:val="2"/>
          </w:tcPr>
          <w:p>
            <w:pPr>
              <w:ind w:left="20"/>
              <w:spacing w:after="0"/>
              <w:rPr>
                <w:sz w:val="20"/>
                <w:szCs w:val="20"/>
                <w:color w:val="auto"/>
              </w:rPr>
            </w:pPr>
            <w:r>
              <w:rPr>
                <w:rFonts w:ascii="Arial" w:cs="Arial" w:eastAsia="Arial" w:hAnsi="Arial"/>
                <w:sz w:val="12"/>
                <w:szCs w:val="12"/>
                <w:color w:val="auto"/>
              </w:rPr>
              <w:t>Variable annuity guaranteed minimum benefits</w:t>
            </w: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techniques</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1740" w:type="dxa"/>
            <w:vAlign w:val="bottom"/>
            <w:gridSpan w:val="2"/>
          </w:tcPr>
          <w:p>
            <w:pPr>
              <w:ind w:left="60"/>
              <w:spacing w:after="0"/>
              <w:rPr>
                <w:sz w:val="20"/>
                <w:szCs w:val="20"/>
                <w:color w:val="auto"/>
              </w:rPr>
            </w:pPr>
            <w:r>
              <w:rPr>
                <w:rFonts w:ascii="Arial" w:cs="Arial" w:eastAsia="Arial" w:hAnsi="Arial"/>
                <w:sz w:val="12"/>
                <w:szCs w:val="12"/>
                <w:color w:val="auto"/>
              </w:rPr>
              <w:t>Mortality rates</w:t>
            </w:r>
          </w:p>
        </w:tc>
        <w:tc>
          <w:tcPr>
            <w:tcW w:w="660" w:type="dxa"/>
            <w:vAlign w:val="bottom"/>
          </w:tcPr>
          <w:p>
            <w:pPr>
              <w:jc w:val="center"/>
              <w:ind w:left="78"/>
              <w:spacing w:after="0"/>
              <w:rPr>
                <w:sz w:val="20"/>
                <w:szCs w:val="20"/>
                <w:color w:val="auto"/>
              </w:rPr>
            </w:pPr>
            <w:r>
              <w:rPr>
                <w:rFonts w:ascii="Arial" w:cs="Arial" w:eastAsia="Arial" w:hAnsi="Arial"/>
                <w:sz w:val="12"/>
                <w:szCs w:val="12"/>
                <w:color w:val="auto"/>
                <w:w w:val="93"/>
              </w:rPr>
              <w:t>0.04%</w:t>
            </w:r>
          </w:p>
        </w:tc>
        <w:tc>
          <w:tcPr>
            <w:tcW w:w="48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60" w:type="dxa"/>
            <w:vAlign w:val="bottom"/>
          </w:tcPr>
          <w:p>
            <w:pPr>
              <w:jc w:val="center"/>
              <w:ind w:right="98"/>
              <w:spacing w:after="0"/>
              <w:rPr>
                <w:sz w:val="20"/>
                <w:szCs w:val="20"/>
                <w:color w:val="auto"/>
              </w:rPr>
            </w:pPr>
            <w:r>
              <w:rPr>
                <w:rFonts w:ascii="Arial" w:cs="Arial" w:eastAsia="Arial" w:hAnsi="Arial"/>
                <w:sz w:val="12"/>
                <w:szCs w:val="12"/>
                <w:color w:val="auto"/>
                <w:w w:val="93"/>
              </w:rPr>
              <w:t>12.90%</w:t>
            </w:r>
          </w:p>
        </w:tc>
        <w:tc>
          <w:tcPr>
            <w:tcW w:w="100" w:type="dxa"/>
            <w:vAlign w:val="bottom"/>
          </w:tcPr>
          <w:p>
            <w:pPr>
              <w:spacing w:after="0"/>
              <w:rPr>
                <w:sz w:val="15"/>
                <w:szCs w:val="15"/>
                <w:color w:val="auto"/>
              </w:rPr>
            </w:pPr>
          </w:p>
        </w:tc>
        <w:tc>
          <w:tcPr>
            <w:tcW w:w="680" w:type="dxa"/>
            <w:vAlign w:val="bottom"/>
          </w:tcPr>
          <w:p>
            <w:pPr>
              <w:jc w:val="center"/>
              <w:ind w:left="58"/>
              <w:spacing w:after="0"/>
              <w:rPr>
                <w:sz w:val="20"/>
                <w:szCs w:val="20"/>
                <w:color w:val="auto"/>
              </w:rPr>
            </w:pPr>
            <w:r>
              <w:rPr>
                <w:rFonts w:ascii="Arial" w:cs="Arial" w:eastAsia="Arial" w:hAnsi="Arial"/>
                <w:sz w:val="12"/>
                <w:szCs w:val="12"/>
                <w:color w:val="auto"/>
                <w:w w:val="93"/>
              </w:rPr>
              <w:t>0.04%</w:t>
            </w:r>
          </w:p>
        </w:tc>
        <w:tc>
          <w:tcPr>
            <w:tcW w:w="46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80" w:type="dxa"/>
            <w:vAlign w:val="bottom"/>
          </w:tcPr>
          <w:p>
            <w:pPr>
              <w:jc w:val="center"/>
              <w:ind w:right="78"/>
              <w:spacing w:after="0"/>
              <w:rPr>
                <w:sz w:val="20"/>
                <w:szCs w:val="20"/>
                <w:color w:val="auto"/>
              </w:rPr>
            </w:pPr>
            <w:r>
              <w:rPr>
                <w:rFonts w:ascii="Arial" w:cs="Arial" w:eastAsia="Arial" w:hAnsi="Arial"/>
                <w:sz w:val="12"/>
                <w:szCs w:val="12"/>
                <w:color w:val="auto"/>
                <w:w w:val="93"/>
              </w:rPr>
              <w:t>12.90%</w:t>
            </w: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2"/>
                <w:szCs w:val="12"/>
                <w:color w:val="auto"/>
                <w:w w:val="92"/>
              </w:rPr>
              <w:t>Decrease (1)</w:t>
            </w:r>
          </w:p>
        </w:tc>
        <w:tc>
          <w:tcPr>
            <w:tcW w:w="0" w:type="dxa"/>
            <w:vAlign w:val="bottom"/>
          </w:tcPr>
          <w:p>
            <w:pPr>
              <w:spacing w:after="0"/>
              <w:rPr>
                <w:sz w:val="1"/>
                <w:szCs w:val="1"/>
                <w:color w:val="auto"/>
              </w:rPr>
            </w:pPr>
          </w:p>
        </w:tc>
      </w:tr>
      <w:tr>
        <w:trPr>
          <w:trHeight w:val="181"/>
        </w:trPr>
        <w:tc>
          <w:tcPr>
            <w:tcW w:w="2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Lapse rates</w:t>
            </w:r>
          </w:p>
        </w:tc>
        <w:tc>
          <w:tcPr>
            <w:tcW w:w="660" w:type="dxa"/>
            <w:vAlign w:val="bottom"/>
            <w:shd w:val="clear" w:color="auto" w:fill="CCEEFF"/>
          </w:tcPr>
          <w:p>
            <w:pPr>
              <w:jc w:val="center"/>
              <w:ind w:left="78"/>
              <w:spacing w:after="0"/>
              <w:rPr>
                <w:sz w:val="20"/>
                <w:szCs w:val="20"/>
                <w:color w:val="auto"/>
              </w:rPr>
            </w:pPr>
            <w:r>
              <w:rPr>
                <w:rFonts w:ascii="Arial" w:cs="Arial" w:eastAsia="Arial" w:hAnsi="Arial"/>
                <w:sz w:val="12"/>
                <w:szCs w:val="12"/>
                <w:color w:val="auto"/>
                <w:w w:val="93"/>
              </w:rPr>
              <w:t>1.00%</w:t>
            </w: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660" w:type="dxa"/>
            <w:vAlign w:val="bottom"/>
            <w:shd w:val="clear" w:color="auto" w:fill="CCEEFF"/>
          </w:tcPr>
          <w:p>
            <w:pPr>
              <w:jc w:val="center"/>
              <w:ind w:right="98"/>
              <w:spacing w:after="0"/>
              <w:rPr>
                <w:sz w:val="20"/>
                <w:szCs w:val="20"/>
                <w:color w:val="auto"/>
              </w:rPr>
            </w:pPr>
            <w:r>
              <w:rPr>
                <w:rFonts w:ascii="Arial" w:cs="Arial" w:eastAsia="Arial" w:hAnsi="Arial"/>
                <w:sz w:val="12"/>
                <w:szCs w:val="12"/>
                <w:color w:val="auto"/>
                <w:w w:val="93"/>
              </w:rPr>
              <w:t>24.11%</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left="58"/>
              <w:spacing w:after="0"/>
              <w:rPr>
                <w:sz w:val="20"/>
                <w:szCs w:val="20"/>
                <w:color w:val="auto"/>
              </w:rPr>
            </w:pPr>
            <w:r>
              <w:rPr>
                <w:rFonts w:ascii="Arial" w:cs="Arial" w:eastAsia="Arial" w:hAnsi="Arial"/>
                <w:sz w:val="12"/>
                <w:szCs w:val="12"/>
                <w:color w:val="auto"/>
                <w:w w:val="93"/>
              </w:rPr>
              <w:t>1.00%</w:t>
            </w: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680" w:type="dxa"/>
            <w:vAlign w:val="bottom"/>
            <w:shd w:val="clear" w:color="auto" w:fill="CCEEFF"/>
          </w:tcPr>
          <w:p>
            <w:pPr>
              <w:jc w:val="center"/>
              <w:ind w:right="98"/>
              <w:spacing w:after="0"/>
              <w:rPr>
                <w:sz w:val="20"/>
                <w:szCs w:val="20"/>
                <w:color w:val="auto"/>
              </w:rPr>
            </w:pPr>
            <w:r>
              <w:rPr>
                <w:rFonts w:ascii="Arial" w:cs="Arial" w:eastAsia="Arial" w:hAnsi="Arial"/>
                <w:sz w:val="12"/>
                <w:szCs w:val="12"/>
                <w:color w:val="auto"/>
                <w:w w:val="88"/>
              </w:rPr>
              <w:t>24.11%</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Decrease (2)</w:t>
            </w:r>
          </w:p>
        </w:tc>
        <w:tc>
          <w:tcPr>
            <w:tcW w:w="0" w:type="dxa"/>
            <w:vAlign w:val="bottom"/>
          </w:tcPr>
          <w:p>
            <w:pPr>
              <w:spacing w:after="0"/>
              <w:rPr>
                <w:sz w:val="1"/>
                <w:szCs w:val="1"/>
                <w:color w:val="auto"/>
              </w:rPr>
            </w:pPr>
          </w:p>
        </w:tc>
      </w:tr>
      <w:tr>
        <w:trPr>
          <w:trHeight w:val="164"/>
        </w:trPr>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1740" w:type="dxa"/>
            <w:vAlign w:val="bottom"/>
            <w:gridSpan w:val="2"/>
          </w:tcPr>
          <w:p>
            <w:pPr>
              <w:ind w:left="60"/>
              <w:spacing w:after="0"/>
              <w:rPr>
                <w:sz w:val="20"/>
                <w:szCs w:val="20"/>
                <w:color w:val="auto"/>
              </w:rPr>
            </w:pPr>
            <w:r>
              <w:rPr>
                <w:rFonts w:ascii="Arial" w:cs="Arial" w:eastAsia="Arial" w:hAnsi="Arial"/>
                <w:sz w:val="12"/>
                <w:szCs w:val="12"/>
                <w:color w:val="auto"/>
              </w:rPr>
              <w:t>Utilization rates</w:t>
            </w:r>
          </w:p>
        </w:tc>
        <w:tc>
          <w:tcPr>
            <w:tcW w:w="660" w:type="dxa"/>
            <w:vAlign w:val="bottom"/>
          </w:tcPr>
          <w:p>
            <w:pPr>
              <w:jc w:val="center"/>
              <w:ind w:left="78"/>
              <w:spacing w:after="0"/>
              <w:rPr>
                <w:sz w:val="20"/>
                <w:szCs w:val="20"/>
                <w:color w:val="auto"/>
              </w:rPr>
            </w:pPr>
            <w:r>
              <w:rPr>
                <w:rFonts w:ascii="Arial" w:cs="Arial" w:eastAsia="Arial" w:hAnsi="Arial"/>
                <w:sz w:val="12"/>
                <w:szCs w:val="12"/>
                <w:color w:val="auto"/>
                <w:w w:val="93"/>
              </w:rPr>
              <w:t>0.00%</w:t>
            </w:r>
          </w:p>
        </w:tc>
        <w:tc>
          <w:tcPr>
            <w:tcW w:w="48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60" w:type="dxa"/>
            <w:vAlign w:val="bottom"/>
          </w:tcPr>
          <w:p>
            <w:pPr>
              <w:jc w:val="center"/>
              <w:ind w:right="98"/>
              <w:spacing w:after="0"/>
              <w:rPr>
                <w:sz w:val="20"/>
                <w:szCs w:val="20"/>
                <w:color w:val="auto"/>
              </w:rPr>
            </w:pPr>
            <w:r>
              <w:rPr>
                <w:rFonts w:ascii="Arial" w:cs="Arial" w:eastAsia="Arial" w:hAnsi="Arial"/>
                <w:sz w:val="12"/>
                <w:szCs w:val="12"/>
                <w:color w:val="auto"/>
                <w:w w:val="93"/>
              </w:rPr>
              <w:t>25.00%</w:t>
            </w:r>
          </w:p>
        </w:tc>
        <w:tc>
          <w:tcPr>
            <w:tcW w:w="100" w:type="dxa"/>
            <w:vAlign w:val="bottom"/>
          </w:tcPr>
          <w:p>
            <w:pPr>
              <w:spacing w:after="0"/>
              <w:rPr>
                <w:sz w:val="14"/>
                <w:szCs w:val="14"/>
                <w:color w:val="auto"/>
              </w:rPr>
            </w:pPr>
          </w:p>
        </w:tc>
        <w:tc>
          <w:tcPr>
            <w:tcW w:w="680" w:type="dxa"/>
            <w:vAlign w:val="bottom"/>
          </w:tcPr>
          <w:p>
            <w:pPr>
              <w:jc w:val="center"/>
              <w:ind w:left="58"/>
              <w:spacing w:after="0"/>
              <w:rPr>
                <w:sz w:val="20"/>
                <w:szCs w:val="20"/>
                <w:color w:val="auto"/>
              </w:rPr>
            </w:pPr>
            <w:r>
              <w:rPr>
                <w:rFonts w:ascii="Arial" w:cs="Arial" w:eastAsia="Arial" w:hAnsi="Arial"/>
                <w:sz w:val="12"/>
                <w:szCs w:val="12"/>
                <w:color w:val="auto"/>
                <w:w w:val="93"/>
              </w:rPr>
              <w:t>0.00%</w:t>
            </w:r>
          </w:p>
        </w:tc>
        <w:tc>
          <w:tcPr>
            <w:tcW w:w="46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80" w:type="dxa"/>
            <w:vAlign w:val="bottom"/>
          </w:tcPr>
          <w:p>
            <w:pPr>
              <w:jc w:val="center"/>
              <w:ind w:right="78"/>
              <w:spacing w:after="0"/>
              <w:rPr>
                <w:sz w:val="20"/>
                <w:szCs w:val="20"/>
                <w:color w:val="auto"/>
              </w:rPr>
            </w:pPr>
            <w:r>
              <w:rPr>
                <w:rFonts w:ascii="Arial" w:cs="Arial" w:eastAsia="Arial" w:hAnsi="Arial"/>
                <w:sz w:val="12"/>
                <w:szCs w:val="12"/>
                <w:color w:val="auto"/>
                <w:w w:val="93"/>
              </w:rPr>
              <w:t>25.00%</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2"/>
                <w:szCs w:val="12"/>
                <w:color w:val="auto"/>
                <w:w w:val="93"/>
              </w:rPr>
              <w:t>Increase (3)</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Withdrawal rates</w:t>
            </w:r>
          </w:p>
        </w:tc>
        <w:tc>
          <w:tcPr>
            <w:tcW w:w="660" w:type="dxa"/>
            <w:vAlign w:val="bottom"/>
            <w:shd w:val="clear" w:color="auto" w:fill="CCEEFF"/>
          </w:tcPr>
          <w:p>
            <w:pPr>
              <w:jc w:val="center"/>
              <w:ind w:left="78"/>
              <w:spacing w:after="0"/>
              <w:rPr>
                <w:sz w:val="20"/>
                <w:szCs w:val="20"/>
                <w:color w:val="auto"/>
              </w:rPr>
            </w:pPr>
            <w:r>
              <w:rPr>
                <w:rFonts w:ascii="Arial" w:cs="Arial" w:eastAsia="Arial" w:hAnsi="Arial"/>
                <w:sz w:val="12"/>
                <w:szCs w:val="12"/>
                <w:color w:val="auto"/>
                <w:w w:val="93"/>
              </w:rPr>
              <w:t>0.00%</w:t>
            </w: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660" w:type="dxa"/>
            <w:vAlign w:val="bottom"/>
            <w:shd w:val="clear" w:color="auto" w:fill="CCEEFF"/>
          </w:tcPr>
          <w:p>
            <w:pPr>
              <w:jc w:val="center"/>
              <w:ind w:right="98"/>
              <w:spacing w:after="0"/>
              <w:rPr>
                <w:sz w:val="20"/>
                <w:szCs w:val="20"/>
                <w:color w:val="auto"/>
              </w:rPr>
            </w:pPr>
            <w:r>
              <w:rPr>
                <w:rFonts w:ascii="Arial" w:cs="Arial" w:eastAsia="Arial" w:hAnsi="Arial"/>
                <w:sz w:val="12"/>
                <w:szCs w:val="12"/>
                <w:color w:val="auto"/>
                <w:w w:val="93"/>
              </w:rPr>
              <w:t>10.00%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left="58"/>
              <w:spacing w:after="0"/>
              <w:rPr>
                <w:sz w:val="20"/>
                <w:szCs w:val="20"/>
                <w:color w:val="auto"/>
              </w:rPr>
            </w:pPr>
            <w:r>
              <w:rPr>
                <w:rFonts w:ascii="Arial" w:cs="Arial" w:eastAsia="Arial" w:hAnsi="Arial"/>
                <w:sz w:val="12"/>
                <w:szCs w:val="12"/>
                <w:color w:val="auto"/>
                <w:w w:val="93"/>
              </w:rPr>
              <w:t>0.00%</w:t>
            </w: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680" w:type="dxa"/>
            <w:vAlign w:val="bottom"/>
            <w:shd w:val="clear" w:color="auto" w:fill="CCEEFF"/>
          </w:tcPr>
          <w:p>
            <w:pPr>
              <w:jc w:val="center"/>
              <w:ind w:right="78"/>
              <w:spacing w:after="0"/>
              <w:rPr>
                <w:sz w:val="20"/>
                <w:szCs w:val="20"/>
                <w:color w:val="auto"/>
              </w:rPr>
            </w:pPr>
            <w:r>
              <w:rPr>
                <w:rFonts w:ascii="Arial" w:cs="Arial" w:eastAsia="Arial" w:hAnsi="Arial"/>
                <w:sz w:val="12"/>
                <w:szCs w:val="12"/>
                <w:color w:val="auto"/>
                <w:w w:val="93"/>
              </w:rPr>
              <w:t>10.00%</w:t>
            </w:r>
          </w:p>
        </w:tc>
        <w:tc>
          <w:tcPr>
            <w:tcW w:w="1540" w:type="dxa"/>
            <w:vAlign w:val="bottom"/>
            <w:gridSpan w:val="2"/>
            <w:shd w:val="clear" w:color="auto" w:fill="CCEEFF"/>
          </w:tcPr>
          <w:p>
            <w:pPr>
              <w:jc w:val="center"/>
              <w:ind w:left="38"/>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64"/>
        </w:trPr>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1740" w:type="dxa"/>
            <w:vAlign w:val="bottom"/>
            <w:gridSpan w:val="2"/>
          </w:tcPr>
          <w:p>
            <w:pPr>
              <w:ind w:left="60"/>
              <w:spacing w:after="0"/>
              <w:rPr>
                <w:sz w:val="20"/>
                <w:szCs w:val="20"/>
                <w:color w:val="auto"/>
              </w:rPr>
            </w:pPr>
            <w:r>
              <w:rPr>
                <w:rFonts w:ascii="Arial" w:cs="Arial" w:eastAsia="Arial" w:hAnsi="Arial"/>
                <w:sz w:val="12"/>
                <w:szCs w:val="12"/>
                <w:color w:val="auto"/>
              </w:rPr>
              <w:t>Long-term equity volatilities</w:t>
            </w:r>
          </w:p>
        </w:tc>
        <w:tc>
          <w:tcPr>
            <w:tcW w:w="660" w:type="dxa"/>
            <w:vAlign w:val="bottom"/>
          </w:tcPr>
          <w:p>
            <w:pPr>
              <w:jc w:val="center"/>
              <w:ind w:left="98"/>
              <w:spacing w:after="0"/>
              <w:rPr>
                <w:sz w:val="20"/>
                <w:szCs w:val="20"/>
                <w:color w:val="auto"/>
              </w:rPr>
            </w:pPr>
            <w:r>
              <w:rPr>
                <w:rFonts w:ascii="Arial" w:cs="Arial" w:eastAsia="Arial" w:hAnsi="Arial"/>
                <w:sz w:val="12"/>
                <w:szCs w:val="12"/>
                <w:color w:val="auto"/>
                <w:w w:val="93"/>
              </w:rPr>
              <w:t>15.96%</w:t>
            </w:r>
          </w:p>
        </w:tc>
        <w:tc>
          <w:tcPr>
            <w:tcW w:w="48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60" w:type="dxa"/>
            <w:vAlign w:val="bottom"/>
          </w:tcPr>
          <w:p>
            <w:pPr>
              <w:jc w:val="center"/>
              <w:ind w:right="98"/>
              <w:spacing w:after="0"/>
              <w:rPr>
                <w:sz w:val="20"/>
                <w:szCs w:val="20"/>
                <w:color w:val="auto"/>
              </w:rPr>
            </w:pPr>
            <w:r>
              <w:rPr>
                <w:rFonts w:ascii="Arial" w:cs="Arial" w:eastAsia="Arial" w:hAnsi="Arial"/>
                <w:sz w:val="12"/>
                <w:szCs w:val="12"/>
                <w:color w:val="auto"/>
                <w:w w:val="93"/>
              </w:rPr>
              <w:t>24.53%</w:t>
            </w:r>
          </w:p>
        </w:tc>
        <w:tc>
          <w:tcPr>
            <w:tcW w:w="100" w:type="dxa"/>
            <w:vAlign w:val="bottom"/>
          </w:tcPr>
          <w:p>
            <w:pPr>
              <w:spacing w:after="0"/>
              <w:rPr>
                <w:sz w:val="14"/>
                <w:szCs w:val="14"/>
                <w:color w:val="auto"/>
              </w:rPr>
            </w:pPr>
          </w:p>
        </w:tc>
        <w:tc>
          <w:tcPr>
            <w:tcW w:w="680" w:type="dxa"/>
            <w:vAlign w:val="bottom"/>
          </w:tcPr>
          <w:p>
            <w:pPr>
              <w:jc w:val="center"/>
              <w:ind w:left="78"/>
              <w:spacing w:after="0"/>
              <w:rPr>
                <w:sz w:val="20"/>
                <w:szCs w:val="20"/>
                <w:color w:val="auto"/>
              </w:rPr>
            </w:pPr>
            <w:r>
              <w:rPr>
                <w:rFonts w:ascii="Arial" w:cs="Arial" w:eastAsia="Arial" w:hAnsi="Arial"/>
                <w:sz w:val="12"/>
                <w:szCs w:val="12"/>
                <w:color w:val="auto"/>
                <w:w w:val="93"/>
              </w:rPr>
              <w:t>19.99%</w:t>
            </w:r>
          </w:p>
        </w:tc>
        <w:tc>
          <w:tcPr>
            <w:tcW w:w="46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80" w:type="dxa"/>
            <w:vAlign w:val="bottom"/>
          </w:tcPr>
          <w:p>
            <w:pPr>
              <w:jc w:val="center"/>
              <w:ind w:right="78"/>
              <w:spacing w:after="0"/>
              <w:rPr>
                <w:sz w:val="20"/>
                <w:szCs w:val="20"/>
                <w:color w:val="auto"/>
              </w:rPr>
            </w:pPr>
            <w:r>
              <w:rPr>
                <w:rFonts w:ascii="Arial" w:cs="Arial" w:eastAsia="Arial" w:hAnsi="Arial"/>
                <w:sz w:val="12"/>
                <w:szCs w:val="12"/>
                <w:color w:val="auto"/>
                <w:w w:val="93"/>
              </w:rPr>
              <w:t>28.45%</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2"/>
                <w:szCs w:val="12"/>
                <w:color w:val="auto"/>
                <w:w w:val="93"/>
              </w:rPr>
              <w:t>Increase (5)</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Nonperformance risk spread</w:t>
            </w:r>
          </w:p>
        </w:tc>
        <w:tc>
          <w:tcPr>
            <w:tcW w:w="660" w:type="dxa"/>
            <w:vAlign w:val="bottom"/>
            <w:shd w:val="clear" w:color="auto" w:fill="CCEEFF"/>
          </w:tcPr>
          <w:p>
            <w:pPr>
              <w:jc w:val="center"/>
              <w:ind w:left="78"/>
              <w:spacing w:after="0"/>
              <w:rPr>
                <w:sz w:val="20"/>
                <w:szCs w:val="20"/>
                <w:color w:val="auto"/>
              </w:rPr>
            </w:pPr>
            <w:r>
              <w:rPr>
                <w:rFonts w:ascii="Arial" w:cs="Arial" w:eastAsia="Arial" w:hAnsi="Arial"/>
                <w:sz w:val="12"/>
                <w:szCs w:val="12"/>
                <w:color w:val="auto"/>
                <w:w w:val="93"/>
              </w:rPr>
              <w:t>1.08%</w:t>
            </w: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660" w:type="dxa"/>
            <w:vAlign w:val="bottom"/>
            <w:shd w:val="clear" w:color="auto" w:fill="CCEEFF"/>
          </w:tcPr>
          <w:p>
            <w:pPr>
              <w:jc w:val="center"/>
              <w:ind w:right="118"/>
              <w:spacing w:after="0"/>
              <w:rPr>
                <w:sz w:val="20"/>
                <w:szCs w:val="20"/>
                <w:color w:val="auto"/>
              </w:rPr>
            </w:pPr>
            <w:r>
              <w:rPr>
                <w:rFonts w:ascii="Arial" w:cs="Arial" w:eastAsia="Arial" w:hAnsi="Arial"/>
                <w:sz w:val="12"/>
                <w:szCs w:val="12"/>
                <w:color w:val="auto"/>
                <w:w w:val="93"/>
              </w:rPr>
              <w:t>2.22%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left="58"/>
              <w:spacing w:after="0"/>
              <w:rPr>
                <w:sz w:val="20"/>
                <w:szCs w:val="20"/>
                <w:color w:val="auto"/>
              </w:rPr>
            </w:pPr>
            <w:r>
              <w:rPr>
                <w:rFonts w:ascii="Arial" w:cs="Arial" w:eastAsia="Arial" w:hAnsi="Arial"/>
                <w:sz w:val="12"/>
                <w:szCs w:val="12"/>
                <w:color w:val="auto"/>
                <w:w w:val="95"/>
              </w:rPr>
              <w:t>(2.73)%</w:t>
            </w: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680" w:type="dxa"/>
            <w:vAlign w:val="bottom"/>
            <w:shd w:val="clear" w:color="auto" w:fill="CCEEFF"/>
          </w:tcPr>
          <w:p>
            <w:pPr>
              <w:jc w:val="center"/>
              <w:ind w:right="98"/>
              <w:spacing w:after="0"/>
              <w:rPr>
                <w:sz w:val="20"/>
                <w:szCs w:val="20"/>
                <w:color w:val="auto"/>
              </w:rPr>
            </w:pPr>
            <w:r>
              <w:rPr>
                <w:rFonts w:ascii="Arial" w:cs="Arial" w:eastAsia="Arial" w:hAnsi="Arial"/>
                <w:sz w:val="12"/>
                <w:szCs w:val="12"/>
                <w:color w:val="auto"/>
                <w:w w:val="93"/>
              </w:rPr>
              <w:t>4.52%</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Decrease (6)</w:t>
            </w:r>
          </w:p>
        </w:tc>
        <w:tc>
          <w:tcPr>
            <w:tcW w:w="0" w:type="dxa"/>
            <w:vAlign w:val="bottom"/>
          </w:tcPr>
          <w:p>
            <w:pPr>
              <w:spacing w:after="0"/>
              <w:rPr>
                <w:sz w:val="1"/>
                <w:szCs w:val="1"/>
                <w:color w:val="auto"/>
              </w:rPr>
            </w:pPr>
          </w:p>
        </w:tc>
      </w:tr>
      <w:tr>
        <w:trPr>
          <w:trHeight w:val="191"/>
        </w:trPr>
        <w:tc>
          <w:tcPr>
            <w:tcW w:w="2620" w:type="dxa"/>
            <w:vAlign w:val="bottom"/>
            <w:gridSpan w:val="2"/>
          </w:tcPr>
          <w:p>
            <w:pPr>
              <w:ind w:left="20"/>
              <w:spacing w:after="0"/>
              <w:rPr>
                <w:sz w:val="20"/>
                <w:szCs w:val="20"/>
                <w:color w:val="auto"/>
              </w:rPr>
            </w:pPr>
            <w:r>
              <w:rPr>
                <w:rFonts w:ascii="Arial" w:cs="Arial" w:eastAsia="Arial" w:hAnsi="Arial"/>
                <w:sz w:val="14"/>
                <w:szCs w:val="14"/>
                <w:b w:val="1"/>
                <w:bCs w:val="1"/>
                <w:color w:val="auto"/>
              </w:rPr>
              <w:t>Embedded Derivatives</w:t>
            </w: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2540" w:type="dxa"/>
            <w:vAlign w:val="bottom"/>
            <w:shd w:val="clear" w:color="auto" w:fill="CCEEFF"/>
          </w:tcPr>
          <w:p>
            <w:pPr>
              <w:spacing w:after="0"/>
              <w:rPr>
                <w:sz w:val="11"/>
                <w:szCs w:val="11"/>
                <w:color w:val="auto"/>
              </w:rPr>
            </w:pPr>
          </w:p>
        </w:tc>
        <w:tc>
          <w:tcPr>
            <w:tcW w:w="80" w:type="dxa"/>
            <w:vAlign w:val="bottom"/>
            <w:shd w:val="clear" w:color="auto" w:fill="CCEEFF"/>
          </w:tcPr>
          <w:p>
            <w:pPr>
              <w:ind w:left="20"/>
              <w:spacing w:after="0" w:line="127" w:lineRule="exact"/>
              <w:rPr>
                <w:sz w:val="20"/>
                <w:szCs w:val="20"/>
                <w:color w:val="auto"/>
              </w:rPr>
            </w:pPr>
            <w:r>
              <w:rPr>
                <w:rFonts w:ascii="Arial" w:cs="Arial" w:eastAsia="Arial" w:hAnsi="Arial"/>
                <w:sz w:val="12"/>
                <w:szCs w:val="12"/>
                <w:color w:val="auto"/>
                <w:w w:val="94"/>
              </w:rPr>
              <w:t>•</w:t>
            </w:r>
          </w:p>
        </w:tc>
        <w:tc>
          <w:tcPr>
            <w:tcW w:w="1500" w:type="dxa"/>
            <w:vAlign w:val="bottom"/>
            <w:gridSpan w:val="2"/>
            <w:shd w:val="clear" w:color="auto" w:fill="CCEEFF"/>
          </w:tcPr>
          <w:p>
            <w:pPr>
              <w:jc w:val="right"/>
              <w:ind w:right="660"/>
              <w:spacing w:after="0" w:line="127" w:lineRule="exact"/>
              <w:rPr>
                <w:sz w:val="20"/>
                <w:szCs w:val="20"/>
                <w:color w:val="auto"/>
              </w:rPr>
            </w:pPr>
            <w:r>
              <w:rPr>
                <w:rFonts w:ascii="Arial" w:cs="Arial" w:eastAsia="Arial" w:hAnsi="Arial"/>
                <w:sz w:val="12"/>
                <w:szCs w:val="12"/>
                <w:color w:val="auto"/>
              </w:rPr>
              <w:t>Option pricing</w:t>
            </w:r>
          </w:p>
        </w:tc>
        <w:tc>
          <w:tcPr>
            <w:tcW w:w="12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Index-linked annuity crediting rates</w:t>
            </w:r>
          </w:p>
        </w:tc>
        <w:tc>
          <w:tcPr>
            <w:tcW w:w="1500" w:type="dxa"/>
            <w:vAlign w:val="bottom"/>
            <w:gridSpan w:val="2"/>
            <w:shd w:val="clear" w:color="auto" w:fill="CCEEFF"/>
          </w:tcPr>
          <w:p>
            <w:pPr>
              <w:ind w:left="260"/>
              <w:spacing w:after="0"/>
              <w:rPr>
                <w:sz w:val="20"/>
                <w:szCs w:val="20"/>
                <w:color w:val="auto"/>
              </w:rPr>
            </w:pPr>
            <w:r>
              <w:rPr>
                <w:rFonts w:ascii="Arial" w:cs="Arial" w:eastAsia="Arial" w:hAnsi="Arial"/>
                <w:sz w:val="12"/>
                <w:szCs w:val="12"/>
                <w:color w:val="auto"/>
              </w:rPr>
              <w:t>techniques</w:t>
            </w: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Mortality rates</w:t>
            </w:r>
          </w:p>
        </w:tc>
        <w:tc>
          <w:tcPr>
            <w:tcW w:w="660" w:type="dxa"/>
            <w:vAlign w:val="bottom"/>
            <w:shd w:val="clear" w:color="auto" w:fill="CCEEFF"/>
          </w:tcPr>
          <w:p>
            <w:pPr>
              <w:jc w:val="center"/>
              <w:ind w:left="78"/>
              <w:spacing w:after="0"/>
              <w:rPr>
                <w:sz w:val="20"/>
                <w:szCs w:val="20"/>
                <w:color w:val="auto"/>
              </w:rPr>
            </w:pPr>
            <w:r>
              <w:rPr>
                <w:rFonts w:ascii="Arial" w:cs="Arial" w:eastAsia="Arial" w:hAnsi="Arial"/>
                <w:sz w:val="12"/>
                <w:szCs w:val="12"/>
                <w:color w:val="auto"/>
                <w:w w:val="93"/>
              </w:rPr>
              <w:t>0.03%</w:t>
            </w: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660" w:type="dxa"/>
            <w:vAlign w:val="bottom"/>
            <w:shd w:val="clear" w:color="auto" w:fill="CCEEFF"/>
          </w:tcPr>
          <w:p>
            <w:pPr>
              <w:jc w:val="center"/>
              <w:ind w:right="118"/>
              <w:spacing w:after="0"/>
              <w:rPr>
                <w:sz w:val="20"/>
                <w:szCs w:val="20"/>
                <w:color w:val="auto"/>
              </w:rPr>
            </w:pPr>
            <w:r>
              <w:rPr>
                <w:rFonts w:ascii="Arial" w:cs="Arial" w:eastAsia="Arial" w:hAnsi="Arial"/>
                <w:sz w:val="12"/>
                <w:szCs w:val="12"/>
                <w:color w:val="auto"/>
                <w:w w:val="93"/>
              </w:rPr>
              <w:t>9.24%</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center"/>
              <w:ind w:left="58"/>
              <w:spacing w:after="0"/>
              <w:rPr>
                <w:sz w:val="20"/>
                <w:szCs w:val="20"/>
                <w:color w:val="auto"/>
              </w:rPr>
            </w:pPr>
            <w:r>
              <w:rPr>
                <w:rFonts w:ascii="Arial" w:cs="Arial" w:eastAsia="Arial" w:hAnsi="Arial"/>
                <w:sz w:val="12"/>
                <w:szCs w:val="12"/>
                <w:color w:val="auto"/>
                <w:w w:val="93"/>
              </w:rPr>
              <w:t>0.03%</w:t>
            </w: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680" w:type="dxa"/>
            <w:vAlign w:val="bottom"/>
            <w:shd w:val="clear" w:color="auto" w:fill="CCEEFF"/>
          </w:tcPr>
          <w:p>
            <w:pPr>
              <w:jc w:val="center"/>
              <w:ind w:right="98"/>
              <w:spacing w:after="0"/>
              <w:rPr>
                <w:sz w:val="20"/>
                <w:szCs w:val="20"/>
                <w:color w:val="auto"/>
              </w:rPr>
            </w:pPr>
            <w:r>
              <w:rPr>
                <w:rFonts w:ascii="Arial" w:cs="Arial" w:eastAsia="Arial" w:hAnsi="Arial"/>
                <w:sz w:val="12"/>
                <w:szCs w:val="12"/>
                <w:color w:val="auto"/>
                <w:w w:val="93"/>
              </w:rPr>
              <w:t>9.24%</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2"/>
              </w:rPr>
              <w:t>Decrease (1)</w:t>
            </w:r>
          </w:p>
        </w:tc>
        <w:tc>
          <w:tcPr>
            <w:tcW w:w="0" w:type="dxa"/>
            <w:vAlign w:val="bottom"/>
          </w:tcPr>
          <w:p>
            <w:pPr>
              <w:spacing w:after="0"/>
              <w:rPr>
                <w:sz w:val="1"/>
                <w:szCs w:val="1"/>
                <w:color w:val="auto"/>
              </w:rPr>
            </w:pPr>
          </w:p>
        </w:tc>
      </w:tr>
      <w:tr>
        <w:trPr>
          <w:trHeight w:val="164"/>
        </w:trPr>
        <w:tc>
          <w:tcPr>
            <w:tcW w:w="2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1740" w:type="dxa"/>
            <w:vAlign w:val="bottom"/>
            <w:gridSpan w:val="2"/>
          </w:tcPr>
          <w:p>
            <w:pPr>
              <w:ind w:left="60"/>
              <w:spacing w:after="0"/>
              <w:rPr>
                <w:sz w:val="20"/>
                <w:szCs w:val="20"/>
                <w:color w:val="auto"/>
              </w:rPr>
            </w:pPr>
            <w:r>
              <w:rPr>
                <w:rFonts w:ascii="Arial" w:cs="Arial" w:eastAsia="Arial" w:hAnsi="Arial"/>
                <w:sz w:val="12"/>
                <w:szCs w:val="12"/>
                <w:color w:val="auto"/>
              </w:rPr>
              <w:t>Lapse rates</w:t>
            </w:r>
          </w:p>
        </w:tc>
        <w:tc>
          <w:tcPr>
            <w:tcW w:w="660" w:type="dxa"/>
            <w:vAlign w:val="bottom"/>
          </w:tcPr>
          <w:p>
            <w:pPr>
              <w:jc w:val="center"/>
              <w:ind w:left="78"/>
              <w:spacing w:after="0"/>
              <w:rPr>
                <w:sz w:val="20"/>
                <w:szCs w:val="20"/>
                <w:color w:val="auto"/>
              </w:rPr>
            </w:pPr>
            <w:r>
              <w:rPr>
                <w:rFonts w:ascii="Arial" w:cs="Arial" w:eastAsia="Arial" w:hAnsi="Arial"/>
                <w:sz w:val="12"/>
                <w:szCs w:val="12"/>
                <w:color w:val="auto"/>
                <w:w w:val="93"/>
              </w:rPr>
              <w:t>1.00%</w:t>
            </w:r>
          </w:p>
        </w:tc>
        <w:tc>
          <w:tcPr>
            <w:tcW w:w="48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60" w:type="dxa"/>
            <w:vAlign w:val="bottom"/>
          </w:tcPr>
          <w:p>
            <w:pPr>
              <w:jc w:val="center"/>
              <w:ind w:right="98"/>
              <w:spacing w:after="0"/>
              <w:rPr>
                <w:sz w:val="20"/>
                <w:szCs w:val="20"/>
                <w:color w:val="auto"/>
              </w:rPr>
            </w:pPr>
            <w:r>
              <w:rPr>
                <w:rFonts w:ascii="Arial" w:cs="Arial" w:eastAsia="Arial" w:hAnsi="Arial"/>
                <w:sz w:val="12"/>
                <w:szCs w:val="12"/>
                <w:color w:val="auto"/>
                <w:w w:val="93"/>
              </w:rPr>
              <w:t>62.30%</w:t>
            </w:r>
          </w:p>
        </w:tc>
        <w:tc>
          <w:tcPr>
            <w:tcW w:w="100" w:type="dxa"/>
            <w:vAlign w:val="bottom"/>
          </w:tcPr>
          <w:p>
            <w:pPr>
              <w:spacing w:after="0"/>
              <w:rPr>
                <w:sz w:val="14"/>
                <w:szCs w:val="14"/>
                <w:color w:val="auto"/>
              </w:rPr>
            </w:pPr>
          </w:p>
        </w:tc>
        <w:tc>
          <w:tcPr>
            <w:tcW w:w="680" w:type="dxa"/>
            <w:vAlign w:val="bottom"/>
          </w:tcPr>
          <w:p>
            <w:pPr>
              <w:jc w:val="center"/>
              <w:ind w:left="58"/>
              <w:spacing w:after="0"/>
              <w:rPr>
                <w:sz w:val="20"/>
                <w:szCs w:val="20"/>
                <w:color w:val="auto"/>
              </w:rPr>
            </w:pPr>
            <w:r>
              <w:rPr>
                <w:rFonts w:ascii="Arial" w:cs="Arial" w:eastAsia="Arial" w:hAnsi="Arial"/>
                <w:sz w:val="12"/>
                <w:szCs w:val="12"/>
                <w:color w:val="auto"/>
                <w:w w:val="93"/>
              </w:rPr>
              <w:t>1.00%</w:t>
            </w:r>
          </w:p>
        </w:tc>
        <w:tc>
          <w:tcPr>
            <w:tcW w:w="46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80" w:type="dxa"/>
            <w:vAlign w:val="bottom"/>
          </w:tcPr>
          <w:p>
            <w:pPr>
              <w:jc w:val="center"/>
              <w:ind w:right="78"/>
              <w:spacing w:after="0"/>
              <w:rPr>
                <w:sz w:val="20"/>
                <w:szCs w:val="20"/>
                <w:color w:val="auto"/>
              </w:rPr>
            </w:pPr>
            <w:r>
              <w:rPr>
                <w:rFonts w:ascii="Arial" w:cs="Arial" w:eastAsia="Arial" w:hAnsi="Arial"/>
                <w:sz w:val="12"/>
                <w:szCs w:val="12"/>
                <w:color w:val="auto"/>
                <w:w w:val="93"/>
              </w:rPr>
              <w:t>62.30%</w:t>
            </w: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2"/>
                <w:szCs w:val="12"/>
                <w:color w:val="auto"/>
                <w:w w:val="92"/>
              </w:rPr>
              <w:t>Decrease (2)</w:t>
            </w:r>
          </w:p>
        </w:tc>
        <w:tc>
          <w:tcPr>
            <w:tcW w:w="0" w:type="dxa"/>
            <w:vAlign w:val="bottom"/>
          </w:tcPr>
          <w:p>
            <w:pPr>
              <w:spacing w:after="0"/>
              <w:rPr>
                <w:sz w:val="1"/>
                <w:szCs w:val="1"/>
                <w:color w:val="auto"/>
              </w:rPr>
            </w:pPr>
          </w:p>
        </w:tc>
      </w:tr>
      <w:tr>
        <w:trPr>
          <w:trHeight w:val="180"/>
        </w:trPr>
        <w:tc>
          <w:tcPr>
            <w:tcW w:w="2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7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Withdrawal rates</w:t>
            </w:r>
          </w:p>
        </w:tc>
        <w:tc>
          <w:tcPr>
            <w:tcW w:w="660" w:type="dxa"/>
            <w:vAlign w:val="bottom"/>
            <w:shd w:val="clear" w:color="auto" w:fill="CCEEFF"/>
          </w:tcPr>
          <w:p>
            <w:pPr>
              <w:jc w:val="center"/>
              <w:ind w:left="78"/>
              <w:spacing w:after="0"/>
              <w:rPr>
                <w:sz w:val="20"/>
                <w:szCs w:val="20"/>
                <w:color w:val="auto"/>
              </w:rPr>
            </w:pPr>
            <w:r>
              <w:rPr>
                <w:rFonts w:ascii="Arial" w:cs="Arial" w:eastAsia="Arial" w:hAnsi="Arial"/>
                <w:sz w:val="12"/>
                <w:szCs w:val="12"/>
                <w:color w:val="auto"/>
                <w:w w:val="93"/>
              </w:rPr>
              <w:t>0.50%</w:t>
            </w:r>
          </w:p>
        </w:tc>
        <w:tc>
          <w:tcPr>
            <w:tcW w:w="4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660" w:type="dxa"/>
            <w:vAlign w:val="bottom"/>
            <w:shd w:val="clear" w:color="auto" w:fill="CCEEFF"/>
          </w:tcPr>
          <w:p>
            <w:pPr>
              <w:jc w:val="center"/>
              <w:ind w:right="118"/>
              <w:spacing w:after="0"/>
              <w:rPr>
                <w:sz w:val="20"/>
                <w:szCs w:val="20"/>
                <w:color w:val="auto"/>
              </w:rPr>
            </w:pPr>
            <w:r>
              <w:rPr>
                <w:rFonts w:ascii="Arial" w:cs="Arial" w:eastAsia="Arial" w:hAnsi="Arial"/>
                <w:sz w:val="12"/>
                <w:szCs w:val="12"/>
                <w:color w:val="auto"/>
                <w:w w:val="93"/>
              </w:rPr>
              <w:t>9.00%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center"/>
              <w:ind w:left="58"/>
              <w:spacing w:after="0"/>
              <w:rPr>
                <w:sz w:val="20"/>
                <w:szCs w:val="20"/>
                <w:color w:val="auto"/>
              </w:rPr>
            </w:pPr>
            <w:r>
              <w:rPr>
                <w:rFonts w:ascii="Arial" w:cs="Arial" w:eastAsia="Arial" w:hAnsi="Arial"/>
                <w:sz w:val="12"/>
                <w:szCs w:val="12"/>
                <w:color w:val="auto"/>
                <w:w w:val="93"/>
              </w:rPr>
              <w:t>0.50%</w:t>
            </w:r>
          </w:p>
        </w:tc>
        <w:tc>
          <w:tcPr>
            <w:tcW w:w="4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680" w:type="dxa"/>
            <w:vAlign w:val="bottom"/>
            <w:shd w:val="clear" w:color="auto" w:fill="CCEEFF"/>
          </w:tcPr>
          <w:p>
            <w:pPr>
              <w:jc w:val="center"/>
              <w:ind w:right="98"/>
              <w:spacing w:after="0"/>
              <w:rPr>
                <w:sz w:val="20"/>
                <w:szCs w:val="20"/>
                <w:color w:val="auto"/>
              </w:rPr>
            </w:pPr>
            <w:r>
              <w:rPr>
                <w:rFonts w:ascii="Arial" w:cs="Arial" w:eastAsia="Arial" w:hAnsi="Arial"/>
                <w:sz w:val="12"/>
                <w:szCs w:val="12"/>
                <w:color w:val="auto"/>
                <w:w w:val="93"/>
              </w:rPr>
              <w:t>9.00%</w:t>
            </w:r>
          </w:p>
        </w:tc>
        <w:tc>
          <w:tcPr>
            <w:tcW w:w="1540" w:type="dxa"/>
            <w:vAlign w:val="bottom"/>
            <w:gridSpan w:val="2"/>
            <w:shd w:val="clear" w:color="auto" w:fill="CCEEFF"/>
          </w:tcPr>
          <w:p>
            <w:pPr>
              <w:jc w:val="center"/>
              <w:ind w:left="38"/>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56"/>
        </w:trPr>
        <w:tc>
          <w:tcPr>
            <w:tcW w:w="2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1740" w:type="dxa"/>
            <w:vAlign w:val="bottom"/>
            <w:gridSpan w:val="2"/>
          </w:tcPr>
          <w:p>
            <w:pPr>
              <w:ind w:left="60"/>
              <w:spacing w:after="0"/>
              <w:rPr>
                <w:sz w:val="20"/>
                <w:szCs w:val="20"/>
                <w:color w:val="auto"/>
              </w:rPr>
            </w:pPr>
            <w:r>
              <w:rPr>
                <w:rFonts w:ascii="Arial" w:cs="Arial" w:eastAsia="Arial" w:hAnsi="Arial"/>
                <w:sz w:val="12"/>
                <w:szCs w:val="12"/>
                <w:color w:val="auto"/>
              </w:rPr>
              <w:t>Nonperformance risk spread</w:t>
            </w:r>
          </w:p>
        </w:tc>
        <w:tc>
          <w:tcPr>
            <w:tcW w:w="660" w:type="dxa"/>
            <w:vAlign w:val="bottom"/>
          </w:tcPr>
          <w:p>
            <w:pPr>
              <w:jc w:val="center"/>
              <w:ind w:left="78"/>
              <w:spacing w:after="0"/>
              <w:rPr>
                <w:sz w:val="20"/>
                <w:szCs w:val="20"/>
                <w:color w:val="auto"/>
              </w:rPr>
            </w:pPr>
            <w:r>
              <w:rPr>
                <w:rFonts w:ascii="Arial" w:cs="Arial" w:eastAsia="Arial" w:hAnsi="Arial"/>
                <w:sz w:val="12"/>
                <w:szCs w:val="12"/>
                <w:color w:val="auto"/>
                <w:w w:val="93"/>
              </w:rPr>
              <w:t>0.73%</w:t>
            </w:r>
          </w:p>
        </w:tc>
        <w:tc>
          <w:tcPr>
            <w:tcW w:w="48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60" w:type="dxa"/>
            <w:vAlign w:val="bottom"/>
          </w:tcPr>
          <w:p>
            <w:pPr>
              <w:jc w:val="center"/>
              <w:ind w:right="118"/>
              <w:spacing w:after="0"/>
              <w:rPr>
                <w:sz w:val="20"/>
                <w:szCs w:val="20"/>
                <w:color w:val="auto"/>
              </w:rPr>
            </w:pPr>
            <w:r>
              <w:rPr>
                <w:rFonts w:ascii="Arial" w:cs="Arial" w:eastAsia="Arial" w:hAnsi="Arial"/>
                <w:sz w:val="12"/>
                <w:szCs w:val="12"/>
                <w:color w:val="auto"/>
                <w:w w:val="93"/>
              </w:rPr>
              <w:t>2.12%</w:t>
            </w:r>
          </w:p>
        </w:tc>
        <w:tc>
          <w:tcPr>
            <w:tcW w:w="100" w:type="dxa"/>
            <w:vAlign w:val="bottom"/>
          </w:tcPr>
          <w:p>
            <w:pPr>
              <w:spacing w:after="0"/>
              <w:rPr>
                <w:sz w:val="13"/>
                <w:szCs w:val="13"/>
                <w:color w:val="auto"/>
              </w:rPr>
            </w:pPr>
          </w:p>
        </w:tc>
        <w:tc>
          <w:tcPr>
            <w:tcW w:w="680" w:type="dxa"/>
            <w:vAlign w:val="bottom"/>
          </w:tcPr>
          <w:p>
            <w:pPr>
              <w:jc w:val="center"/>
              <w:ind w:left="58"/>
              <w:spacing w:after="0"/>
              <w:rPr>
                <w:sz w:val="20"/>
                <w:szCs w:val="20"/>
                <w:color w:val="auto"/>
              </w:rPr>
            </w:pPr>
            <w:r>
              <w:rPr>
                <w:rFonts w:ascii="Arial" w:cs="Arial" w:eastAsia="Arial" w:hAnsi="Arial"/>
                <w:sz w:val="12"/>
                <w:szCs w:val="12"/>
                <w:color w:val="auto"/>
                <w:w w:val="93"/>
              </w:rPr>
              <w:t>0.00%</w:t>
            </w:r>
          </w:p>
        </w:tc>
        <w:tc>
          <w:tcPr>
            <w:tcW w:w="46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680" w:type="dxa"/>
            <w:vAlign w:val="bottom"/>
          </w:tcPr>
          <w:p>
            <w:pPr>
              <w:jc w:val="center"/>
              <w:ind w:right="98"/>
              <w:spacing w:after="0"/>
              <w:rPr>
                <w:sz w:val="20"/>
                <w:szCs w:val="20"/>
                <w:color w:val="auto"/>
              </w:rPr>
            </w:pPr>
            <w:r>
              <w:rPr>
                <w:rFonts w:ascii="Arial" w:cs="Arial" w:eastAsia="Arial" w:hAnsi="Arial"/>
                <w:sz w:val="12"/>
                <w:szCs w:val="12"/>
                <w:color w:val="auto"/>
                <w:w w:val="93"/>
              </w:rPr>
              <w:t>1.98%</w:t>
            </w: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2"/>
                <w:szCs w:val="12"/>
                <w:color w:val="auto"/>
                <w:w w:val="92"/>
              </w:rPr>
              <w:t>Decrease (6)</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line="365" w:lineRule="auto"/>
        <w:tabs>
          <w:tab w:leader="none" w:pos="314" w:val="left"/>
        </w:tabs>
        <w:numPr>
          <w:ilvl w:val="0"/>
          <w:numId w:val="25"/>
        </w:numPr>
        <w:rPr>
          <w:rFonts w:ascii="Arial" w:cs="Arial" w:eastAsia="Arial" w:hAnsi="Arial"/>
          <w:sz w:val="15"/>
          <w:szCs w:val="15"/>
          <w:color w:val="auto"/>
        </w:rPr>
      </w:pPr>
      <w:r>
        <w:rPr>
          <w:rFonts w:ascii="Arial" w:cs="Arial" w:eastAsia="Arial" w:hAnsi="Arial"/>
          <w:sz w:val="15"/>
          <w:szCs w:val="15"/>
          <w:color w:val="auto"/>
        </w:rPr>
        <w:t>Mortality rates vary by age and by demographic characteristics such as gender. The range shown reflects the mortality rate for policyholders between 35 and 90 years old. Mortality rate assumptions are set based on company experience and include an assumption for mortality improvement.</w:t>
      </w:r>
    </w:p>
    <w:p>
      <w:pPr>
        <w:spacing w:after="0" w:line="5" w:lineRule="exact"/>
        <w:rPr>
          <w:rFonts w:ascii="Arial" w:cs="Arial" w:eastAsia="Arial" w:hAnsi="Arial"/>
          <w:sz w:val="15"/>
          <w:szCs w:val="15"/>
          <w:color w:val="auto"/>
        </w:rPr>
      </w:pPr>
    </w:p>
    <w:p>
      <w:pPr>
        <w:jc w:val="both"/>
        <w:ind w:left="320" w:hanging="314"/>
        <w:spacing w:after="0" w:line="250" w:lineRule="auto"/>
        <w:tabs>
          <w:tab w:leader="none" w:pos="31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lapse rate range reflects base lapse rates for major product categories for duration 1-20. Base lapse rates are adjusted at the contract level based on a comparison of the actuarially calculated guaranteed values and the current policyholder account value, as well as other factors, such as the applicability of any surrender charges. For variable annuity guarantees, a dynamic lapse function reduces the base lapse rate when the guaranteed amount is greater than the account value as in-the-money contracts are less likely to lapse. Lapse rates are also generally assumed to be lower in periods when a surrender charge applies.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200" w:lineRule="exact"/>
        <w:rPr>
          <w:sz w:val="20"/>
          <w:szCs w:val="20"/>
          <w:color w:val="auto"/>
        </w:rPr>
      </w:pPr>
    </w:p>
    <w:p>
      <w:pPr>
        <w:spacing w:after="0" w:line="368" w:lineRule="exact"/>
        <w:rPr>
          <w:sz w:val="20"/>
          <w:szCs w:val="20"/>
          <w:color w:val="auto"/>
        </w:rPr>
      </w:pPr>
    </w:p>
    <w:p>
      <w:pPr>
        <w:jc w:val="both"/>
        <w:ind w:left="320" w:hanging="314"/>
        <w:spacing w:after="0" w:line="312" w:lineRule="auto"/>
        <w:tabs>
          <w:tab w:leader="none" w:pos="314"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utilization rate assumption for variable annuity guarantees estimates the percentage of contract holders with a GMIB or lifetime withdrawal benefit who will elect to utilize the benefit upon becoming eligible in a given year. The range shown represents the floor and cap of the GMIB dynamic election rates across varying levels of in-the-money. For lifetime withdrawal guarantee riders, the assumption is that everyone will begin withdrawals once account value reaches zero which is equivalent to a 100% utilization rate. Utilization rates may vary by the type of guarantee, the amount by which the guaranteed amount is greater than the account value, the contract’s withdrawal history and by the age of the policyholder.</w:t>
      </w:r>
    </w:p>
    <w:p>
      <w:pPr>
        <w:spacing w:after="0" w:line="44" w:lineRule="exact"/>
        <w:rPr>
          <w:rFonts w:ascii="Arial" w:cs="Arial" w:eastAsia="Arial" w:hAnsi="Arial"/>
          <w:sz w:val="15"/>
          <w:szCs w:val="15"/>
          <w:color w:val="auto"/>
        </w:rPr>
      </w:pPr>
    </w:p>
    <w:p>
      <w:pPr>
        <w:jc w:val="both"/>
        <w:ind w:left="320" w:hanging="314"/>
        <w:spacing w:after="0" w:line="268" w:lineRule="auto"/>
        <w:tabs>
          <w:tab w:leader="none" w:pos="314"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variable annuity GMWBs, any increase (decrease) in withdrawal rates results in an increase (decrease) in the estimated fair value of the guarantees. For variable annuity GMABs and GMIBs, any increase (decrease) in withdrawal rates results in a decrease (increase) in the estimated fair value.</w:t>
      </w:r>
    </w:p>
    <w:p>
      <w:pPr>
        <w:spacing w:after="0" w:line="74" w:lineRule="exact"/>
        <w:rPr>
          <w:rFonts w:ascii="Arial" w:cs="Arial" w:eastAsia="Arial" w:hAnsi="Arial"/>
          <w:sz w:val="17"/>
          <w:szCs w:val="17"/>
          <w:color w:val="auto"/>
        </w:rPr>
      </w:pPr>
    </w:p>
    <w:p>
      <w:pPr>
        <w:ind w:left="320" w:hanging="314"/>
        <w:spacing w:after="0" w:line="294" w:lineRule="auto"/>
        <w:tabs>
          <w:tab w:leader="none" w:pos="314" w:val="left"/>
        </w:tabs>
        <w:numPr>
          <w:ilvl w:val="0"/>
          <w:numId w:val="26"/>
        </w:numPr>
        <w:rPr>
          <w:rFonts w:ascii="Arial" w:cs="Arial" w:eastAsia="Arial" w:hAnsi="Arial"/>
          <w:sz w:val="17"/>
          <w:szCs w:val="17"/>
          <w:color w:val="auto"/>
        </w:rPr>
      </w:pPr>
      <w:r>
        <w:rPr>
          <w:rFonts w:ascii="Arial" w:cs="Arial" w:eastAsia="Arial" w:hAnsi="Arial"/>
          <w:sz w:val="17"/>
          <w:szCs w:val="17"/>
          <w:color w:val="auto"/>
        </w:rPr>
        <w:t>Long-term equity volatilities represent equity volatility beyond the period for which observable equity volatilities are available. For any given contract, long-term equity volatility rates vary throughout the period over which cash flows are projected for purposes of valuing MRBs.</w:t>
      </w:r>
    </w:p>
    <w:p>
      <w:pPr>
        <w:spacing w:after="0" w:line="51" w:lineRule="exact"/>
        <w:rPr>
          <w:rFonts w:ascii="Arial" w:cs="Arial" w:eastAsia="Arial" w:hAnsi="Arial"/>
          <w:sz w:val="17"/>
          <w:szCs w:val="17"/>
          <w:color w:val="auto"/>
        </w:rPr>
      </w:pPr>
    </w:p>
    <w:p>
      <w:pPr>
        <w:ind w:left="320" w:hanging="314"/>
        <w:spacing w:after="0" w:line="264" w:lineRule="auto"/>
        <w:tabs>
          <w:tab w:leader="none" w:pos="3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Nonperformance risk spread varies by duration. For any given contract, multiple nonperformance risk spreads will apply, depending on the duration of the cash flow being discounted for purposes of valuing the MRB or embedded derivative.</w:t>
      </w:r>
    </w:p>
    <w:p>
      <w:pPr>
        <w:spacing w:after="0" w:line="75" w:lineRule="exact"/>
        <w:rPr>
          <w:sz w:val="20"/>
          <w:szCs w:val="20"/>
          <w:color w:val="auto"/>
        </w:rPr>
      </w:pPr>
    </w:p>
    <w:p>
      <w:pPr>
        <w:jc w:val="both"/>
        <w:ind w:left="160" w:firstLine="318"/>
        <w:spacing w:after="0" w:line="318" w:lineRule="auto"/>
        <w:rPr>
          <w:sz w:val="20"/>
          <w:szCs w:val="20"/>
          <w:color w:val="auto"/>
        </w:rPr>
      </w:pPr>
      <w:r>
        <w:rPr>
          <w:rFonts w:ascii="Arial" w:cs="Arial" w:eastAsia="Arial" w:hAnsi="Arial"/>
          <w:sz w:val="15"/>
          <w:szCs w:val="15"/>
          <w:color w:val="auto"/>
        </w:rPr>
        <w:t>The Company does not develop unobservable inputs used in measuring fair value for all other assets and liabilities classified within Level 3; therefore, these are not included in the table above. The other Level 3 assets and liabilities primarily included fixed maturity securities and derivatives. For fixed maturity securities valued based on non-binding broker quotes, an increase (decrease) in credit spreads would result in a higher (lower) fair value. For derivatives valued based on third-party pricing models, an increase (decrease) in credit spreads would generally result in a higher (lower) fair value.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200" w:lineRule="exact"/>
        <w:rPr>
          <w:sz w:val="20"/>
          <w:szCs w:val="20"/>
          <w:color w:val="auto"/>
        </w:rPr>
      </w:pPr>
    </w:p>
    <w:p>
      <w:pPr>
        <w:spacing w:after="0" w:line="368"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The changes in assets and (liabilities) measured at estimated fair value on a recurring basis using significant unobservable inputs (excluding MRBs disclosed in Note 4) were summarized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140" w:type="dxa"/>
            <w:vAlign w:val="bottom"/>
            <w:tcBorders>
              <w:bottom w:val="single" w:sz="8" w:color="auto"/>
            </w:tcBorders>
            <w:gridSpan w:val="14"/>
          </w:tcPr>
          <w:p>
            <w:pPr>
              <w:ind w:left="480"/>
              <w:spacing w:after="0"/>
              <w:rPr>
                <w:sz w:val="20"/>
                <w:szCs w:val="20"/>
                <w:color w:val="auto"/>
              </w:rPr>
            </w:pPr>
            <w:r>
              <w:rPr>
                <w:rFonts w:ascii="Arial" w:cs="Arial" w:eastAsia="Arial" w:hAnsi="Arial"/>
                <w:sz w:val="12"/>
                <w:szCs w:val="12"/>
                <w:b w:val="1"/>
                <w:bCs w:val="1"/>
                <w:color w:val="auto"/>
              </w:rPr>
              <w:t>Fair Value Measurements Using Significant Unobservable Inputs (Level 3)</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right"/>
              <w:spacing w:after="0"/>
              <w:rPr>
                <w:sz w:val="20"/>
                <w:szCs w:val="20"/>
                <w:color w:val="auto"/>
              </w:rPr>
            </w:pPr>
            <w:r>
              <w:rPr>
                <w:rFonts w:ascii="Arial" w:cs="Arial" w:eastAsia="Arial" w:hAnsi="Arial"/>
                <w:sz w:val="12"/>
                <w:szCs w:val="12"/>
                <w:b w:val="1"/>
                <w:bCs w:val="1"/>
                <w:color w:val="auto"/>
              </w:rPr>
              <w:t>Fixed Maturity Securities</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center"/>
              <w:ind w:right="58"/>
              <w:spacing w:after="0" w:line="106" w:lineRule="exact"/>
              <w:rPr>
                <w:sz w:val="20"/>
                <w:szCs w:val="20"/>
                <w:color w:val="auto"/>
              </w:rPr>
            </w:pPr>
            <w:r>
              <w:rPr>
                <w:rFonts w:ascii="Arial" w:cs="Arial" w:eastAsia="Arial" w:hAnsi="Arial"/>
                <w:sz w:val="12"/>
                <w:szCs w:val="12"/>
                <w:b w:val="1"/>
                <w:bCs w:val="1"/>
                <w:color w:val="auto"/>
                <w:w w:val="94"/>
              </w:rPr>
              <w:t>Embedded</w:t>
            </w:r>
          </w:p>
        </w:tc>
        <w:tc>
          <w:tcPr>
            <w:tcW w:w="0" w:type="dxa"/>
            <w:vAlign w:val="bottom"/>
          </w:tcPr>
          <w:p>
            <w:pPr>
              <w:spacing w:after="0"/>
              <w:rPr>
                <w:sz w:val="1"/>
                <w:szCs w:val="1"/>
                <w:color w:val="auto"/>
              </w:rPr>
            </w:pPr>
          </w:p>
        </w:tc>
      </w:tr>
      <w:tr>
        <w:trPr>
          <w:trHeight w:val="128"/>
        </w:trPr>
        <w:tc>
          <w:tcPr>
            <w:tcW w:w="3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5"/>
              </w:rPr>
              <w:t>Structured</w:t>
            </w:r>
          </w:p>
        </w:tc>
        <w:tc>
          <w:tcPr>
            <w:tcW w:w="120" w:type="dxa"/>
            <w:vAlign w:val="bottom"/>
          </w:tcPr>
          <w:p>
            <w:pPr>
              <w:spacing w:after="0"/>
              <w:rPr>
                <w:sz w:val="11"/>
                <w:szCs w:val="11"/>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5"/>
              </w:rPr>
              <w:t>Foreign</w:t>
            </w:r>
          </w:p>
        </w:tc>
        <w:tc>
          <w:tcPr>
            <w:tcW w:w="120" w:type="dxa"/>
            <w:vAlign w:val="bottom"/>
          </w:tcPr>
          <w:p>
            <w:pPr>
              <w:spacing w:after="0"/>
              <w:rPr>
                <w:sz w:val="11"/>
                <w:szCs w:val="11"/>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Equity</w:t>
            </w:r>
          </w:p>
        </w:tc>
        <w:tc>
          <w:tcPr>
            <w:tcW w:w="120" w:type="dxa"/>
            <w:vAlign w:val="bottom"/>
          </w:tcPr>
          <w:p>
            <w:pPr>
              <w:spacing w:after="0"/>
              <w:rPr>
                <w:sz w:val="11"/>
                <w:szCs w:val="11"/>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7"/>
              </w:rPr>
              <w:t>Short-term</w:t>
            </w:r>
          </w:p>
        </w:tc>
        <w:tc>
          <w:tcPr>
            <w:tcW w:w="120" w:type="dxa"/>
            <w:vAlign w:val="bottom"/>
          </w:tcPr>
          <w:p>
            <w:pPr>
              <w:spacing w:after="0"/>
              <w:rPr>
                <w:sz w:val="11"/>
                <w:szCs w:val="11"/>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2"/>
              </w:rPr>
              <w:t>Net</w:t>
            </w:r>
          </w:p>
        </w:tc>
        <w:tc>
          <w:tcPr>
            <w:tcW w:w="120" w:type="dxa"/>
            <w:vAlign w:val="bottom"/>
          </w:tcPr>
          <w:p>
            <w:pPr>
              <w:spacing w:after="0"/>
              <w:rPr>
                <w:sz w:val="11"/>
                <w:szCs w:val="11"/>
                <w:color w:val="auto"/>
              </w:rPr>
            </w:pPr>
          </w:p>
        </w:tc>
        <w:tc>
          <w:tcPr>
            <w:tcW w:w="940" w:type="dxa"/>
            <w:vAlign w:val="bottom"/>
          </w:tcPr>
          <w:p>
            <w:pPr>
              <w:jc w:val="center"/>
              <w:ind w:right="38"/>
              <w:spacing w:after="0" w:line="128" w:lineRule="exact"/>
              <w:rPr>
                <w:sz w:val="20"/>
                <w:szCs w:val="20"/>
                <w:color w:val="auto"/>
              </w:rPr>
            </w:pPr>
            <w:r>
              <w:rPr>
                <w:rFonts w:ascii="Arial" w:cs="Arial" w:eastAsia="Arial" w:hAnsi="Arial"/>
                <w:sz w:val="12"/>
                <w:szCs w:val="12"/>
                <w:b w:val="1"/>
                <w:bCs w:val="1"/>
                <w:color w:val="auto"/>
                <w:w w:val="92"/>
              </w:rPr>
              <w:t>Derivatives on</w:t>
            </w:r>
          </w:p>
        </w:tc>
        <w:tc>
          <w:tcPr>
            <w:tcW w:w="0" w:type="dxa"/>
            <w:vAlign w:val="bottom"/>
          </w:tcPr>
          <w:p>
            <w:pPr>
              <w:spacing w:after="0"/>
              <w:rPr>
                <w:sz w:val="1"/>
                <w:szCs w:val="1"/>
                <w:color w:val="auto"/>
              </w:rPr>
            </w:pPr>
          </w:p>
        </w:tc>
      </w:tr>
      <w:tr>
        <w:trPr>
          <w:trHeight w:val="124"/>
        </w:trPr>
        <w:tc>
          <w:tcPr>
            <w:tcW w:w="3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Corporate (1)</w:t>
            </w: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right="38"/>
              <w:spacing w:after="0" w:line="124" w:lineRule="exact"/>
              <w:rPr>
                <w:sz w:val="20"/>
                <w:szCs w:val="20"/>
                <w:color w:val="auto"/>
              </w:rPr>
            </w:pPr>
            <w:r>
              <w:rPr>
                <w:rFonts w:ascii="Arial" w:cs="Arial" w:eastAsia="Arial" w:hAnsi="Arial"/>
                <w:sz w:val="12"/>
                <w:szCs w:val="12"/>
                <w:b w:val="1"/>
                <w:bCs w:val="1"/>
                <w:color w:val="auto"/>
                <w:w w:val="97"/>
              </w:rPr>
              <w:t>Index-Linked</w:t>
            </w:r>
          </w:p>
        </w:tc>
        <w:tc>
          <w:tcPr>
            <w:tcW w:w="0" w:type="dxa"/>
            <w:vAlign w:val="bottom"/>
          </w:tcPr>
          <w:p>
            <w:pPr>
              <w:spacing w:after="0"/>
              <w:rPr>
                <w:sz w:val="1"/>
                <w:szCs w:val="1"/>
                <w:color w:val="auto"/>
              </w:rPr>
            </w:pPr>
          </w:p>
        </w:tc>
      </w:tr>
      <w:tr>
        <w:trPr>
          <w:trHeight w:val="166"/>
        </w:trPr>
        <w:tc>
          <w:tcPr>
            <w:tcW w:w="3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0"/>
              </w:rPr>
              <w:t>Securities</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3"/>
              </w:rPr>
              <w:t>Government</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Securities</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1"/>
              </w:rPr>
              <w:t>Investments</w:t>
            </w: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5"/>
              </w:rPr>
              <w:t>Derivatives (2)</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58"/>
              <w:spacing w:after="0"/>
              <w:rPr>
                <w:sz w:val="20"/>
                <w:szCs w:val="20"/>
                <w:color w:val="auto"/>
              </w:rPr>
            </w:pPr>
            <w:r>
              <w:rPr>
                <w:rFonts w:ascii="Arial" w:cs="Arial" w:eastAsia="Arial" w:hAnsi="Arial"/>
                <w:sz w:val="12"/>
                <w:szCs w:val="12"/>
                <w:b w:val="1"/>
                <w:bCs w:val="1"/>
                <w:color w:val="auto"/>
                <w:w w:val="91"/>
              </w:rPr>
              <w:t>Annuities</w:t>
            </w:r>
          </w:p>
        </w:tc>
        <w:tc>
          <w:tcPr>
            <w:tcW w:w="0" w:type="dxa"/>
            <w:vAlign w:val="bottom"/>
          </w:tcPr>
          <w:p>
            <w:pPr>
              <w:spacing w:after="0"/>
              <w:rPr>
                <w:sz w:val="1"/>
                <w:szCs w:val="1"/>
                <w:color w:val="auto"/>
              </w:rPr>
            </w:pPr>
          </w:p>
        </w:tc>
      </w:tr>
      <w:tr>
        <w:trPr>
          <w:trHeight w:val="165"/>
        </w:trPr>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(In millions)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6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Three Months Ended March 31, 2023</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3600" w:type="dxa"/>
            <w:vAlign w:val="bottom"/>
          </w:tcPr>
          <w:p>
            <w:pPr>
              <w:ind w:left="20"/>
              <w:spacing w:after="0"/>
              <w:rPr>
                <w:sz w:val="20"/>
                <w:szCs w:val="20"/>
                <w:color w:val="auto"/>
              </w:rPr>
            </w:pPr>
            <w:r>
              <w:rPr>
                <w:rFonts w:ascii="Arial" w:cs="Arial" w:eastAsia="Arial" w:hAnsi="Arial"/>
                <w:sz w:val="12"/>
                <w:szCs w:val="12"/>
                <w:color w:val="auto"/>
              </w:rPr>
              <w:t>Balance, beginning of period</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1,787</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365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38</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Pr>
          <w:p>
            <w:pPr>
              <w:ind w:left="560"/>
              <w:spacing w:after="0"/>
              <w:rPr>
                <w:sz w:val="20"/>
                <w:szCs w:val="20"/>
                <w:color w:val="auto"/>
              </w:rPr>
            </w:pPr>
            <w:r>
              <w:rPr>
                <w:rFonts w:ascii="Arial" w:cs="Arial" w:eastAsia="Arial" w:hAnsi="Arial"/>
                <w:sz w:val="12"/>
                <w:szCs w:val="12"/>
                <w:color w:val="auto"/>
              </w:rPr>
              <w:t>27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(3,932)</w:t>
            </w:r>
          </w:p>
        </w:tc>
        <w:tc>
          <w:tcPr>
            <w:tcW w:w="0" w:type="dxa"/>
            <w:vAlign w:val="bottom"/>
          </w:tcPr>
          <w:p>
            <w:pPr>
              <w:spacing w:after="0"/>
              <w:rPr>
                <w:sz w:val="1"/>
                <w:szCs w:val="1"/>
                <w:color w:val="auto"/>
              </w:rPr>
            </w:pPr>
          </w:p>
        </w:tc>
      </w:tr>
      <w:tr>
        <w:trPr>
          <w:trHeight w:val="127"/>
        </w:trPr>
        <w:tc>
          <w:tcPr>
            <w:tcW w:w="360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Total realized/unrealized gains (losses) included in net income</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(loss) (3) (4)</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ind w:left="560"/>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(1,090)</w:t>
            </w:r>
          </w:p>
        </w:tc>
        <w:tc>
          <w:tcPr>
            <w:tcW w:w="0" w:type="dxa"/>
            <w:vAlign w:val="bottom"/>
          </w:tcPr>
          <w:p>
            <w:pPr>
              <w:spacing w:after="0"/>
              <w:rPr>
                <w:sz w:val="1"/>
                <w:szCs w:val="1"/>
                <w:color w:val="auto"/>
              </w:rPr>
            </w:pPr>
          </w:p>
        </w:tc>
      </w:tr>
      <w:tr>
        <w:trPr>
          <w:trHeight w:val="164"/>
        </w:trPr>
        <w:tc>
          <w:tcPr>
            <w:tcW w:w="3600" w:type="dxa"/>
            <w:vAlign w:val="bottom"/>
          </w:tcPr>
          <w:p>
            <w:pPr>
              <w:ind w:left="20"/>
              <w:spacing w:after="0"/>
              <w:rPr>
                <w:sz w:val="20"/>
                <w:szCs w:val="20"/>
                <w:color w:val="auto"/>
              </w:rPr>
            </w:pPr>
            <w:r>
              <w:rPr>
                <w:rFonts w:ascii="Arial" w:cs="Arial" w:eastAsia="Arial" w:hAnsi="Arial"/>
                <w:sz w:val="12"/>
                <w:szCs w:val="12"/>
                <w:color w:val="auto"/>
              </w:rPr>
              <w:t>Total realized/unrealized gains (losses) included in AOCI</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3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Purchases (5)</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3600" w:type="dxa"/>
            <w:vAlign w:val="bottom"/>
          </w:tcPr>
          <w:p>
            <w:pPr>
              <w:ind w:left="20"/>
              <w:spacing w:after="0"/>
              <w:rPr>
                <w:sz w:val="20"/>
                <w:szCs w:val="20"/>
                <w:color w:val="auto"/>
              </w:rPr>
            </w:pPr>
            <w:r>
              <w:rPr>
                <w:rFonts w:ascii="Arial" w:cs="Arial" w:eastAsia="Arial" w:hAnsi="Arial"/>
                <w:sz w:val="12"/>
                <w:szCs w:val="12"/>
                <w:color w:val="auto"/>
              </w:rPr>
              <w:t>Sales (5)</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3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Issuances (5)</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3600" w:type="dxa"/>
            <w:vAlign w:val="bottom"/>
          </w:tcPr>
          <w:p>
            <w:pPr>
              <w:ind w:left="20"/>
              <w:spacing w:after="0"/>
              <w:rPr>
                <w:sz w:val="20"/>
                <w:szCs w:val="20"/>
                <w:color w:val="auto"/>
              </w:rPr>
            </w:pPr>
            <w:r>
              <w:rPr>
                <w:rFonts w:ascii="Arial" w:cs="Arial" w:eastAsia="Arial" w:hAnsi="Arial"/>
                <w:sz w:val="12"/>
                <w:szCs w:val="12"/>
                <w:color w:val="auto"/>
              </w:rPr>
              <w:t>Settlements (5)</w:t>
            </w:r>
          </w:p>
        </w:tc>
        <w:tc>
          <w:tcPr>
            <w:tcW w:w="1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(142)</w:t>
            </w:r>
          </w:p>
        </w:tc>
        <w:tc>
          <w:tcPr>
            <w:tcW w:w="0" w:type="dxa"/>
            <w:vAlign w:val="bottom"/>
          </w:tcPr>
          <w:p>
            <w:pPr>
              <w:spacing w:after="0"/>
              <w:rPr>
                <w:sz w:val="1"/>
                <w:szCs w:val="1"/>
                <w:color w:val="auto"/>
              </w:rPr>
            </w:pPr>
          </w:p>
        </w:tc>
      </w:tr>
      <w:tr>
        <w:trPr>
          <w:trHeight w:val="180"/>
        </w:trPr>
        <w:tc>
          <w:tcPr>
            <w:tcW w:w="3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Transfers into Level 3 (6)</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3600" w:type="dxa"/>
            <w:vAlign w:val="bottom"/>
          </w:tcPr>
          <w:p>
            <w:pPr>
              <w:ind w:left="20"/>
              <w:spacing w:after="0"/>
              <w:rPr>
                <w:sz w:val="20"/>
                <w:szCs w:val="20"/>
                <w:color w:val="auto"/>
              </w:rPr>
            </w:pPr>
            <w:r>
              <w:rPr>
                <w:rFonts w:ascii="Arial" w:cs="Arial" w:eastAsia="Arial" w:hAnsi="Arial"/>
                <w:sz w:val="12"/>
                <w:szCs w:val="12"/>
                <w:color w:val="auto"/>
              </w:rPr>
              <w:t>Transfers out of Level 3 (6)</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97"/>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1,936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2"/>
                <w:szCs w:val="12"/>
                <w:color w:val="auto"/>
              </w:rPr>
              <w:t>25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(5,164)</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b w:val="1"/>
                <w:bCs w:val="1"/>
                <w:color w:val="auto"/>
              </w:rPr>
              <w:t>Three Months Ended March 31, 2022</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6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3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1,399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ind w:left="560"/>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(6,641)</w:t>
            </w:r>
          </w:p>
        </w:tc>
        <w:tc>
          <w:tcPr>
            <w:tcW w:w="0" w:type="dxa"/>
            <w:vAlign w:val="bottom"/>
          </w:tcPr>
          <w:p>
            <w:pPr>
              <w:spacing w:after="0"/>
              <w:rPr>
                <w:sz w:val="1"/>
                <w:szCs w:val="1"/>
                <w:color w:val="auto"/>
              </w:rPr>
            </w:pPr>
          </w:p>
        </w:tc>
      </w:tr>
      <w:tr>
        <w:trPr>
          <w:trHeight w:val="119"/>
        </w:trPr>
        <w:tc>
          <w:tcPr>
            <w:tcW w:w="3600" w:type="dxa"/>
            <w:vAlign w:val="bottom"/>
          </w:tcPr>
          <w:p>
            <w:pPr>
              <w:ind w:left="20"/>
              <w:spacing w:after="0" w:line="120" w:lineRule="exact"/>
              <w:rPr>
                <w:sz w:val="20"/>
                <w:szCs w:val="20"/>
                <w:color w:val="auto"/>
              </w:rPr>
            </w:pPr>
            <w:r>
              <w:rPr>
                <w:rFonts w:ascii="Arial" w:cs="Arial" w:eastAsia="Arial" w:hAnsi="Arial"/>
                <w:sz w:val="12"/>
                <w:szCs w:val="12"/>
                <w:color w:val="auto"/>
              </w:rPr>
              <w:t>Total realized/unrealized gains (losses) included in net income</w:t>
            </w: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3600" w:type="dxa"/>
            <w:vAlign w:val="bottom"/>
          </w:tcPr>
          <w:p>
            <w:pPr>
              <w:ind w:left="180"/>
              <w:spacing w:after="0"/>
              <w:rPr>
                <w:sz w:val="20"/>
                <w:szCs w:val="20"/>
                <w:color w:val="auto"/>
              </w:rPr>
            </w:pPr>
            <w:r>
              <w:rPr>
                <w:rFonts w:ascii="Arial" w:cs="Arial" w:eastAsia="Arial" w:hAnsi="Arial"/>
                <w:sz w:val="12"/>
                <w:szCs w:val="12"/>
                <w:color w:val="auto"/>
              </w:rPr>
              <w:t>(loss) (3) (4)</w:t>
            </w: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84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763</w:t>
            </w:r>
          </w:p>
        </w:tc>
        <w:tc>
          <w:tcPr>
            <w:tcW w:w="0" w:type="dxa"/>
            <w:vAlign w:val="bottom"/>
          </w:tcPr>
          <w:p>
            <w:pPr>
              <w:spacing w:after="0"/>
              <w:rPr>
                <w:sz w:val="1"/>
                <w:szCs w:val="1"/>
                <w:color w:val="auto"/>
              </w:rPr>
            </w:pPr>
          </w:p>
        </w:tc>
      </w:tr>
      <w:tr>
        <w:trPr>
          <w:trHeight w:val="181"/>
        </w:trPr>
        <w:tc>
          <w:tcPr>
            <w:tcW w:w="3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realized/unrealized gains (losses) included in AOCI</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3600" w:type="dxa"/>
            <w:vAlign w:val="bottom"/>
          </w:tcPr>
          <w:p>
            <w:pPr>
              <w:ind w:left="20"/>
              <w:spacing w:after="0"/>
              <w:rPr>
                <w:sz w:val="20"/>
                <w:szCs w:val="20"/>
                <w:color w:val="auto"/>
              </w:rPr>
            </w:pPr>
            <w:r>
              <w:rPr>
                <w:rFonts w:ascii="Arial" w:cs="Arial" w:eastAsia="Arial" w:hAnsi="Arial"/>
                <w:sz w:val="12"/>
                <w:szCs w:val="12"/>
                <w:color w:val="auto"/>
              </w:rPr>
              <w:t>Purchases (5)</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3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Sales (5)</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4"/>
        </w:trPr>
        <w:tc>
          <w:tcPr>
            <w:tcW w:w="3600" w:type="dxa"/>
            <w:vAlign w:val="bottom"/>
          </w:tcPr>
          <w:p>
            <w:pPr>
              <w:ind w:left="20"/>
              <w:spacing w:after="0"/>
              <w:rPr>
                <w:sz w:val="20"/>
                <w:szCs w:val="20"/>
                <w:color w:val="auto"/>
              </w:rPr>
            </w:pPr>
            <w:r>
              <w:rPr>
                <w:rFonts w:ascii="Arial" w:cs="Arial" w:eastAsia="Arial" w:hAnsi="Arial"/>
                <w:sz w:val="12"/>
                <w:szCs w:val="12"/>
                <w:color w:val="auto"/>
              </w:rPr>
              <w:t>Issuances (5)</w:t>
            </w:r>
          </w:p>
        </w:tc>
        <w:tc>
          <w:tcPr>
            <w:tcW w:w="1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3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Settlements (5)</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w:t>
            </w:r>
          </w:p>
        </w:tc>
        <w:tc>
          <w:tcPr>
            <w:tcW w:w="0" w:type="dxa"/>
            <w:vAlign w:val="bottom"/>
          </w:tcPr>
          <w:p>
            <w:pPr>
              <w:spacing w:after="0"/>
              <w:rPr>
                <w:sz w:val="1"/>
                <w:szCs w:val="1"/>
                <w:color w:val="auto"/>
              </w:rPr>
            </w:pPr>
          </w:p>
        </w:tc>
      </w:tr>
      <w:tr>
        <w:trPr>
          <w:trHeight w:val="164"/>
        </w:trPr>
        <w:tc>
          <w:tcPr>
            <w:tcW w:w="3600" w:type="dxa"/>
            <w:vAlign w:val="bottom"/>
          </w:tcPr>
          <w:p>
            <w:pPr>
              <w:ind w:left="20"/>
              <w:spacing w:after="0"/>
              <w:rPr>
                <w:sz w:val="20"/>
                <w:szCs w:val="20"/>
                <w:color w:val="auto"/>
              </w:rPr>
            </w:pPr>
            <w:r>
              <w:rPr>
                <w:rFonts w:ascii="Arial" w:cs="Arial" w:eastAsia="Arial" w:hAnsi="Arial"/>
                <w:sz w:val="12"/>
                <w:szCs w:val="12"/>
                <w:color w:val="auto"/>
              </w:rPr>
              <w:t>Transfers into Level 3 (6)</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40" w:type="dxa"/>
            <w:vAlign w:val="bottom"/>
            <w:gridSpan w:val="2"/>
          </w:tcPr>
          <w:p>
            <w:pPr>
              <w:ind w:left="5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80"/>
        </w:trPr>
        <w:tc>
          <w:tcPr>
            <w:tcW w:w="36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Transfers out of Level 3 (6)</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6"/>
        </w:trPr>
        <w:tc>
          <w:tcPr>
            <w:tcW w:w="3600" w:type="dxa"/>
            <w:vAlign w:val="bottom"/>
          </w:tcPr>
          <w:p>
            <w:pPr>
              <w:ind w:left="20"/>
              <w:spacing w:after="0"/>
              <w:rPr>
                <w:sz w:val="20"/>
                <w:szCs w:val="20"/>
                <w:color w:val="auto"/>
              </w:rPr>
            </w:pPr>
            <w:r>
              <w:rPr>
                <w:rFonts w:ascii="Arial" w:cs="Arial" w:eastAsia="Arial" w:hAnsi="Arial"/>
                <w:sz w:val="12"/>
                <w:szCs w:val="12"/>
                <w:color w:val="auto"/>
              </w:rPr>
              <w:t>Balance,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1,618</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194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23</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(5,674)</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3600" w:type="dxa"/>
            <w:vAlign w:val="bottom"/>
            <w:shd w:val="clear" w:color="auto" w:fill="CCEEFF"/>
          </w:tcPr>
          <w:p>
            <w:pPr>
              <w:ind w:left="20"/>
              <w:spacing w:after="0" w:line="86" w:lineRule="exact"/>
              <w:rPr>
                <w:sz w:val="20"/>
                <w:szCs w:val="20"/>
                <w:color w:val="auto"/>
              </w:rPr>
            </w:pPr>
            <w:r>
              <w:rPr>
                <w:rFonts w:ascii="Arial" w:cs="Arial" w:eastAsia="Arial" w:hAnsi="Arial"/>
                <w:sz w:val="9"/>
                <w:szCs w:val="9"/>
                <w:color w:val="auto"/>
              </w:rPr>
              <w:t>Changes in unrealized gains (losses) included in net income (loss) for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7"/>
                <w:szCs w:val="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7"/>
                <w:szCs w:val="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vMerge w:val="restart"/>
            <w:shd w:val="clear" w:color="auto" w:fill="CCEEFF"/>
          </w:tcPr>
          <w:p>
            <w:pPr>
              <w:ind w:left="560"/>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7"/>
                <w:szCs w:val="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(1,166)</w:t>
            </w:r>
          </w:p>
        </w:tc>
        <w:tc>
          <w:tcPr>
            <w:tcW w:w="0" w:type="dxa"/>
            <w:vAlign w:val="bottom"/>
          </w:tcPr>
          <w:p>
            <w:pPr>
              <w:spacing w:after="0"/>
              <w:rPr>
                <w:sz w:val="1"/>
                <w:szCs w:val="1"/>
                <w:color w:val="auto"/>
              </w:rPr>
            </w:pPr>
          </w:p>
        </w:tc>
      </w:tr>
      <w:tr>
        <w:trPr>
          <w:trHeight w:val="178"/>
        </w:trPr>
        <w:tc>
          <w:tcPr>
            <w:tcW w:w="3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the instruments still held at March 31, 2023 (7)</w:t>
            </w:r>
          </w:p>
        </w:tc>
        <w:tc>
          <w:tcPr>
            <w:tcW w:w="140" w:type="dxa"/>
            <w:vAlign w:val="bottom"/>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20"/>
              <w:spacing w:after="0" w:line="107" w:lineRule="exact"/>
              <w:rPr>
                <w:sz w:val="20"/>
                <w:szCs w:val="20"/>
                <w:color w:val="auto"/>
              </w:rPr>
            </w:pPr>
            <w:r>
              <w:rPr>
                <w:rFonts w:ascii="Arial" w:cs="Arial" w:eastAsia="Arial" w:hAnsi="Arial"/>
                <w:sz w:val="12"/>
                <w:szCs w:val="12"/>
                <w:color w:val="auto"/>
              </w:rPr>
              <w:t>Changes in unrealized gains (losses) included in OCI for the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3600" w:type="dxa"/>
            <w:vAlign w:val="bottom"/>
            <w:vMerge w:val="continue"/>
          </w:tcPr>
          <w:p>
            <w:pPr>
              <w:spacing w:after="0"/>
              <w:rPr>
                <w:sz w:val="5"/>
                <w:szCs w:val="5"/>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2"/>
                <w:szCs w:val="12"/>
                <w:color w:val="auto"/>
              </w:rPr>
              <w:t>23</w:t>
            </w:r>
          </w:p>
        </w:tc>
        <w:tc>
          <w:tcPr>
            <w:tcW w:w="120" w:type="dxa"/>
            <w:vAlign w:val="bottom"/>
          </w:tcPr>
          <w:p>
            <w:pPr>
              <w:spacing w:after="0"/>
              <w:rPr>
                <w:sz w:val="5"/>
                <w:szCs w:val="5"/>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5"/>
                <w:szCs w:val="5"/>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5"/>
                <w:szCs w:val="5"/>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gridSpan w:val="2"/>
            <w:vMerge w:val="restart"/>
          </w:tcPr>
          <w:p>
            <w:pPr>
              <w:ind w:left="56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5"/>
                <w:szCs w:val="5"/>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3600" w:type="dxa"/>
            <w:vAlign w:val="bottom"/>
          </w:tcPr>
          <w:p>
            <w:pPr>
              <w:ind w:left="180"/>
              <w:spacing w:after="0"/>
              <w:rPr>
                <w:sz w:val="20"/>
                <w:szCs w:val="20"/>
                <w:color w:val="auto"/>
              </w:rPr>
            </w:pPr>
            <w:r>
              <w:rPr>
                <w:rFonts w:ascii="Arial" w:cs="Arial" w:eastAsia="Arial" w:hAnsi="Arial"/>
                <w:sz w:val="12"/>
                <w:szCs w:val="12"/>
                <w:color w:val="auto"/>
              </w:rPr>
              <w:t>instruments still held at March 31, 2023 (7)</w:t>
            </w:r>
          </w:p>
        </w:tc>
        <w:tc>
          <w:tcPr>
            <w:tcW w:w="14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3600" w:type="dxa"/>
            <w:vAlign w:val="bottom"/>
            <w:shd w:val="clear" w:color="auto" w:fill="CCEEFF"/>
          </w:tcPr>
          <w:p>
            <w:pPr>
              <w:ind w:left="20"/>
              <w:spacing w:after="0" w:line="87" w:lineRule="exact"/>
              <w:rPr>
                <w:sz w:val="20"/>
                <w:szCs w:val="20"/>
                <w:color w:val="auto"/>
              </w:rPr>
            </w:pPr>
            <w:r>
              <w:rPr>
                <w:rFonts w:ascii="Arial" w:cs="Arial" w:eastAsia="Arial" w:hAnsi="Arial"/>
                <w:sz w:val="10"/>
                <w:szCs w:val="10"/>
                <w:color w:val="auto"/>
              </w:rPr>
              <w:t>Changes in unrealized gains (losses) included in net income (loss) for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gridSpan w:val="2"/>
            <w:vMerge w:val="restart"/>
            <w:shd w:val="clear" w:color="auto" w:fill="CCEEFF"/>
          </w:tcPr>
          <w:p>
            <w:pPr>
              <w:ind w:left="56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20" w:type="dxa"/>
            <w:vAlign w:val="bottom"/>
            <w:shd w:val="clear" w:color="auto" w:fill="CCEEFF"/>
          </w:tcPr>
          <w:p>
            <w:pPr>
              <w:spacing w:after="0"/>
              <w:rPr>
                <w:sz w:val="7"/>
                <w:szCs w:val="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687</w:t>
            </w:r>
          </w:p>
        </w:tc>
        <w:tc>
          <w:tcPr>
            <w:tcW w:w="0" w:type="dxa"/>
            <w:vAlign w:val="bottom"/>
          </w:tcPr>
          <w:p>
            <w:pPr>
              <w:spacing w:after="0"/>
              <w:rPr>
                <w:sz w:val="1"/>
                <w:szCs w:val="1"/>
                <w:color w:val="auto"/>
              </w:rPr>
            </w:pPr>
          </w:p>
        </w:tc>
      </w:tr>
      <w:tr>
        <w:trPr>
          <w:trHeight w:val="178"/>
        </w:trPr>
        <w:tc>
          <w:tcPr>
            <w:tcW w:w="3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the instruments still held at March 31, 2022 (7)</w:t>
            </w:r>
          </w:p>
        </w:tc>
        <w:tc>
          <w:tcPr>
            <w:tcW w:w="140" w:type="dxa"/>
            <w:vAlign w:val="bottom"/>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20"/>
              <w:spacing w:after="0" w:line="107" w:lineRule="exact"/>
              <w:rPr>
                <w:sz w:val="20"/>
                <w:szCs w:val="20"/>
                <w:color w:val="auto"/>
              </w:rPr>
            </w:pPr>
            <w:r>
              <w:rPr>
                <w:rFonts w:ascii="Arial" w:cs="Arial" w:eastAsia="Arial" w:hAnsi="Arial"/>
                <w:sz w:val="12"/>
                <w:szCs w:val="12"/>
                <w:color w:val="auto"/>
              </w:rPr>
              <w:t>Changes in unrealized gains (losses) included in OCI for the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3600" w:type="dxa"/>
            <w:vAlign w:val="bottom"/>
            <w:vMerge w:val="continue"/>
          </w:tcPr>
          <w:p>
            <w:pPr>
              <w:spacing w:after="0"/>
              <w:rPr>
                <w:sz w:val="5"/>
                <w:szCs w:val="5"/>
                <w:color w:val="auto"/>
              </w:rPr>
            </w:pP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2"/>
                <w:szCs w:val="12"/>
                <w:color w:val="auto"/>
              </w:rPr>
              <w:t>(98)</w:t>
            </w:r>
          </w:p>
        </w:tc>
        <w:tc>
          <w:tcPr>
            <w:tcW w:w="120" w:type="dxa"/>
            <w:vAlign w:val="bottom"/>
          </w:tcPr>
          <w:p>
            <w:pPr>
              <w:spacing w:after="0"/>
              <w:rPr>
                <w:sz w:val="5"/>
                <w:szCs w:val="5"/>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5"/>
                <w:szCs w:val="5"/>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vMerge w:val="restart"/>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5"/>
                <w:szCs w:val="5"/>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gridSpan w:val="2"/>
            <w:vMerge w:val="restart"/>
          </w:tcPr>
          <w:p>
            <w:pPr>
              <w:ind w:left="56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5"/>
                <w:szCs w:val="5"/>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3600" w:type="dxa"/>
            <w:vAlign w:val="bottom"/>
          </w:tcPr>
          <w:p>
            <w:pPr>
              <w:ind w:left="180"/>
              <w:spacing w:after="0"/>
              <w:rPr>
                <w:sz w:val="20"/>
                <w:szCs w:val="20"/>
                <w:color w:val="auto"/>
              </w:rPr>
            </w:pPr>
            <w:r>
              <w:rPr>
                <w:rFonts w:ascii="Arial" w:cs="Arial" w:eastAsia="Arial" w:hAnsi="Arial"/>
                <w:sz w:val="12"/>
                <w:szCs w:val="12"/>
                <w:color w:val="auto"/>
              </w:rPr>
              <w:t>instruments still held at March 31, 2022 (7)</w:t>
            </w:r>
          </w:p>
        </w:tc>
        <w:tc>
          <w:tcPr>
            <w:tcW w:w="14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Comprised of U.S. and foreign corporate securities.</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Freestanding derivative assets and liabilities are reported net for purposes of the rollforward.</w:t>
      </w:r>
    </w:p>
    <w:p>
      <w:pPr>
        <w:spacing w:after="0" w:line="111" w:lineRule="exact"/>
        <w:rPr>
          <w:rFonts w:ascii="Arial" w:cs="Arial" w:eastAsia="Arial" w:hAnsi="Arial"/>
          <w:sz w:val="18"/>
          <w:szCs w:val="18"/>
          <w:color w:val="auto"/>
        </w:rPr>
      </w:pPr>
    </w:p>
    <w:p>
      <w:pPr>
        <w:jc w:val="both"/>
        <w:ind w:left="320" w:hanging="314"/>
        <w:spacing w:after="0" w:line="252" w:lineRule="auto"/>
        <w:tabs>
          <w:tab w:leader="none" w:pos="3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Amortization of premium/accretion of discount is included in net investment income. Changes in the allowance for credit losses and direct write-offs are charged to net income (loss) on securities are included in net investment gains (losses). Lapses associated with net embedded derivatives are included in net derivative gains (losses). Substantially all realized/unrealized gains (losses) included in net income (loss) for net derivatives and net embedded derivatives are reported in net derivative gains (losses).</w:t>
      </w:r>
    </w:p>
    <w:p>
      <w:pPr>
        <w:spacing w:after="0" w:line="84" w:lineRule="exact"/>
        <w:rPr>
          <w:rFonts w:ascii="Arial" w:cs="Arial" w:eastAsia="Arial" w:hAnsi="Arial"/>
          <w:sz w:val="18"/>
          <w:szCs w:val="18"/>
          <w:color w:val="auto"/>
        </w:rPr>
      </w:pPr>
    </w:p>
    <w:p>
      <w:pPr>
        <w:ind w:left="320" w:hanging="314"/>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Interest and dividend accruals, as well as cash interest coupons and dividends received, are excluded from the rollforward.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200" w:lineRule="exact"/>
        <w:rPr>
          <w:sz w:val="20"/>
          <w:szCs w:val="20"/>
          <w:color w:val="auto"/>
        </w:rPr>
      </w:pPr>
    </w:p>
    <w:p>
      <w:pPr>
        <w:spacing w:after="0" w:line="368" w:lineRule="exact"/>
        <w:rPr>
          <w:sz w:val="20"/>
          <w:szCs w:val="20"/>
          <w:color w:val="auto"/>
        </w:rPr>
      </w:pPr>
    </w:p>
    <w:p>
      <w:pPr>
        <w:ind w:left="320" w:hanging="314"/>
        <w:spacing w:after="0" w:line="264" w:lineRule="auto"/>
        <w:tabs>
          <w:tab w:leader="none" w:pos="314"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Items purchased/issued and then sold/settled in the same period are excluded from the rollforward. Fees attributed to embedded derivatives are included in settlements.</w:t>
      </w:r>
    </w:p>
    <w:p>
      <w:pPr>
        <w:spacing w:after="0" w:line="74"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28"/>
        </w:numPr>
        <w:rPr>
          <w:rFonts w:ascii="Arial" w:cs="Arial" w:eastAsia="Arial" w:hAnsi="Arial"/>
          <w:sz w:val="18"/>
          <w:szCs w:val="18"/>
          <w:color w:val="auto"/>
        </w:rPr>
      </w:pPr>
      <w:r>
        <w:rPr>
          <w:rFonts w:ascii="Arial" w:cs="Arial" w:eastAsia="Arial" w:hAnsi="Arial"/>
          <w:sz w:val="18"/>
          <w:szCs w:val="18"/>
          <w:color w:val="auto"/>
        </w:rPr>
        <w:t>Gains and losses, in net income (loss) and OCI, are calculated assuming transfers into and/or out of Level 3 occurred at the beginning of the period. Items transferred into and then out of Level 3 in the same period are excluded from the rollforward.</w:t>
      </w:r>
    </w:p>
    <w:p>
      <w:pPr>
        <w:spacing w:after="0" w:line="74" w:lineRule="exact"/>
        <w:rPr>
          <w:rFonts w:ascii="Arial" w:cs="Arial" w:eastAsia="Arial" w:hAnsi="Arial"/>
          <w:sz w:val="18"/>
          <w:szCs w:val="18"/>
          <w:color w:val="auto"/>
        </w:rPr>
      </w:pPr>
    </w:p>
    <w:p>
      <w:pPr>
        <w:jc w:val="both"/>
        <w:ind w:left="320" w:hanging="314"/>
        <w:spacing w:after="0" w:line="255" w:lineRule="auto"/>
        <w:tabs>
          <w:tab w:leader="none" w:pos="314"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unrealized gains (losses) included in net income (loss) for fixed maturities are reported in either net investment income or net investment gains (losses). Substantially all changes in unrealized gains (losses) included in net income (loss) for net derivatives and net embedded derivatives are reported in net derivative gains (losses).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Carried at Other Than Fair Value</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following tables provide fair value information for financial instruments that are carried on the balance sheet at amounts other than fair value. These tables exclude the following financial instruments: cash and cash equivalents, accrued investment income and payables for collateral under securities loaned and other transactions.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spacing w:after="0" w:line="4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center"/>
              <w:ind w:right="123"/>
              <w:spacing w:after="0"/>
              <w:rPr>
                <w:sz w:val="20"/>
                <w:szCs w:val="20"/>
                <w:color w:val="auto"/>
              </w:rPr>
            </w:pPr>
            <w:r>
              <w:rPr>
                <w:rFonts w:ascii="Arial" w:cs="Arial" w:eastAsia="Arial" w:hAnsi="Arial"/>
                <w:sz w:val="14"/>
                <w:szCs w:val="14"/>
                <w:b w:val="1"/>
                <w:bCs w:val="1"/>
                <w:color w:val="auto"/>
                <w:w w:val="94"/>
              </w:rPr>
              <w:t>March 31, 2023</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Fair Value Hierarchy</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center"/>
              <w:ind w:right="123"/>
              <w:spacing w:after="0" w:line="137"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18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2"/>
                <w:szCs w:val="12"/>
                <w:color w:val="auto"/>
              </w:rPr>
            </w:pPr>
          </w:p>
        </w:tc>
        <w:tc>
          <w:tcPr>
            <w:tcW w:w="98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2"/>
                <w:szCs w:val="12"/>
                <w:color w:val="auto"/>
              </w:rPr>
            </w:pPr>
          </w:p>
        </w:tc>
        <w:tc>
          <w:tcPr>
            <w:tcW w:w="1020" w:type="dxa"/>
            <w:vAlign w:val="bottom"/>
          </w:tcPr>
          <w:p>
            <w:pPr>
              <w:jc w:val="center"/>
              <w:ind w:right="123"/>
              <w:spacing w:after="0" w:line="142"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3"/>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Value</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90"/>
        </w:trPr>
        <w:tc>
          <w:tcPr>
            <w:tcW w:w="4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center"/>
              <w:ind w:right="123"/>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6"/>
                <w:szCs w:val="16"/>
                <w:color w:val="auto"/>
              </w:rPr>
              <w:t>Mortgage loans</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22,823</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21,056</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21,056</w:t>
            </w:r>
          </w:p>
        </w:tc>
        <w:tc>
          <w:tcPr>
            <w:tcW w:w="0" w:type="dxa"/>
            <w:vAlign w:val="bottom"/>
          </w:tcPr>
          <w:p>
            <w:pPr>
              <w:spacing w:after="0"/>
              <w:rPr>
                <w:sz w:val="1"/>
                <w:szCs w:val="1"/>
                <w:color w:val="auto"/>
              </w:rPr>
            </w:pPr>
          </w:p>
        </w:tc>
      </w:tr>
      <w:tr>
        <w:trPr>
          <w:trHeight w:val="228"/>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 loans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1,273</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499</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w:t>
            </w:r>
          </w:p>
        </w:tc>
        <w:tc>
          <w:tcPr>
            <w:tcW w:w="0" w:type="dxa"/>
            <w:vAlign w:val="bottom"/>
          </w:tcPr>
          <w:p>
            <w:pPr>
              <w:spacing w:after="0"/>
              <w:rPr>
                <w:sz w:val="1"/>
                <w:szCs w:val="1"/>
                <w:color w:val="auto"/>
              </w:rPr>
            </w:pPr>
          </w:p>
        </w:tc>
      </w:tr>
      <w:tr>
        <w:trPr>
          <w:trHeight w:val="209"/>
        </w:trPr>
        <w:tc>
          <w:tcPr>
            <w:tcW w:w="4720" w:type="dxa"/>
            <w:vAlign w:val="bottom"/>
          </w:tcPr>
          <w:p>
            <w:pPr>
              <w:ind w:left="20"/>
              <w:spacing w:after="0"/>
              <w:rPr>
                <w:sz w:val="20"/>
                <w:szCs w:val="20"/>
                <w:color w:val="auto"/>
              </w:rPr>
            </w:pPr>
            <w:r>
              <w:rPr>
                <w:rFonts w:ascii="Arial" w:cs="Arial" w:eastAsia="Arial" w:hAnsi="Arial"/>
                <w:sz w:val="16"/>
                <w:szCs w:val="16"/>
                <w:color w:val="auto"/>
              </w:rPr>
              <w:t>Other invested assets</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232</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3"/>
              <w:spacing w:after="0"/>
              <w:rPr>
                <w:sz w:val="20"/>
                <w:szCs w:val="20"/>
                <w:color w:val="auto"/>
              </w:rPr>
            </w:pPr>
            <w:r>
              <w:rPr>
                <w:rFonts w:ascii="Arial" w:cs="Arial" w:eastAsia="Arial" w:hAnsi="Arial"/>
                <w:sz w:val="16"/>
                <w:szCs w:val="16"/>
                <w:color w:val="auto"/>
              </w:rPr>
              <w:t>220</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15"/>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Premiums, reinsurance and other receivables</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6,753</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104</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6,808</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6,912</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Policyholder account balances</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31,509</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30,524</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30,524</w:t>
            </w:r>
          </w:p>
        </w:tc>
        <w:tc>
          <w:tcPr>
            <w:tcW w:w="0" w:type="dxa"/>
            <w:vAlign w:val="bottom"/>
          </w:tcPr>
          <w:p>
            <w:pPr>
              <w:spacing w:after="0"/>
              <w:rPr>
                <w:sz w:val="1"/>
                <w:szCs w:val="1"/>
                <w:color w:val="auto"/>
              </w:rPr>
            </w:pPr>
          </w:p>
        </w:tc>
      </w:tr>
      <w:tr>
        <w:trPr>
          <w:trHeight w:val="209"/>
        </w:trPr>
        <w:tc>
          <w:tcPr>
            <w:tcW w:w="47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3,157</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3"/>
              <w:spacing w:after="0"/>
              <w:rPr>
                <w:sz w:val="20"/>
                <w:szCs w:val="20"/>
                <w:color w:val="auto"/>
              </w:rPr>
            </w:pPr>
            <w:r>
              <w:rPr>
                <w:rFonts w:ascii="Arial" w:cs="Arial" w:eastAsia="Arial" w:hAnsi="Arial"/>
                <w:sz w:val="16"/>
                <w:szCs w:val="16"/>
                <w:color w:val="auto"/>
              </w:rPr>
              <w:t>2,662</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2,662</w:t>
            </w:r>
          </w:p>
        </w:tc>
        <w:tc>
          <w:tcPr>
            <w:tcW w:w="0" w:type="dxa"/>
            <w:vAlign w:val="bottom"/>
          </w:tcPr>
          <w:p>
            <w:pPr>
              <w:spacing w:after="0"/>
              <w:rPr>
                <w:sz w:val="1"/>
                <w:szCs w:val="1"/>
                <w:color w:val="auto"/>
              </w:rPr>
            </w:pPr>
          </w:p>
        </w:tc>
      </w:tr>
      <w:tr>
        <w:trPr>
          <w:trHeight w:val="215"/>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1,042</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346</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w:t>
            </w:r>
          </w:p>
        </w:tc>
        <w:tc>
          <w:tcPr>
            <w:tcW w:w="0" w:type="dxa"/>
            <w:vAlign w:val="bottom"/>
          </w:tcPr>
          <w:p>
            <w:pPr>
              <w:spacing w:after="0"/>
              <w:rPr>
                <w:sz w:val="1"/>
                <w:szCs w:val="1"/>
                <w:color w:val="auto"/>
              </w:rPr>
            </w:pPr>
          </w:p>
        </w:tc>
      </w:tr>
      <w:tr>
        <w:trPr>
          <w:trHeight w:val="207"/>
        </w:trPr>
        <w:tc>
          <w:tcPr>
            <w:tcW w:w="4720" w:type="dxa"/>
            <w:vAlign w:val="bottom"/>
          </w:tcPr>
          <w:p>
            <w:pPr>
              <w:ind w:left="20"/>
              <w:spacing w:after="0"/>
              <w:rPr>
                <w:sz w:val="20"/>
                <w:szCs w:val="20"/>
                <w:color w:val="auto"/>
              </w:rPr>
            </w:pPr>
            <w:r>
              <w:rPr>
                <w:rFonts w:ascii="Arial" w:cs="Arial" w:eastAsia="Arial" w:hAnsi="Arial"/>
                <w:sz w:val="16"/>
                <w:szCs w:val="16"/>
                <w:color w:val="auto"/>
              </w:rPr>
              <w:t>Separate account liabilities</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1,069</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83"/>
              <w:spacing w:after="0"/>
              <w:rPr>
                <w:sz w:val="20"/>
                <w:szCs w:val="20"/>
                <w:color w:val="auto"/>
              </w:rPr>
            </w:pPr>
            <w:r>
              <w:rPr>
                <w:rFonts w:ascii="Arial" w:cs="Arial" w:eastAsia="Arial" w:hAnsi="Arial"/>
                <w:sz w:val="16"/>
                <w:szCs w:val="16"/>
                <w:color w:val="auto"/>
              </w:rPr>
              <w:t>1,069</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 2022</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Fair Value Hierarchy</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4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center"/>
              <w:ind w:right="123"/>
              <w:spacing w:after="0" w:line="137"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2"/>
                <w:szCs w:val="12"/>
                <w:color w:val="auto"/>
              </w:rPr>
            </w:pPr>
          </w:p>
        </w:tc>
        <w:tc>
          <w:tcPr>
            <w:tcW w:w="114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12"/>
                <w:szCs w:val="12"/>
                <w:color w:val="auto"/>
              </w:rPr>
            </w:pPr>
          </w:p>
        </w:tc>
        <w:tc>
          <w:tcPr>
            <w:tcW w:w="98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2"/>
                <w:szCs w:val="12"/>
                <w:color w:val="auto"/>
              </w:rPr>
            </w:pPr>
          </w:p>
        </w:tc>
        <w:tc>
          <w:tcPr>
            <w:tcW w:w="1020" w:type="dxa"/>
            <w:vAlign w:val="bottom"/>
          </w:tcPr>
          <w:p>
            <w:pPr>
              <w:jc w:val="center"/>
              <w:ind w:right="123"/>
              <w:spacing w:after="0" w:line="142"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3"/>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Value</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90"/>
        </w:trPr>
        <w:tc>
          <w:tcPr>
            <w:tcW w:w="4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center"/>
              <w:ind w:right="162"/>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20" w:type="dxa"/>
            <w:vAlign w:val="bottom"/>
          </w:tcPr>
          <w:p>
            <w:pPr>
              <w:ind w:left="20"/>
              <w:spacing w:after="0"/>
              <w:rPr>
                <w:sz w:val="20"/>
                <w:szCs w:val="20"/>
                <w:color w:val="auto"/>
              </w:rPr>
            </w:pPr>
            <w:r>
              <w:rPr>
                <w:rFonts w:ascii="Arial" w:cs="Arial" w:eastAsia="Arial" w:hAnsi="Arial"/>
                <w:sz w:val="16"/>
                <w:szCs w:val="16"/>
                <w:color w:val="auto"/>
              </w:rPr>
              <w:t>Mortgage loans</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82"/>
              <w:spacing w:after="0"/>
              <w:rPr>
                <w:sz w:val="20"/>
                <w:szCs w:val="20"/>
                <w:color w:val="auto"/>
              </w:rPr>
            </w:pPr>
            <w:r>
              <w:rPr>
                <w:rFonts w:ascii="Arial" w:cs="Arial" w:eastAsia="Arial" w:hAnsi="Arial"/>
                <w:sz w:val="16"/>
                <w:szCs w:val="16"/>
                <w:color w:val="auto"/>
              </w:rPr>
              <w:t>22,936</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20,816</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20,816</w:t>
            </w:r>
          </w:p>
        </w:tc>
        <w:tc>
          <w:tcPr>
            <w:tcW w:w="0" w:type="dxa"/>
            <w:vAlign w:val="bottom"/>
          </w:tcPr>
          <w:p>
            <w:pPr>
              <w:spacing w:after="0"/>
              <w:rPr>
                <w:sz w:val="1"/>
                <w:szCs w:val="1"/>
                <w:color w:val="auto"/>
              </w:rPr>
            </w:pPr>
          </w:p>
        </w:tc>
      </w:tr>
      <w:tr>
        <w:trPr>
          <w:trHeight w:val="215"/>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 loans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1,282</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515</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6"/>
                <w:szCs w:val="16"/>
                <w:color w:val="auto"/>
              </w:rPr>
              <w:t>Other invested assets</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82"/>
              <w:spacing w:after="0"/>
              <w:rPr>
                <w:sz w:val="20"/>
                <w:szCs w:val="20"/>
                <w:color w:val="auto"/>
              </w:rPr>
            </w:pPr>
            <w:r>
              <w:rPr>
                <w:rFonts w:ascii="Arial" w:cs="Arial" w:eastAsia="Arial" w:hAnsi="Arial"/>
                <w:sz w:val="16"/>
                <w:szCs w:val="16"/>
                <w:color w:val="auto"/>
              </w:rPr>
              <w:t>213</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201</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Premiums, reinsurance and other receivables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6,080</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89</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6,141</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6,230</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Policyholder account balances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31,887</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30,942</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30,942</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82"/>
              <w:spacing w:after="0"/>
              <w:rPr>
                <w:sz w:val="20"/>
                <w:szCs w:val="20"/>
                <w:color w:val="auto"/>
              </w:rPr>
            </w:pPr>
            <w:r>
              <w:rPr>
                <w:rFonts w:ascii="Arial" w:cs="Arial" w:eastAsia="Arial" w:hAnsi="Arial"/>
                <w:sz w:val="16"/>
                <w:szCs w:val="16"/>
                <w:color w:val="auto"/>
              </w:rPr>
              <w:t>3,156</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2,703</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2,703</w:t>
            </w: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943</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248</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207"/>
        </w:trPr>
        <w:tc>
          <w:tcPr>
            <w:tcW w:w="4720" w:type="dxa"/>
            <w:vAlign w:val="bottom"/>
          </w:tcPr>
          <w:p>
            <w:pPr>
              <w:ind w:left="20"/>
              <w:spacing w:after="0"/>
              <w:rPr>
                <w:sz w:val="20"/>
                <w:szCs w:val="20"/>
                <w:color w:val="auto"/>
              </w:rPr>
            </w:pPr>
            <w:r>
              <w:rPr>
                <w:rFonts w:ascii="Arial" w:cs="Arial" w:eastAsia="Arial" w:hAnsi="Arial"/>
                <w:sz w:val="16"/>
                <w:szCs w:val="16"/>
                <w:color w:val="auto"/>
              </w:rPr>
              <w:t>Separate account liabilities</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82"/>
              <w:spacing w:after="0"/>
              <w:rPr>
                <w:sz w:val="20"/>
                <w:szCs w:val="20"/>
                <w:color w:val="auto"/>
              </w:rPr>
            </w:pPr>
            <w:r>
              <w:rPr>
                <w:rFonts w:ascii="Arial" w:cs="Arial" w:eastAsia="Arial" w:hAnsi="Arial"/>
                <w:sz w:val="16"/>
                <w:szCs w:val="16"/>
                <w:color w:val="auto"/>
              </w:rPr>
              <w:t>1,024</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1,024</w:t>
            </w:r>
          </w:p>
        </w:tc>
        <w:tc>
          <w:tcPr>
            <w:tcW w:w="2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1,024</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Preferred stock shares authorized, issued and outstanding were as follows at both March 31, 2023 and December 31, 2022:</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40" w:type="dxa"/>
            <w:vAlign w:val="bottom"/>
          </w:tcPr>
          <w:p>
            <w:pPr>
              <w:spacing w:after="0"/>
              <w:rPr>
                <w:sz w:val="15"/>
                <w:szCs w:val="15"/>
                <w:color w:val="auto"/>
              </w:rPr>
            </w:pPr>
          </w:p>
        </w:tc>
        <w:tc>
          <w:tcPr>
            <w:tcW w:w="184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 Authorized</w:t>
            </w:r>
          </w:p>
        </w:tc>
        <w:tc>
          <w:tcPr>
            <w:tcW w:w="1820" w:type="dxa"/>
            <w:vAlign w:val="bottom"/>
            <w:gridSpan w:val="2"/>
          </w:tcPr>
          <w:p>
            <w:pPr>
              <w:ind w:left="460"/>
              <w:spacing w:after="0"/>
              <w:rPr>
                <w:sz w:val="20"/>
                <w:szCs w:val="20"/>
                <w:color w:val="auto"/>
              </w:rPr>
            </w:pPr>
            <w:r>
              <w:rPr>
                <w:rFonts w:ascii="Arial" w:cs="Arial" w:eastAsia="Arial" w:hAnsi="Arial"/>
                <w:sz w:val="14"/>
                <w:szCs w:val="14"/>
                <w:b w:val="1"/>
                <w:bCs w:val="1"/>
                <w:color w:val="auto"/>
              </w:rPr>
              <w:t>Shares Issued</w:t>
            </w:r>
          </w:p>
        </w:tc>
        <w:tc>
          <w:tcPr>
            <w:tcW w:w="1740" w:type="dxa"/>
            <w:vAlign w:val="bottom"/>
          </w:tcPr>
          <w:p>
            <w:pPr>
              <w:jc w:val="right"/>
              <w:ind w:right="182"/>
              <w:spacing w:after="0"/>
              <w:rPr>
                <w:sz w:val="20"/>
                <w:szCs w:val="20"/>
                <w:color w:val="auto"/>
              </w:rPr>
            </w:pPr>
            <w:r>
              <w:rPr>
                <w:rFonts w:ascii="Arial" w:cs="Arial" w:eastAsia="Arial" w:hAnsi="Arial"/>
                <w:sz w:val="14"/>
                <w:szCs w:val="14"/>
                <w:b w:val="1"/>
                <w:bCs w:val="1"/>
                <w:color w:val="auto"/>
              </w:rPr>
              <w:t>Shares Outstanding</w:t>
            </w:r>
          </w:p>
        </w:tc>
      </w:tr>
      <w:tr>
        <w:trPr>
          <w:trHeight w:val="24"/>
        </w:trPr>
        <w:tc>
          <w:tcPr>
            <w:tcW w:w="584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5"/>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6.600% Non-Cumulative Preferred Stock, Series A</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17,000</w:t>
            </w: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17,000</w:t>
            </w:r>
          </w:p>
        </w:tc>
        <w:tc>
          <w:tcPr>
            <w:tcW w:w="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17,000</w:t>
            </w:r>
          </w:p>
        </w:tc>
      </w:tr>
      <w:tr>
        <w:trPr>
          <w:trHeight w:val="209"/>
        </w:trPr>
        <w:tc>
          <w:tcPr>
            <w:tcW w:w="5840" w:type="dxa"/>
            <w:vAlign w:val="bottom"/>
          </w:tcPr>
          <w:p>
            <w:pPr>
              <w:ind w:left="20"/>
              <w:spacing w:after="0"/>
              <w:rPr>
                <w:sz w:val="20"/>
                <w:szCs w:val="20"/>
                <w:color w:val="auto"/>
              </w:rPr>
            </w:pPr>
            <w:r>
              <w:rPr>
                <w:rFonts w:ascii="Arial" w:cs="Arial" w:eastAsia="Arial" w:hAnsi="Arial"/>
                <w:sz w:val="16"/>
                <w:szCs w:val="16"/>
                <w:color w:val="auto"/>
              </w:rPr>
              <w:t>6.750% Non-Cumulative Preferred Stock, Series B</w:t>
            </w:r>
          </w:p>
        </w:tc>
        <w:tc>
          <w:tcPr>
            <w:tcW w:w="1740" w:type="dxa"/>
            <w:vAlign w:val="bottom"/>
          </w:tcPr>
          <w:p>
            <w:pPr>
              <w:jc w:val="right"/>
              <w:spacing w:after="0"/>
              <w:rPr>
                <w:sz w:val="20"/>
                <w:szCs w:val="20"/>
                <w:color w:val="auto"/>
              </w:rPr>
            </w:pPr>
            <w:r>
              <w:rPr>
                <w:rFonts w:ascii="Arial" w:cs="Arial" w:eastAsia="Arial" w:hAnsi="Arial"/>
                <w:sz w:val="16"/>
                <w:szCs w:val="16"/>
                <w:color w:val="auto"/>
              </w:rPr>
              <w:t>16,100</w:t>
            </w:r>
          </w:p>
        </w:tc>
        <w:tc>
          <w:tcPr>
            <w:tcW w:w="100" w:type="dxa"/>
            <w:vAlign w:val="bottom"/>
          </w:tcPr>
          <w:p>
            <w:pPr>
              <w:spacing w:after="0"/>
              <w:rPr>
                <w:sz w:val="18"/>
                <w:szCs w:val="18"/>
                <w:color w:val="auto"/>
              </w:rPr>
            </w:pPr>
          </w:p>
        </w:tc>
        <w:tc>
          <w:tcPr>
            <w:tcW w:w="1740" w:type="dxa"/>
            <w:vAlign w:val="bottom"/>
          </w:tcPr>
          <w:p>
            <w:pPr>
              <w:jc w:val="right"/>
              <w:ind w:right="2"/>
              <w:spacing w:after="0"/>
              <w:rPr>
                <w:sz w:val="20"/>
                <w:szCs w:val="20"/>
                <w:color w:val="auto"/>
              </w:rPr>
            </w:pPr>
            <w:r>
              <w:rPr>
                <w:rFonts w:ascii="Arial" w:cs="Arial" w:eastAsia="Arial" w:hAnsi="Arial"/>
                <w:sz w:val="16"/>
                <w:szCs w:val="16"/>
                <w:color w:val="auto"/>
              </w:rPr>
              <w:t>16,100</w:t>
            </w:r>
          </w:p>
        </w:tc>
        <w:tc>
          <w:tcPr>
            <w:tcW w:w="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16,100</w:t>
            </w:r>
          </w:p>
        </w:tc>
      </w:tr>
      <w:tr>
        <w:trPr>
          <w:trHeight w:val="215"/>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5.375% Non-Cumulative Preferred Stock, Series C</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23,000</w:t>
            </w:r>
          </w:p>
        </w:tc>
        <w:tc>
          <w:tcPr>
            <w:tcW w:w="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r>
      <w:tr>
        <w:trPr>
          <w:trHeight w:val="422"/>
        </w:trPr>
        <w:tc>
          <w:tcPr>
            <w:tcW w:w="5840" w:type="dxa"/>
            <w:vAlign w:val="bottom"/>
          </w:tcPr>
          <w:p>
            <w:pPr>
              <w:ind w:left="20"/>
              <w:spacing w:after="0"/>
              <w:rPr>
                <w:sz w:val="20"/>
                <w:szCs w:val="20"/>
                <w:color w:val="auto"/>
              </w:rPr>
            </w:pPr>
            <w:r>
              <w:rPr>
                <w:rFonts w:ascii="Arial" w:cs="Arial" w:eastAsia="Arial" w:hAnsi="Arial"/>
                <w:sz w:val="16"/>
                <w:szCs w:val="16"/>
                <w:color w:val="auto"/>
              </w:rPr>
              <w:t>4.625% Non-Cumulative Preferred Stock, Series D</w:t>
            </w:r>
          </w:p>
        </w:tc>
        <w:tc>
          <w:tcPr>
            <w:tcW w:w="1740" w:type="dxa"/>
            <w:vAlign w:val="bottom"/>
          </w:tcPr>
          <w:p>
            <w:pPr>
              <w:jc w:val="right"/>
              <w:spacing w:after="0"/>
              <w:rPr>
                <w:sz w:val="20"/>
                <w:szCs w:val="20"/>
                <w:color w:val="auto"/>
              </w:rPr>
            </w:pPr>
            <w:r>
              <w:rPr>
                <w:rFonts w:ascii="Arial" w:cs="Arial" w:eastAsia="Arial" w:hAnsi="Arial"/>
                <w:sz w:val="16"/>
                <w:szCs w:val="16"/>
                <w:color w:val="auto"/>
              </w:rPr>
              <w:t>14,000</w:t>
            </w:r>
          </w:p>
        </w:tc>
        <w:tc>
          <w:tcPr>
            <w:tcW w:w="100" w:type="dxa"/>
            <w:vAlign w:val="bottom"/>
          </w:tcPr>
          <w:p>
            <w:pPr>
              <w:spacing w:after="0"/>
              <w:rPr>
                <w:sz w:val="24"/>
                <w:szCs w:val="24"/>
                <w:color w:val="auto"/>
              </w:rPr>
            </w:pPr>
          </w:p>
        </w:tc>
        <w:tc>
          <w:tcPr>
            <w:tcW w:w="1740" w:type="dxa"/>
            <w:vAlign w:val="bottom"/>
          </w:tcPr>
          <w:p>
            <w:pPr>
              <w:jc w:val="right"/>
              <w:ind w:right="2"/>
              <w:spacing w:after="0"/>
              <w:rPr>
                <w:sz w:val="20"/>
                <w:szCs w:val="20"/>
                <w:color w:val="auto"/>
              </w:rPr>
            </w:pPr>
            <w:r>
              <w:rPr>
                <w:rFonts w:ascii="Arial" w:cs="Arial" w:eastAsia="Arial" w:hAnsi="Arial"/>
                <w:sz w:val="16"/>
                <w:szCs w:val="16"/>
                <w:color w:val="auto"/>
              </w:rPr>
              <w:t>14,000</w:t>
            </w:r>
          </w:p>
        </w:tc>
        <w:tc>
          <w:tcPr>
            <w:tcW w:w="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14,000</w:t>
            </w:r>
          </w:p>
        </w:tc>
      </w:tr>
      <w:tr>
        <w:trPr>
          <w:trHeight w:val="212"/>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 designated</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99,929,900</w:t>
            </w: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5840" w:type="dxa"/>
            <w:vAlign w:val="bottom"/>
          </w:tcPr>
          <w:p>
            <w:pPr>
              <w:ind w:left="180"/>
              <w:spacing w:after="0"/>
              <w:rPr>
                <w:sz w:val="20"/>
                <w:szCs w:val="20"/>
                <w:color w:val="auto"/>
              </w:rPr>
            </w:pPr>
            <w:r>
              <w:rPr>
                <w:rFonts w:ascii="Arial" w:cs="Arial" w:eastAsia="Arial" w:hAnsi="Arial"/>
                <w:sz w:val="16"/>
                <w:szCs w:val="16"/>
                <w:color w:val="auto"/>
              </w:rPr>
              <w:t>Total</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100,000,000</w:t>
            </w:r>
          </w:p>
        </w:tc>
        <w:tc>
          <w:tcPr>
            <w:tcW w:w="100" w:type="dxa"/>
            <w:vAlign w:val="bottom"/>
          </w:tcPr>
          <w:p>
            <w:pPr>
              <w:spacing w:after="0"/>
              <w:rPr>
                <w:sz w:val="18"/>
                <w:szCs w:val="18"/>
                <w:color w:val="auto"/>
              </w:rPr>
            </w:pPr>
          </w:p>
        </w:tc>
        <w:tc>
          <w:tcPr>
            <w:tcW w:w="17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70,100</w:t>
            </w:r>
          </w:p>
        </w:tc>
        <w:tc>
          <w:tcPr>
            <w:tcW w:w="80" w:type="dxa"/>
            <w:vAlign w:val="bottom"/>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70,100</w:t>
            </w:r>
          </w:p>
        </w:tc>
      </w:tr>
      <w:tr>
        <w:trPr>
          <w:trHeight w:val="20"/>
        </w:trPr>
        <w:tc>
          <w:tcPr>
            <w:tcW w:w="58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per share and aggregate dividends declared for BHF’s preferred stock by series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4"/>
          </w:tcPr>
          <w:p>
            <w:pPr>
              <w:jc w:val="right"/>
              <w:ind w:right="263"/>
              <w:spacing w:after="0"/>
              <w:rPr>
                <w:sz w:val="20"/>
                <w:szCs w:val="20"/>
                <w:color w:val="auto"/>
              </w:rPr>
            </w:pPr>
            <w:r>
              <w:rPr>
                <w:rFonts w:ascii="Arial" w:cs="Arial" w:eastAsia="Arial" w:hAnsi="Arial"/>
                <w:sz w:val="14"/>
                <w:szCs w:val="14"/>
                <w:b w:val="1"/>
                <w:bCs w:val="1"/>
                <w:color w:val="auto"/>
                <w:w w:val="97"/>
              </w:rPr>
              <w:t>Three Months Ended March 31,</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
        </w:trPr>
        <w:tc>
          <w:tcPr>
            <w:tcW w:w="6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5"/>
        </w:trPr>
        <w:tc>
          <w:tcPr>
            <w:tcW w:w="6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41"/>
              <w:spacing w:after="0"/>
              <w:rPr>
                <w:sz w:val="20"/>
                <w:szCs w:val="20"/>
                <w:color w:val="auto"/>
              </w:rPr>
            </w:pPr>
            <w:r>
              <w:rPr>
                <w:rFonts w:ascii="Arial" w:cs="Arial" w:eastAsia="Arial" w:hAnsi="Arial"/>
                <w:sz w:val="14"/>
                <w:szCs w:val="14"/>
                <w:b w:val="1"/>
                <w:bCs w:val="1"/>
                <w:color w:val="auto"/>
              </w:rPr>
              <w:t>2022</w:t>
            </w:r>
          </w:p>
        </w:tc>
        <w:tc>
          <w:tcPr>
            <w:tcW w:w="940" w:type="dxa"/>
            <w:vAlign w:val="bottom"/>
            <w:tcBorders>
              <w:bottom w:val="single" w:sz="8" w:color="auto"/>
            </w:tcBorders>
          </w:tcPr>
          <w:p>
            <w:pPr>
              <w:spacing w:after="0"/>
              <w:rPr>
                <w:sz w:val="16"/>
                <w:szCs w:val="16"/>
                <w:color w:val="auto"/>
              </w:rPr>
            </w:pPr>
          </w:p>
        </w:tc>
      </w:tr>
      <w:tr>
        <w:trPr>
          <w:trHeight w:val="192"/>
        </w:trPr>
        <w:tc>
          <w:tcPr>
            <w:tcW w:w="6400" w:type="dxa"/>
            <w:vAlign w:val="bottom"/>
            <w:gridSpan w:val="2"/>
          </w:tcPr>
          <w:p>
            <w:pPr>
              <w:ind w:left="20"/>
              <w:spacing w:after="0"/>
              <w:rPr>
                <w:sz w:val="20"/>
                <w:szCs w:val="20"/>
                <w:color w:val="auto"/>
              </w:rPr>
            </w:pPr>
            <w:r>
              <w:rPr>
                <w:rFonts w:ascii="Arial" w:cs="Arial" w:eastAsia="Arial" w:hAnsi="Arial"/>
                <w:sz w:val="14"/>
                <w:szCs w:val="14"/>
                <w:b w:val="1"/>
                <w:bCs w:val="1"/>
                <w:color w:val="auto"/>
              </w:rPr>
              <w:t>Series</w:t>
            </w:r>
          </w:p>
        </w:tc>
        <w:tc>
          <w:tcPr>
            <w:tcW w:w="180" w:type="dxa"/>
            <w:vAlign w:val="bottom"/>
          </w:tcPr>
          <w:p>
            <w:pPr>
              <w:spacing w:after="0"/>
              <w:rPr>
                <w:sz w:val="16"/>
                <w:szCs w:val="16"/>
                <w:color w:val="auto"/>
              </w:rPr>
            </w:pPr>
          </w:p>
        </w:tc>
        <w:tc>
          <w:tcPr>
            <w:tcW w:w="1040" w:type="dxa"/>
            <w:vAlign w:val="bottom"/>
          </w:tcPr>
          <w:p>
            <w:pPr>
              <w:jc w:val="right"/>
              <w:ind w:right="283"/>
              <w:spacing w:after="0"/>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6"/>
                <w:szCs w:val="16"/>
                <w:color w:val="auto"/>
              </w:rPr>
            </w:pPr>
          </w:p>
        </w:tc>
        <w:tc>
          <w:tcPr>
            <w:tcW w:w="1020" w:type="dxa"/>
            <w:vAlign w:val="bottom"/>
          </w:tcPr>
          <w:p>
            <w:pPr>
              <w:jc w:val="right"/>
              <w:ind w:right="184"/>
              <w:spacing w:after="0"/>
              <w:rPr>
                <w:sz w:val="20"/>
                <w:szCs w:val="20"/>
                <w:color w:val="auto"/>
              </w:rPr>
            </w:pPr>
            <w:r>
              <w:rPr>
                <w:rFonts w:ascii="Arial" w:cs="Arial" w:eastAsia="Arial" w:hAnsi="Arial"/>
                <w:sz w:val="14"/>
                <w:szCs w:val="14"/>
                <w:b w:val="1"/>
                <w:bCs w:val="1"/>
                <w:color w:val="auto"/>
              </w:rPr>
              <w:t>Aggregate</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343"/>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6"/>
                <w:szCs w:val="16"/>
                <w:color w:val="auto"/>
              </w:rPr>
            </w:pPr>
          </w:p>
        </w:tc>
        <w:tc>
          <w:tcPr>
            <w:tcW w:w="940" w:type="dxa"/>
            <w:vAlign w:val="bottom"/>
          </w:tcPr>
          <w:p>
            <w:pPr>
              <w:jc w:val="right"/>
              <w:ind w:right="182"/>
              <w:spacing w:after="0"/>
              <w:rPr>
                <w:sz w:val="20"/>
                <w:szCs w:val="20"/>
                <w:color w:val="auto"/>
              </w:rPr>
            </w:pPr>
            <w:r>
              <w:rPr>
                <w:rFonts w:ascii="Arial" w:cs="Arial" w:eastAsia="Arial" w:hAnsi="Arial"/>
                <w:sz w:val="14"/>
                <w:szCs w:val="14"/>
                <w:b w:val="1"/>
                <w:bCs w:val="1"/>
                <w:color w:val="auto"/>
                <w:w w:val="95"/>
              </w:rPr>
              <w:t>Aggregate</w:t>
            </w:r>
          </w:p>
        </w:tc>
      </w:tr>
      <w:tr>
        <w:trPr>
          <w:trHeight w:val="191"/>
        </w:trPr>
        <w:tc>
          <w:tcPr>
            <w:tcW w:w="6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380" w:type="dxa"/>
            <w:vAlign w:val="bottom"/>
            <w:tcBorders>
              <w:top w:val="single" w:sz="8" w:color="auto"/>
            </w:tcBorders>
            <w:gridSpan w:val="4"/>
          </w:tcPr>
          <w:p>
            <w:pPr>
              <w:jc w:val="right"/>
              <w:ind w:right="183"/>
              <w:spacing w:after="0"/>
              <w:rPr>
                <w:sz w:val="20"/>
                <w:szCs w:val="20"/>
                <w:color w:val="auto"/>
              </w:rPr>
            </w:pPr>
            <w:r>
              <w:rPr>
                <w:rFonts w:ascii="Arial" w:cs="Arial" w:eastAsia="Arial" w:hAnsi="Arial"/>
                <w:sz w:val="14"/>
                <w:szCs w:val="14"/>
                <w:b w:val="1"/>
                <w:bCs w:val="1"/>
                <w:color w:val="auto"/>
                <w:w w:val="91"/>
              </w:rPr>
              <w:t>(In millions, except per share data)</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r>
      <w:tr>
        <w:trPr>
          <w:trHeight w:val="219"/>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412.50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412.50</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6400" w:type="dxa"/>
            <w:vAlign w:val="bottom"/>
            <w:gridSpan w:val="2"/>
          </w:tcPr>
          <w:p>
            <w:pPr>
              <w:ind w:left="20"/>
              <w:spacing w:after="0"/>
              <w:rPr>
                <w:sz w:val="20"/>
                <w:szCs w:val="20"/>
                <w:color w:val="auto"/>
              </w:rPr>
            </w:pPr>
            <w:r>
              <w:rPr>
                <w:rFonts w:ascii="Arial" w:cs="Arial" w:eastAsia="Arial" w:hAnsi="Arial"/>
                <w:sz w:val="16"/>
                <w:szCs w:val="16"/>
                <w:color w:val="auto"/>
              </w:rPr>
              <w:t>B</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83"/>
              <w:spacing w:after="0"/>
              <w:rPr>
                <w:sz w:val="20"/>
                <w:szCs w:val="20"/>
                <w:color w:val="auto"/>
              </w:rPr>
            </w:pPr>
            <w:r>
              <w:rPr>
                <w:rFonts w:ascii="Arial" w:cs="Arial" w:eastAsia="Arial" w:hAnsi="Arial"/>
                <w:sz w:val="16"/>
                <w:szCs w:val="16"/>
                <w:color w:val="auto"/>
              </w:rPr>
              <w:t>421.88</w:t>
            </w:r>
          </w:p>
        </w:tc>
        <w:tc>
          <w:tcPr>
            <w:tcW w:w="120" w:type="dxa"/>
            <w:vAlign w:val="bottom"/>
          </w:tcPr>
          <w:p>
            <w:pPr>
              <w:spacing w:after="0"/>
              <w:rPr>
                <w:sz w:val="18"/>
                <w:szCs w:val="18"/>
                <w:color w:val="auto"/>
              </w:rPr>
            </w:pPr>
          </w:p>
        </w:tc>
        <w:tc>
          <w:tcPr>
            <w:tcW w:w="1020" w:type="dxa"/>
            <w:vAlign w:val="bottom"/>
          </w:tcPr>
          <w:p>
            <w:pPr>
              <w:jc w:val="right"/>
              <w:ind w:right="4"/>
              <w:spacing w:after="0"/>
              <w:rPr>
                <w:sz w:val="20"/>
                <w:szCs w:val="20"/>
                <w:color w:val="auto"/>
              </w:rPr>
            </w:pPr>
            <w:r>
              <w:rPr>
                <w:rFonts w:ascii="Arial" w:cs="Arial" w:eastAsia="Arial" w:hAnsi="Arial"/>
                <w:sz w:val="16"/>
                <w:szCs w:val="16"/>
                <w:color w:val="auto"/>
              </w:rPr>
              <w:t>7</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43"/>
              <w:spacing w:after="0"/>
              <w:rPr>
                <w:sz w:val="20"/>
                <w:szCs w:val="20"/>
                <w:color w:val="auto"/>
              </w:rPr>
            </w:pPr>
            <w:r>
              <w:rPr>
                <w:rFonts w:ascii="Arial" w:cs="Arial" w:eastAsia="Arial" w:hAnsi="Arial"/>
                <w:sz w:val="16"/>
                <w:szCs w:val="16"/>
                <w:color w:val="auto"/>
              </w:rPr>
              <w:t>421.88</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4"/>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335.94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335.94</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64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w:t>
            </w:r>
          </w:p>
        </w:tc>
        <w:tc>
          <w:tcPr>
            <w:tcW w:w="180" w:type="dxa"/>
            <w:vAlign w:val="bottom"/>
            <w:tcBorders>
              <w:bottom w:val="single" w:sz="8" w:color="CCEEFF"/>
            </w:tcBorders>
          </w:tcPr>
          <w:p>
            <w:pPr>
              <w:jc w:val="right"/>
              <w:ind w:right="2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tcPr>
          <w:p>
            <w:pPr>
              <w:jc w:val="right"/>
              <w:ind w:right="83"/>
              <w:spacing w:after="0"/>
              <w:rPr>
                <w:sz w:val="20"/>
                <w:szCs w:val="20"/>
                <w:color w:val="auto"/>
              </w:rPr>
            </w:pPr>
            <w:r>
              <w:rPr>
                <w:rFonts w:ascii="Arial" w:cs="Arial" w:eastAsia="Arial" w:hAnsi="Arial"/>
                <w:sz w:val="16"/>
                <w:szCs w:val="16"/>
                <w:color w:val="auto"/>
              </w:rPr>
              <w:t>289.06</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tcPr>
          <w:p>
            <w:pPr>
              <w:jc w:val="right"/>
              <w:ind w:right="143"/>
              <w:spacing w:after="0"/>
              <w:rPr>
                <w:sz w:val="20"/>
                <w:szCs w:val="20"/>
                <w:color w:val="auto"/>
              </w:rPr>
            </w:pPr>
            <w:r>
              <w:rPr>
                <w:rFonts w:ascii="Arial" w:cs="Arial" w:eastAsia="Arial" w:hAnsi="Arial"/>
                <w:sz w:val="16"/>
                <w:szCs w:val="16"/>
                <w:color w:val="auto"/>
              </w:rPr>
              <w:t>395.05</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33"/>
        </w:trPr>
        <w:tc>
          <w:tcPr>
            <w:tcW w:w="6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26</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During the three months ended March 31, 2023 and 2022, BHF repurchased 1,200,124 and 2,398,636 shares, respectively, of its common stock through open market purchases pursuant to 10b5-1 plans for $62 million and $127 million, respectively. At March 31, 2023, BHF had $231 million remaining under its common stock repurchase program.</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5" w:right="3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(continued)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regarding changes in the balances of each component of AOCI was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2"/>
                <w:szCs w:val="12"/>
                <w:b w:val="1"/>
                <w:bCs w:val="1"/>
                <w:color w:val="auto"/>
                <w:w w:val="95"/>
              </w:rPr>
              <w:t>Three Months Ended March 31, 2023</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w w:val="92"/>
              </w:rPr>
              <w:t>Changes in</w:t>
            </w: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3" w:lineRule="exact"/>
              <w:rPr>
                <w:sz w:val="20"/>
                <w:szCs w:val="20"/>
                <w:color w:val="auto"/>
              </w:rPr>
            </w:pPr>
            <w:r>
              <w:rPr>
                <w:rFonts w:ascii="Arial" w:cs="Arial" w:eastAsia="Arial" w:hAnsi="Arial"/>
                <w:sz w:val="12"/>
                <w:szCs w:val="12"/>
                <w:b w:val="1"/>
                <w:bCs w:val="1"/>
                <w:color w:val="auto"/>
                <w:w w:val="95"/>
              </w:rPr>
              <w:t>Unrealized</w:t>
            </w:r>
          </w:p>
        </w:tc>
        <w:tc>
          <w:tcPr>
            <w:tcW w:w="14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5"/>
              </w:rPr>
              <w:t>Unrealized</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3" w:lineRule="exact"/>
              <w:rPr>
                <w:sz w:val="20"/>
                <w:szCs w:val="20"/>
                <w:color w:val="auto"/>
              </w:rPr>
            </w:pPr>
            <w:r>
              <w:rPr>
                <w:rFonts w:ascii="Arial" w:cs="Arial" w:eastAsia="Arial" w:hAnsi="Arial"/>
                <w:sz w:val="12"/>
                <w:szCs w:val="12"/>
                <w:b w:val="1"/>
                <w:bCs w:val="1"/>
                <w:color w:val="auto"/>
                <w:w w:val="89"/>
              </w:rPr>
              <w:t>Changes in</w:t>
            </w:r>
          </w:p>
        </w:tc>
        <w:tc>
          <w:tcPr>
            <w:tcW w:w="1220" w:type="dxa"/>
            <w:vAlign w:val="bottom"/>
            <w:gridSpan w:val="3"/>
          </w:tcPr>
          <w:p>
            <w:pPr>
              <w:jc w:val="center"/>
              <w:ind w:right="100"/>
              <w:spacing w:after="0" w:line="133" w:lineRule="exact"/>
              <w:rPr>
                <w:sz w:val="20"/>
                <w:szCs w:val="20"/>
                <w:color w:val="auto"/>
              </w:rPr>
            </w:pPr>
            <w:r>
              <w:rPr>
                <w:rFonts w:ascii="Arial" w:cs="Arial" w:eastAsia="Arial" w:hAnsi="Arial"/>
                <w:sz w:val="12"/>
                <w:szCs w:val="12"/>
                <w:b w:val="1"/>
                <w:bCs w:val="1"/>
                <w:color w:val="auto"/>
                <w:w w:val="91"/>
              </w:rPr>
              <w:t>Discount Rates on</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118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w w:val="91"/>
              </w:rPr>
              <w:t>Investment Gains</w:t>
            </w: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36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w w:val="94"/>
              </w:rPr>
              <w:t>Nonperformance Risk</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w w:val="97"/>
              </w:rPr>
              <w:t>the Liability for</w:t>
            </w: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20"/>
              <w:spacing w:after="0" w:line="133" w:lineRule="exact"/>
              <w:rPr>
                <w:sz w:val="20"/>
                <w:szCs w:val="20"/>
                <w:color w:val="auto"/>
              </w:rPr>
            </w:pPr>
            <w:r>
              <w:rPr>
                <w:rFonts w:ascii="Arial" w:cs="Arial" w:eastAsia="Arial" w:hAnsi="Arial"/>
                <w:sz w:val="12"/>
                <w:szCs w:val="12"/>
                <w:b w:val="1"/>
                <w:bCs w:val="1"/>
                <w:color w:val="auto"/>
                <w:w w:val="88"/>
              </w:rPr>
              <w:t>(Losses), Net of</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33" w:lineRule="exact"/>
              <w:rPr>
                <w:sz w:val="20"/>
                <w:szCs w:val="20"/>
                <w:color w:val="auto"/>
              </w:rPr>
            </w:pPr>
            <w:r>
              <w:rPr>
                <w:rFonts w:ascii="Arial" w:cs="Arial" w:eastAsia="Arial" w:hAnsi="Arial"/>
                <w:sz w:val="12"/>
                <w:szCs w:val="12"/>
                <w:b w:val="1"/>
                <w:bCs w:val="1"/>
                <w:color w:val="auto"/>
                <w:w w:val="90"/>
              </w:rPr>
              <w:t>Gains (Losses)</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3" w:lineRule="exact"/>
              <w:rPr>
                <w:sz w:val="20"/>
                <w:szCs w:val="20"/>
                <w:color w:val="auto"/>
              </w:rPr>
            </w:pPr>
            <w:r>
              <w:rPr>
                <w:rFonts w:ascii="Arial" w:cs="Arial" w:eastAsia="Arial" w:hAnsi="Arial"/>
                <w:sz w:val="12"/>
                <w:szCs w:val="12"/>
                <w:b w:val="1"/>
                <w:bCs w:val="1"/>
                <w:color w:val="auto"/>
                <w:w w:val="96"/>
              </w:rPr>
              <w:t>on Market Risk</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3" w:lineRule="exact"/>
              <w:rPr>
                <w:sz w:val="20"/>
                <w:szCs w:val="20"/>
                <w:color w:val="auto"/>
              </w:rPr>
            </w:pPr>
            <w:r>
              <w:rPr>
                <w:rFonts w:ascii="Arial" w:cs="Arial" w:eastAsia="Arial" w:hAnsi="Arial"/>
                <w:sz w:val="12"/>
                <w:szCs w:val="12"/>
                <w:b w:val="1"/>
                <w:bCs w:val="1"/>
                <w:color w:val="auto"/>
                <w:w w:val="94"/>
              </w:rPr>
              <w:t>Future Policy</w:t>
            </w:r>
          </w:p>
        </w:tc>
        <w:tc>
          <w:tcPr>
            <w:tcW w:w="180" w:type="dxa"/>
            <w:vAlign w:val="bottom"/>
          </w:tcPr>
          <w:p>
            <w:pPr>
              <w:spacing w:after="0"/>
              <w:rPr>
                <w:sz w:val="11"/>
                <w:szCs w:val="11"/>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Other (2)</w:t>
            </w:r>
          </w:p>
        </w:tc>
        <w:tc>
          <w:tcPr>
            <w:tcW w:w="260" w:type="dxa"/>
            <w:vAlign w:val="bottom"/>
          </w:tcPr>
          <w:p>
            <w:pPr>
              <w:spacing w:after="0"/>
              <w:rPr>
                <w:sz w:val="11"/>
                <w:szCs w:val="11"/>
                <w:color w:val="auto"/>
              </w:rPr>
            </w:pPr>
          </w:p>
        </w:tc>
        <w:tc>
          <w:tcPr>
            <w:tcW w:w="820" w:type="dxa"/>
            <w:vAlign w:val="bottom"/>
            <w:vMerge w:val="restart"/>
          </w:tcPr>
          <w:p>
            <w:pPr>
              <w:jc w:val="right"/>
              <w:ind w:right="33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4040" w:type="dxa"/>
            <w:vAlign w:val="bottom"/>
          </w:tcPr>
          <w:p>
            <w:pPr>
              <w:spacing w:after="0"/>
              <w:rPr>
                <w:sz w:val="14"/>
                <w:szCs w:val="14"/>
                <w:color w:val="auto"/>
              </w:rPr>
            </w:pPr>
          </w:p>
        </w:tc>
        <w:tc>
          <w:tcPr>
            <w:tcW w:w="11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2"/>
                <w:szCs w:val="12"/>
                <w:b w:val="1"/>
                <w:bCs w:val="1"/>
                <w:color w:val="auto"/>
                <w:w w:val="92"/>
              </w:rPr>
              <w:t>Related Offsets (1)</w:t>
            </w: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0"/>
              </w:rPr>
              <w:t>on Derivatives</w:t>
            </w: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88"/>
              </w:rPr>
              <w:t>Benefits</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2"/>
              </w:rPr>
              <w:t>Benefits</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5"/>
          </w:tcPr>
          <w:p>
            <w:pPr>
              <w:jc w:val="center"/>
              <w:ind w:right="300"/>
              <w:spacing w:after="0"/>
              <w:rPr>
                <w:sz w:val="20"/>
                <w:szCs w:val="20"/>
                <w:color w:val="auto"/>
              </w:rPr>
            </w:pPr>
            <w:r>
              <w:rPr>
                <w:rFonts w:ascii="Arial" w:cs="Arial" w:eastAsia="Arial" w:hAnsi="Arial"/>
                <w:sz w:val="12"/>
                <w:szCs w:val="12"/>
                <w:b w:val="1"/>
                <w:bCs w:val="1"/>
                <w:color w:val="auto"/>
                <w:w w:val="94"/>
              </w:rPr>
              <w:t>(In millions)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(6,194)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(6,106)</w:t>
            </w:r>
          </w:p>
        </w:tc>
        <w:tc>
          <w:tcPr>
            <w:tcW w:w="0" w:type="dxa"/>
            <w:vAlign w:val="bottom"/>
          </w:tcPr>
          <w:p>
            <w:pPr>
              <w:spacing w:after="0"/>
              <w:rPr>
                <w:sz w:val="1"/>
                <w:szCs w:val="1"/>
                <w:color w:val="auto"/>
              </w:rPr>
            </w:pPr>
          </w:p>
        </w:tc>
      </w:tr>
      <w:tr>
        <w:trPr>
          <w:trHeight w:val="189"/>
        </w:trPr>
        <w:tc>
          <w:tcPr>
            <w:tcW w:w="4040" w:type="dxa"/>
            <w:vAlign w:val="bottom"/>
          </w:tcPr>
          <w:p>
            <w:pPr>
              <w:ind w:left="20"/>
              <w:spacing w:after="0"/>
              <w:rPr>
                <w:sz w:val="20"/>
                <w:szCs w:val="20"/>
                <w:color w:val="auto"/>
              </w:rPr>
            </w:pPr>
            <w:r>
              <w:rPr>
                <w:rFonts w:ascii="Arial" w:cs="Arial" w:eastAsia="Arial" w:hAnsi="Arial"/>
                <w:sz w:val="14"/>
                <w:szCs w:val="14"/>
                <w:color w:val="auto"/>
              </w:rPr>
              <w:t>OCI before reclassifications</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972</w:t>
            </w:r>
          </w:p>
        </w:tc>
        <w:tc>
          <w:tcPr>
            <w:tcW w:w="0" w:type="dxa"/>
            <w:vAlign w:val="bottom"/>
          </w:tcPr>
          <w:p>
            <w:pPr>
              <w:spacing w:after="0"/>
              <w:rPr>
                <w:sz w:val="1"/>
                <w:szCs w:val="1"/>
                <w:color w:val="auto"/>
              </w:rPr>
            </w:pPr>
          </w:p>
        </w:tc>
      </w:tr>
      <w:tr>
        <w:trPr>
          <w:trHeight w:val="208"/>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benefit (expense) (3)</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183"/>
        </w:trPr>
        <w:tc>
          <w:tcPr>
            <w:tcW w:w="4040" w:type="dxa"/>
            <w:vAlign w:val="bottom"/>
          </w:tcPr>
          <w:p>
            <w:pPr>
              <w:ind w:left="180"/>
              <w:spacing w:after="0"/>
              <w:rPr>
                <w:sz w:val="20"/>
                <w:szCs w:val="20"/>
                <w:color w:val="auto"/>
              </w:rPr>
            </w:pPr>
            <w:r>
              <w:rPr>
                <w:rFonts w:ascii="Arial" w:cs="Arial" w:eastAsia="Arial" w:hAnsi="Arial"/>
                <w:sz w:val="14"/>
                <w:szCs w:val="14"/>
                <w:color w:val="auto"/>
              </w:rPr>
              <w:t>AOCI before reclassifications, net of income tax</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(5,076)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472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(5,338)</w:t>
            </w:r>
          </w:p>
        </w:tc>
        <w:tc>
          <w:tcPr>
            <w:tcW w:w="0" w:type="dxa"/>
            <w:vAlign w:val="bottom"/>
          </w:tcPr>
          <w:p>
            <w:pPr>
              <w:spacing w:after="0"/>
              <w:rPr>
                <w:sz w:val="1"/>
                <w:szCs w:val="1"/>
                <w:color w:val="auto"/>
              </w:rPr>
            </w:pPr>
          </w:p>
        </w:tc>
      </w:tr>
      <w:tr>
        <w:trPr>
          <w:trHeight w:val="208"/>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Amounts reclassified from AOCI</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92"/>
        </w:trPr>
        <w:tc>
          <w:tcPr>
            <w:tcW w:w="4040" w:type="dxa"/>
            <w:vAlign w:val="bottom"/>
          </w:tcPr>
          <w:p>
            <w:pPr>
              <w:ind w:left="20"/>
              <w:spacing w:after="0"/>
              <w:rPr>
                <w:sz w:val="20"/>
                <w:szCs w:val="20"/>
                <w:color w:val="auto"/>
              </w:rPr>
            </w:pPr>
            <w:r>
              <w:rPr>
                <w:rFonts w:ascii="Arial" w:cs="Arial" w:eastAsia="Arial" w:hAnsi="Arial"/>
                <w:sz w:val="14"/>
                <w:szCs w:val="14"/>
                <w:color w:val="auto"/>
              </w:rPr>
              <w:t>Deferred income tax benefit (expense) (3)</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2"/>
        </w:trPr>
        <w:tc>
          <w:tcPr>
            <w:tcW w:w="40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Amounts reclassified from AOCI, net of income tax</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371"/>
        </w:trPr>
        <w:tc>
          <w:tcPr>
            <w:tcW w:w="4040" w:type="dxa"/>
            <w:vAlign w:val="bottom"/>
          </w:tcPr>
          <w:p>
            <w:pPr>
              <w:ind w:left="20"/>
              <w:spacing w:after="0"/>
              <w:rPr>
                <w:sz w:val="20"/>
                <w:szCs w:val="20"/>
                <w:color w:val="auto"/>
              </w:rPr>
            </w:pPr>
            <w:r>
              <w:rPr>
                <w:rFonts w:ascii="Arial" w:cs="Arial" w:eastAsia="Arial" w:hAnsi="Arial"/>
                <w:sz w:val="14"/>
                <w:szCs w:val="14"/>
                <w:color w:val="auto"/>
              </w:rPr>
              <w:t>Balance at March 31, 2023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(5,028)</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(1,383)</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706</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0"/>
        </w:trPr>
        <w:tc>
          <w:tcPr>
            <w:tcW w:w="4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2"/>
                <w:szCs w:val="12"/>
                <w:b w:val="1"/>
                <w:bCs w:val="1"/>
                <w:color w:val="auto"/>
                <w:w w:val="95"/>
              </w:rPr>
              <w:t>Three Months Ended March 31, 2022</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w w:val="92"/>
              </w:rPr>
              <w:t>Changes in</w:t>
            </w: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33" w:lineRule="exact"/>
              <w:rPr>
                <w:sz w:val="20"/>
                <w:szCs w:val="20"/>
                <w:color w:val="auto"/>
              </w:rPr>
            </w:pPr>
            <w:r>
              <w:rPr>
                <w:rFonts w:ascii="Arial" w:cs="Arial" w:eastAsia="Arial" w:hAnsi="Arial"/>
                <w:sz w:val="12"/>
                <w:szCs w:val="12"/>
                <w:b w:val="1"/>
                <w:bCs w:val="1"/>
                <w:color w:val="auto"/>
                <w:w w:val="95"/>
              </w:rPr>
              <w:t>Unrealized</w:t>
            </w:r>
          </w:p>
        </w:tc>
        <w:tc>
          <w:tcPr>
            <w:tcW w:w="140" w:type="dxa"/>
            <w:vAlign w:val="bottom"/>
          </w:tcPr>
          <w:p>
            <w:pPr>
              <w:spacing w:after="0"/>
              <w:rPr>
                <w:sz w:val="11"/>
                <w:szCs w:val="11"/>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5"/>
              </w:rPr>
              <w:t>Unrealized</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3" w:lineRule="exact"/>
              <w:rPr>
                <w:sz w:val="20"/>
                <w:szCs w:val="20"/>
                <w:color w:val="auto"/>
              </w:rPr>
            </w:pPr>
            <w:r>
              <w:rPr>
                <w:rFonts w:ascii="Arial" w:cs="Arial" w:eastAsia="Arial" w:hAnsi="Arial"/>
                <w:sz w:val="12"/>
                <w:szCs w:val="12"/>
                <w:b w:val="1"/>
                <w:bCs w:val="1"/>
                <w:color w:val="auto"/>
                <w:w w:val="89"/>
              </w:rPr>
              <w:t>Changes in</w:t>
            </w:r>
          </w:p>
        </w:tc>
        <w:tc>
          <w:tcPr>
            <w:tcW w:w="1220" w:type="dxa"/>
            <w:vAlign w:val="bottom"/>
            <w:gridSpan w:val="3"/>
          </w:tcPr>
          <w:p>
            <w:pPr>
              <w:jc w:val="center"/>
              <w:ind w:right="100"/>
              <w:spacing w:after="0" w:line="133" w:lineRule="exact"/>
              <w:rPr>
                <w:sz w:val="20"/>
                <w:szCs w:val="20"/>
                <w:color w:val="auto"/>
              </w:rPr>
            </w:pPr>
            <w:r>
              <w:rPr>
                <w:rFonts w:ascii="Arial" w:cs="Arial" w:eastAsia="Arial" w:hAnsi="Arial"/>
                <w:sz w:val="12"/>
                <w:szCs w:val="12"/>
                <w:b w:val="1"/>
                <w:bCs w:val="1"/>
                <w:color w:val="auto"/>
                <w:w w:val="91"/>
              </w:rPr>
              <w:t>Discount Rates on</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118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w w:val="91"/>
              </w:rPr>
              <w:t>Investment Gains</w:t>
            </w: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36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w w:val="94"/>
              </w:rPr>
              <w:t>Nonperformance Risk</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w w:val="97"/>
              </w:rPr>
              <w:t>the Liability for</w:t>
            </w: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w w:val="88"/>
              </w:rPr>
              <w:t>(Losses), Net of</w:t>
            </w:r>
          </w:p>
        </w:tc>
        <w:tc>
          <w:tcPr>
            <w:tcW w:w="140" w:type="dxa"/>
            <w:vAlign w:val="bottom"/>
          </w:tcPr>
          <w:p>
            <w:pPr>
              <w:spacing w:after="0"/>
              <w:rPr>
                <w:sz w:val="10"/>
                <w:szCs w:val="10"/>
                <w:color w:val="auto"/>
              </w:rPr>
            </w:pPr>
          </w:p>
        </w:tc>
        <w:tc>
          <w:tcPr>
            <w:tcW w:w="106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90"/>
              </w:rPr>
              <w:t>Gains (Losses)</w:t>
            </w:r>
          </w:p>
        </w:tc>
        <w:tc>
          <w:tcPr>
            <w:tcW w:w="160" w:type="dxa"/>
            <w:vAlign w:val="bottom"/>
          </w:tcPr>
          <w:p>
            <w:pPr>
              <w:spacing w:after="0"/>
              <w:rPr>
                <w:sz w:val="10"/>
                <w:szCs w:val="10"/>
                <w:color w:val="auto"/>
              </w:rPr>
            </w:pPr>
          </w:p>
        </w:tc>
        <w:tc>
          <w:tcPr>
            <w:tcW w:w="1200" w:type="dxa"/>
            <w:vAlign w:val="bottom"/>
            <w:gridSpan w:val="2"/>
          </w:tcPr>
          <w:p>
            <w:pPr>
              <w:jc w:val="center"/>
              <w:ind w:right="260"/>
              <w:spacing w:after="0" w:line="120" w:lineRule="exact"/>
              <w:rPr>
                <w:sz w:val="20"/>
                <w:szCs w:val="20"/>
                <w:color w:val="auto"/>
              </w:rPr>
            </w:pPr>
            <w:r>
              <w:rPr>
                <w:rFonts w:ascii="Arial" w:cs="Arial" w:eastAsia="Arial" w:hAnsi="Arial"/>
                <w:sz w:val="12"/>
                <w:szCs w:val="12"/>
                <w:b w:val="1"/>
                <w:bCs w:val="1"/>
                <w:color w:val="auto"/>
                <w:w w:val="96"/>
              </w:rPr>
              <w:t>on Market Risk</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0" w:lineRule="exact"/>
              <w:rPr>
                <w:sz w:val="20"/>
                <w:szCs w:val="20"/>
                <w:color w:val="auto"/>
              </w:rPr>
            </w:pPr>
            <w:r>
              <w:rPr>
                <w:rFonts w:ascii="Arial" w:cs="Arial" w:eastAsia="Arial" w:hAnsi="Arial"/>
                <w:sz w:val="12"/>
                <w:szCs w:val="12"/>
                <w:b w:val="1"/>
                <w:bCs w:val="1"/>
                <w:color w:val="auto"/>
                <w:w w:val="94"/>
              </w:rPr>
              <w:t>Future Policy</w:t>
            </w: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4040" w:type="dxa"/>
            <w:vAlign w:val="bottom"/>
          </w:tcPr>
          <w:p>
            <w:pPr>
              <w:spacing w:after="0"/>
              <w:rPr>
                <w:sz w:val="15"/>
                <w:szCs w:val="15"/>
                <w:color w:val="auto"/>
              </w:rPr>
            </w:pPr>
          </w:p>
        </w:tc>
        <w:tc>
          <w:tcPr>
            <w:tcW w:w="11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2"/>
                <w:szCs w:val="12"/>
                <w:b w:val="1"/>
                <w:bCs w:val="1"/>
                <w:color w:val="auto"/>
                <w:w w:val="92"/>
              </w:rPr>
              <w:t>Related Offsets (1)</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0"/>
              </w:rPr>
              <w:t>on Derivatives</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88"/>
              </w:rPr>
              <w:t>Benefits</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2"/>
              </w:rPr>
              <w:t>Benefits</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Other (2)</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5"/>
          </w:tcPr>
          <w:p>
            <w:pPr>
              <w:jc w:val="center"/>
              <w:ind w:right="300"/>
              <w:spacing w:after="0"/>
              <w:rPr>
                <w:sz w:val="20"/>
                <w:szCs w:val="20"/>
                <w:color w:val="auto"/>
              </w:rPr>
            </w:pPr>
            <w:r>
              <w:rPr>
                <w:rFonts w:ascii="Arial" w:cs="Arial" w:eastAsia="Arial" w:hAnsi="Arial"/>
                <w:sz w:val="12"/>
                <w:szCs w:val="12"/>
                <w:b w:val="1"/>
                <w:bCs w:val="1"/>
                <w:color w:val="auto"/>
                <w:w w:val="94"/>
              </w:rPr>
              <w:t>(In millions)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7"/>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2021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5,285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9"/>
        </w:trPr>
        <w:tc>
          <w:tcPr>
            <w:tcW w:w="4040" w:type="dxa"/>
            <w:vAlign w:val="bottom"/>
          </w:tcPr>
          <w:p>
            <w:pPr>
              <w:ind w:left="20"/>
              <w:spacing w:after="0"/>
              <w:rPr>
                <w:sz w:val="20"/>
                <w:szCs w:val="20"/>
                <w:color w:val="auto"/>
              </w:rPr>
            </w:pPr>
            <w:r>
              <w:rPr>
                <w:rFonts w:ascii="Arial" w:cs="Arial" w:eastAsia="Arial" w:hAnsi="Arial"/>
                <w:sz w:val="14"/>
                <w:szCs w:val="14"/>
                <w:color w:val="auto"/>
              </w:rPr>
              <w:t>OCI before reclassifications</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(6,055)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(3,317)</w:t>
            </w:r>
          </w:p>
        </w:tc>
        <w:tc>
          <w:tcPr>
            <w:tcW w:w="0" w:type="dxa"/>
            <w:vAlign w:val="bottom"/>
          </w:tcPr>
          <w:p>
            <w:pPr>
              <w:spacing w:after="0"/>
              <w:rPr>
                <w:sz w:val="1"/>
                <w:szCs w:val="1"/>
                <w:color w:val="auto"/>
              </w:rPr>
            </w:pPr>
          </w:p>
        </w:tc>
      </w:tr>
      <w:tr>
        <w:trPr>
          <w:trHeight w:val="208"/>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benefit (expense) (3)</w:t>
            </w: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183"/>
        </w:trPr>
        <w:tc>
          <w:tcPr>
            <w:tcW w:w="4040" w:type="dxa"/>
            <w:vAlign w:val="bottom"/>
          </w:tcPr>
          <w:p>
            <w:pPr>
              <w:ind w:left="180"/>
              <w:spacing w:after="0"/>
              <w:rPr>
                <w:sz w:val="20"/>
                <w:szCs w:val="20"/>
                <w:color w:val="auto"/>
              </w:rPr>
            </w:pPr>
            <w:r>
              <w:rPr>
                <w:rFonts w:ascii="Arial" w:cs="Arial" w:eastAsia="Arial" w:hAnsi="Arial"/>
                <w:sz w:val="14"/>
                <w:szCs w:val="14"/>
                <w:color w:val="auto"/>
              </w:rPr>
              <w:t>AOCI before reclassifications, net of income tax</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(2,496)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(776)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(2,574)</w:t>
            </w:r>
          </w:p>
        </w:tc>
        <w:tc>
          <w:tcPr>
            <w:tcW w:w="0" w:type="dxa"/>
            <w:vAlign w:val="bottom"/>
          </w:tcPr>
          <w:p>
            <w:pPr>
              <w:spacing w:after="0"/>
              <w:rPr>
                <w:sz w:val="1"/>
                <w:szCs w:val="1"/>
                <w:color w:val="auto"/>
              </w:rPr>
            </w:pPr>
          </w:p>
        </w:tc>
      </w:tr>
      <w:tr>
        <w:trPr>
          <w:trHeight w:val="208"/>
        </w:trPr>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Amounts reclassified from AOCI</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92"/>
        </w:trPr>
        <w:tc>
          <w:tcPr>
            <w:tcW w:w="4040" w:type="dxa"/>
            <w:vAlign w:val="bottom"/>
          </w:tcPr>
          <w:p>
            <w:pPr>
              <w:ind w:left="20"/>
              <w:spacing w:after="0"/>
              <w:rPr>
                <w:sz w:val="20"/>
                <w:szCs w:val="20"/>
                <w:color w:val="auto"/>
              </w:rPr>
            </w:pPr>
            <w:r>
              <w:rPr>
                <w:rFonts w:ascii="Arial" w:cs="Arial" w:eastAsia="Arial" w:hAnsi="Arial"/>
                <w:sz w:val="14"/>
                <w:szCs w:val="14"/>
                <w:color w:val="auto"/>
              </w:rPr>
              <w:t>Deferred income tax benefit (expense) (3)</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2"/>
        </w:trPr>
        <w:tc>
          <w:tcPr>
            <w:tcW w:w="40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Amounts reclassified from AOCI, net of income tax</w:t>
            </w: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371"/>
        </w:trPr>
        <w:tc>
          <w:tcPr>
            <w:tcW w:w="4040" w:type="dxa"/>
            <w:vAlign w:val="bottom"/>
          </w:tcPr>
          <w:p>
            <w:pPr>
              <w:ind w:left="20"/>
              <w:spacing w:after="0"/>
              <w:rPr>
                <w:sz w:val="20"/>
                <w:szCs w:val="20"/>
                <w:color w:val="auto"/>
              </w:rPr>
            </w:pPr>
            <w:r>
              <w:rPr>
                <w:rFonts w:ascii="Arial" w:cs="Arial" w:eastAsia="Arial" w:hAnsi="Arial"/>
                <w:sz w:val="14"/>
                <w:szCs w:val="14"/>
                <w:color w:val="auto"/>
              </w:rPr>
              <w:t>Balance at March 31, 2022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(2,496)</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(776)</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(2,541)</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0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320" w:hanging="314"/>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 Note 6 for information on offsets to investments related to future policy benefits.</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OCI related to foreign currency translation and defined benefit plan gains and losses.</w:t>
      </w:r>
    </w:p>
    <w:p>
      <w:pPr>
        <w:spacing w:after="0" w:line="111" w:lineRule="exact"/>
        <w:rPr>
          <w:rFonts w:ascii="Arial" w:cs="Arial" w:eastAsia="Arial" w:hAnsi="Arial"/>
          <w:sz w:val="18"/>
          <w:szCs w:val="18"/>
          <w:color w:val="auto"/>
        </w:rPr>
      </w:pPr>
    </w:p>
    <w:p>
      <w:pPr>
        <w:ind w:left="320" w:hanging="314"/>
        <w:spacing w:after="0" w:line="264" w:lineRule="auto"/>
        <w:tabs>
          <w:tab w:leader="none" w:pos="3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effects of income taxes on amounts recorded to AOCI are also recognized in AOCI. These income tax effects are released from AOCI when the related activity is reclassified into results from operations.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(continued)</w:t>
      </w: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regarding amounts reclassified out of each component of AOCI was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Pr>
          <w:p>
            <w:pPr>
              <w:jc w:val="center"/>
              <w:spacing w:after="0"/>
              <w:rPr>
                <w:sz w:val="20"/>
                <w:szCs w:val="20"/>
                <w:color w:val="auto"/>
              </w:rPr>
            </w:pPr>
            <w:r>
              <w:rPr>
                <w:rFonts w:ascii="Arial" w:cs="Arial" w:eastAsia="Arial" w:hAnsi="Arial"/>
                <w:sz w:val="12"/>
                <w:szCs w:val="12"/>
                <w:b w:val="1"/>
                <w:bCs w:val="1"/>
                <w:color w:val="auto"/>
                <w:w w:val="91"/>
              </w:rPr>
              <w:t>Consolidated Statements of</w:t>
            </w:r>
          </w:p>
        </w:tc>
      </w:tr>
      <w:tr>
        <w:trPr>
          <w:trHeight w:val="128"/>
        </w:trPr>
        <w:tc>
          <w:tcPr>
            <w:tcW w:w="6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2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2"/>
              </w:rPr>
              <w:t>Operations and Comprehensive Income</w:t>
            </w:r>
          </w:p>
        </w:tc>
      </w:tr>
      <w:tr>
        <w:trPr>
          <w:trHeight w:val="170"/>
        </w:trPr>
        <w:tc>
          <w:tcPr>
            <w:tcW w:w="6820" w:type="dxa"/>
            <w:vAlign w:val="bottom"/>
            <w:gridSpan w:val="2"/>
          </w:tcPr>
          <w:p>
            <w:pPr>
              <w:ind w:left="2860"/>
              <w:spacing w:after="0"/>
              <w:rPr>
                <w:sz w:val="20"/>
                <w:szCs w:val="20"/>
                <w:color w:val="auto"/>
              </w:rPr>
            </w:pPr>
            <w:r>
              <w:rPr>
                <w:rFonts w:ascii="Arial" w:cs="Arial" w:eastAsia="Arial" w:hAnsi="Arial"/>
                <w:sz w:val="12"/>
                <w:szCs w:val="12"/>
                <w:b w:val="1"/>
                <w:bCs w:val="1"/>
                <w:color w:val="auto"/>
              </w:rPr>
              <w:t>AOCI Components</w:t>
            </w:r>
          </w:p>
        </w:tc>
        <w:tc>
          <w:tcPr>
            <w:tcW w:w="120" w:type="dxa"/>
            <w:vAlign w:val="bottom"/>
          </w:tcPr>
          <w:p>
            <w:pPr>
              <w:spacing w:after="0"/>
              <w:rPr>
                <w:sz w:val="14"/>
                <w:szCs w:val="14"/>
                <w:color w:val="auto"/>
              </w:rPr>
            </w:pPr>
          </w:p>
        </w:tc>
        <w:tc>
          <w:tcPr>
            <w:tcW w:w="1960" w:type="dxa"/>
            <w:vAlign w:val="bottom"/>
            <w:gridSpan w:val="4"/>
          </w:tcPr>
          <w:p>
            <w:pPr>
              <w:jc w:val="center"/>
              <w:ind w:right="30"/>
              <w:spacing w:after="0"/>
              <w:rPr>
                <w:sz w:val="20"/>
                <w:szCs w:val="20"/>
                <w:color w:val="auto"/>
              </w:rPr>
            </w:pPr>
            <w:r>
              <w:rPr>
                <w:rFonts w:ascii="Arial" w:cs="Arial" w:eastAsia="Arial" w:hAnsi="Arial"/>
                <w:sz w:val="12"/>
                <w:szCs w:val="12"/>
                <w:b w:val="1"/>
                <w:bCs w:val="1"/>
                <w:color w:val="auto"/>
                <w:w w:val="94"/>
              </w:rPr>
              <w:t>Amounts Reclassified from AOCI</w:t>
            </w:r>
          </w:p>
        </w:tc>
        <w:tc>
          <w:tcPr>
            <w:tcW w:w="120" w:type="dxa"/>
            <w:vAlign w:val="bottom"/>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2"/>
                <w:szCs w:val="12"/>
                <w:b w:val="1"/>
                <w:bCs w:val="1"/>
                <w:color w:val="auto"/>
                <w:w w:val="89"/>
              </w:rPr>
              <w:t>(Loss) Locations</w:t>
            </w:r>
          </w:p>
        </w:tc>
      </w:tr>
      <w:tr>
        <w:trPr>
          <w:trHeight w:val="119"/>
        </w:trPr>
        <w:tc>
          <w:tcPr>
            <w:tcW w:w="6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960" w:type="dxa"/>
            <w:vAlign w:val="bottom"/>
            <w:tcBorders>
              <w:top w:val="single" w:sz="8" w:color="auto"/>
            </w:tcBorders>
            <w:gridSpan w:val="4"/>
          </w:tcPr>
          <w:p>
            <w:pPr>
              <w:jc w:val="center"/>
              <w:ind w:right="30"/>
              <w:spacing w:after="0" w:line="120" w:lineRule="exact"/>
              <w:rPr>
                <w:sz w:val="20"/>
                <w:szCs w:val="20"/>
                <w:color w:val="auto"/>
              </w:rPr>
            </w:pPr>
            <w:r>
              <w:rPr>
                <w:rFonts w:ascii="Arial" w:cs="Arial" w:eastAsia="Arial" w:hAnsi="Arial"/>
                <w:sz w:val="12"/>
                <w:szCs w:val="12"/>
                <w:b w:val="1"/>
                <w:bCs w:val="1"/>
                <w:color w:val="auto"/>
                <w:w w:val="96"/>
              </w:rPr>
              <w:t>Three Months Ended</w:t>
            </w:r>
          </w:p>
        </w:tc>
        <w:tc>
          <w:tcPr>
            <w:tcW w:w="120" w:type="dxa"/>
            <w:vAlign w:val="bottom"/>
          </w:tcPr>
          <w:p>
            <w:pPr>
              <w:spacing w:after="0"/>
              <w:rPr>
                <w:sz w:val="10"/>
                <w:szCs w:val="10"/>
                <w:color w:val="auto"/>
              </w:rPr>
            </w:pPr>
          </w:p>
        </w:tc>
        <w:tc>
          <w:tcPr>
            <w:tcW w:w="2220" w:type="dxa"/>
            <w:vAlign w:val="bottom"/>
            <w:tcBorders>
              <w:top w:val="single" w:sz="8" w:color="auto"/>
            </w:tcBorders>
          </w:tcPr>
          <w:p>
            <w:pPr>
              <w:spacing w:after="0"/>
              <w:rPr>
                <w:sz w:val="10"/>
                <w:szCs w:val="10"/>
                <w:color w:val="auto"/>
              </w:rPr>
            </w:pPr>
          </w:p>
        </w:tc>
      </w:tr>
      <w:tr>
        <w:trPr>
          <w:trHeight w:val="160"/>
        </w:trPr>
        <w:tc>
          <w:tcPr>
            <w:tcW w:w="6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center"/>
              <w:ind w:left="511"/>
              <w:spacing w:after="0"/>
              <w:rPr>
                <w:sz w:val="20"/>
                <w:szCs w:val="20"/>
                <w:color w:val="auto"/>
              </w:rPr>
            </w:pPr>
            <w:r>
              <w:rPr>
                <w:rFonts w:ascii="Arial" w:cs="Arial" w:eastAsia="Arial" w:hAnsi="Arial"/>
                <w:sz w:val="12"/>
                <w:szCs w:val="12"/>
                <w:b w:val="1"/>
                <w:bCs w:val="1"/>
                <w:color w:val="auto"/>
                <w:w w:val="97"/>
              </w:rPr>
              <w:t>March 31,</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25"/>
        </w:trPr>
        <w:tc>
          <w:tcPr>
            <w:tcW w:w="6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159"/>
        </w:trPr>
        <w:tc>
          <w:tcPr>
            <w:tcW w:w="6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2"/>
                <w:szCs w:val="12"/>
                <w:b w:val="1"/>
                <w:bCs w:val="1"/>
                <w:color w:val="auto"/>
              </w:rPr>
              <w:t>2023</w:t>
            </w: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70"/>
              <w:spacing w:after="0"/>
              <w:rPr>
                <w:sz w:val="20"/>
                <w:szCs w:val="20"/>
                <w:color w:val="auto"/>
              </w:rPr>
            </w:pPr>
            <w:r>
              <w:rPr>
                <w:rFonts w:ascii="Arial" w:cs="Arial" w:eastAsia="Arial" w:hAnsi="Arial"/>
                <w:sz w:val="12"/>
                <w:szCs w:val="12"/>
                <w:b w:val="1"/>
                <w:bCs w:val="1"/>
                <w:color w:val="auto"/>
              </w:rPr>
              <w:t>2022</w:t>
            </w:r>
          </w:p>
        </w:tc>
        <w:tc>
          <w:tcPr>
            <w:tcW w:w="12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158"/>
        </w:trPr>
        <w:tc>
          <w:tcPr>
            <w:tcW w:w="6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right"/>
              <w:ind w:right="9"/>
              <w:spacing w:after="0"/>
              <w:rPr>
                <w:sz w:val="20"/>
                <w:szCs w:val="20"/>
                <w:color w:val="auto"/>
              </w:rPr>
            </w:pPr>
            <w:r>
              <w:rPr>
                <w:rFonts w:ascii="Arial" w:cs="Arial" w:eastAsia="Arial" w:hAnsi="Arial"/>
                <w:sz w:val="12"/>
                <w:szCs w:val="12"/>
                <w:b w:val="1"/>
                <w:bCs w:val="1"/>
                <w:color w:val="auto"/>
              </w:rPr>
              <w:t>(In millions)</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20" w:type="dxa"/>
            <w:vAlign w:val="bottom"/>
          </w:tcPr>
          <w:p>
            <w:pPr>
              <w:spacing w:after="0"/>
              <w:rPr>
                <w:sz w:val="13"/>
                <w:szCs w:val="13"/>
                <w:color w:val="auto"/>
              </w:rPr>
            </w:pPr>
          </w:p>
        </w:tc>
      </w:tr>
      <w:tr>
        <w:trPr>
          <w:trHeight w:val="199"/>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unrealized investment gains (losses):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r>
      <w:tr>
        <w:trPr>
          <w:trHeight w:val="189"/>
        </w:trPr>
        <w:tc>
          <w:tcPr>
            <w:tcW w:w="6820" w:type="dxa"/>
            <w:vAlign w:val="bottom"/>
            <w:gridSpan w:val="2"/>
          </w:tcPr>
          <w:p>
            <w:pPr>
              <w:ind w:left="20"/>
              <w:spacing w:after="0"/>
              <w:rPr>
                <w:sz w:val="20"/>
                <w:szCs w:val="20"/>
                <w:color w:val="auto"/>
              </w:rPr>
            </w:pPr>
            <w:r>
              <w:rPr>
                <w:rFonts w:ascii="Arial" w:cs="Arial" w:eastAsia="Arial" w:hAnsi="Arial"/>
                <w:sz w:val="14"/>
                <w:szCs w:val="14"/>
                <w:color w:val="auto"/>
              </w:rPr>
              <w:t>Net unrealized investment gains (losses)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3020" w:type="dxa"/>
            <w:vAlign w:val="bottom"/>
            <w:gridSpan w:val="3"/>
          </w:tcPr>
          <w:p>
            <w:pPr>
              <w:jc w:val="right"/>
              <w:ind w:right="474"/>
              <w:spacing w:after="0"/>
              <w:rPr>
                <w:sz w:val="20"/>
                <w:szCs w:val="20"/>
                <w:color w:val="auto"/>
              </w:rPr>
            </w:pPr>
            <w:r>
              <w:rPr>
                <w:rFonts w:ascii="Arial" w:cs="Arial" w:eastAsia="Arial" w:hAnsi="Arial"/>
                <w:sz w:val="14"/>
                <w:szCs w:val="14"/>
                <w:color w:val="auto"/>
              </w:rPr>
              <w:t>(39)  Net investment gains (losses)</w:t>
            </w:r>
          </w:p>
        </w:tc>
      </w:tr>
      <w:tr>
        <w:trPr>
          <w:trHeight w:val="208"/>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unrealized investment gains (losses)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jc w:val="right"/>
              <w:ind w:right="534"/>
              <w:spacing w:after="0"/>
              <w:rPr>
                <w:sz w:val="20"/>
                <w:szCs w:val="20"/>
                <w:color w:val="auto"/>
              </w:rPr>
            </w:pPr>
            <w:r>
              <w:rPr>
                <w:rFonts w:ascii="Arial" w:cs="Arial" w:eastAsia="Arial" w:hAnsi="Arial"/>
                <w:sz w:val="14"/>
                <w:szCs w:val="14"/>
                <w:color w:val="auto"/>
              </w:rPr>
              <w:t>(4)  Net derivative gains (losses)</w:t>
            </w:r>
          </w:p>
        </w:tc>
      </w:tr>
      <w:tr>
        <w:trPr>
          <w:trHeight w:val="183"/>
        </w:trPr>
        <w:tc>
          <w:tcPr>
            <w:tcW w:w="6820" w:type="dxa"/>
            <w:vAlign w:val="bottom"/>
            <w:gridSpan w:val="2"/>
          </w:tcPr>
          <w:p>
            <w:pPr>
              <w:ind w:left="180"/>
              <w:spacing w:after="0"/>
              <w:rPr>
                <w:sz w:val="20"/>
                <w:szCs w:val="20"/>
                <w:color w:val="auto"/>
              </w:rPr>
            </w:pPr>
            <w:r>
              <w:rPr>
                <w:rFonts w:ascii="Arial" w:cs="Arial" w:eastAsia="Arial" w:hAnsi="Arial"/>
                <w:sz w:val="14"/>
                <w:szCs w:val="14"/>
                <w:color w:val="auto"/>
              </w:rPr>
              <w:t>Net unrealized investment gains (losses), before income tax</w:t>
            </w: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208"/>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r>
      <w:tr>
        <w:trPr>
          <w:trHeight w:val="185"/>
        </w:trPr>
        <w:tc>
          <w:tcPr>
            <w:tcW w:w="68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Net unrealized investment gains (losses), net of income tax</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r>
      <w:tr>
        <w:trPr>
          <w:trHeight w:val="185"/>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Unrealized gains (losses) on derivatives - cash flow hedges:</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r>
      <w:tr>
        <w:trPr>
          <w:trHeight w:val="189"/>
        </w:trPr>
        <w:tc>
          <w:tcPr>
            <w:tcW w:w="6820" w:type="dxa"/>
            <w:vAlign w:val="bottom"/>
            <w:gridSpan w:val="2"/>
          </w:tcPr>
          <w:p>
            <w:pPr>
              <w:ind w:left="20"/>
              <w:spacing w:after="0"/>
              <w:rPr>
                <w:sz w:val="20"/>
                <w:szCs w:val="20"/>
                <w:color w:val="auto"/>
              </w:rPr>
            </w:pPr>
            <w:r>
              <w:rPr>
                <w:rFonts w:ascii="Arial" w:cs="Arial" w:eastAsia="Arial" w:hAnsi="Arial"/>
                <w:sz w:val="14"/>
                <w:szCs w:val="14"/>
                <w:color w:val="auto"/>
              </w:rPr>
              <w:t>Interest rate swaps</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220" w:type="dxa"/>
            <w:vAlign w:val="bottom"/>
          </w:tcPr>
          <w:p>
            <w:pPr>
              <w:jc w:val="right"/>
              <w:ind w:right="534"/>
              <w:spacing w:after="0"/>
              <w:rPr>
                <w:sz w:val="20"/>
                <w:szCs w:val="20"/>
                <w:color w:val="auto"/>
              </w:rPr>
            </w:pPr>
            <w:r>
              <w:rPr>
                <w:rFonts w:ascii="Arial" w:cs="Arial" w:eastAsia="Arial" w:hAnsi="Arial"/>
                <w:sz w:val="14"/>
                <w:szCs w:val="14"/>
                <w:color w:val="auto"/>
                <w:w w:val="90"/>
              </w:rPr>
              <w:t>Net derivative gains (losses)</w:t>
            </w:r>
          </w:p>
        </w:tc>
      </w:tr>
      <w:tr>
        <w:trPr>
          <w:trHeight w:val="208"/>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jc w:val="right"/>
              <w:ind w:right="834"/>
              <w:spacing w:after="0"/>
              <w:rPr>
                <w:sz w:val="20"/>
                <w:szCs w:val="20"/>
                <w:color w:val="auto"/>
              </w:rPr>
            </w:pPr>
            <w:r>
              <w:rPr>
                <w:rFonts w:ascii="Arial" w:cs="Arial" w:eastAsia="Arial" w:hAnsi="Arial"/>
                <w:sz w:val="14"/>
                <w:szCs w:val="14"/>
                <w:color w:val="auto"/>
                <w:w w:val="91"/>
              </w:rPr>
              <w:t>Net investment income</w:t>
            </w:r>
          </w:p>
        </w:tc>
      </w:tr>
      <w:tr>
        <w:trPr>
          <w:trHeight w:val="192"/>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Foreign currency swaps</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220" w:type="dxa"/>
            <w:vAlign w:val="bottom"/>
            <w:tcBorders>
              <w:bottom w:val="single" w:sz="8" w:color="CCEEFF"/>
            </w:tcBorders>
          </w:tcPr>
          <w:p>
            <w:pPr>
              <w:jc w:val="right"/>
              <w:ind w:right="534"/>
              <w:spacing w:after="0"/>
              <w:rPr>
                <w:sz w:val="20"/>
                <w:szCs w:val="20"/>
                <w:color w:val="auto"/>
              </w:rPr>
            </w:pPr>
            <w:r>
              <w:rPr>
                <w:rFonts w:ascii="Arial" w:cs="Arial" w:eastAsia="Arial" w:hAnsi="Arial"/>
                <w:sz w:val="14"/>
                <w:szCs w:val="14"/>
                <w:color w:val="auto"/>
                <w:w w:val="90"/>
              </w:rPr>
              <w:t>Net derivative gains (losses)</w:t>
            </w:r>
          </w:p>
        </w:tc>
      </w:tr>
      <w:tr>
        <w:trPr>
          <w:trHeight w:val="199"/>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Gains (losses) on cash flow hedges, before income tax</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r>
      <w:tr>
        <w:trPr>
          <w:trHeight w:val="192"/>
        </w:trPr>
        <w:tc>
          <w:tcPr>
            <w:tcW w:w="6820" w:type="dxa"/>
            <w:vAlign w:val="bottom"/>
            <w:gridSpan w:val="2"/>
          </w:tcPr>
          <w:p>
            <w:pPr>
              <w:ind w:left="20"/>
              <w:spacing w:after="0"/>
              <w:rPr>
                <w:sz w:val="20"/>
                <w:szCs w:val="20"/>
                <w:color w:val="auto"/>
              </w:rPr>
            </w:pPr>
            <w:r>
              <w:rPr>
                <w:rFonts w:ascii="Arial" w:cs="Arial" w:eastAsia="Arial" w:hAnsi="Arial"/>
                <w:sz w:val="14"/>
                <w:szCs w:val="14"/>
                <w:color w:val="auto"/>
              </w:rPr>
              <w:t>Income tax (expense) benefit</w:t>
            </w: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199"/>
        </w:trPr>
        <w:tc>
          <w:tcPr>
            <w:tcW w:w="682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Gains (losses) on cash flow hedges, net of income tax</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2220" w:type="dxa"/>
            <w:vAlign w:val="bottom"/>
            <w:tcBorders>
              <w:top w:val="single" w:sz="8" w:color="CCEEFF"/>
            </w:tcBorders>
            <w:shd w:val="clear" w:color="auto" w:fill="CCEEFF"/>
          </w:tcPr>
          <w:p>
            <w:pPr>
              <w:spacing w:after="0"/>
              <w:rPr>
                <w:sz w:val="17"/>
                <w:szCs w:val="17"/>
                <w:color w:val="auto"/>
              </w:rPr>
            </w:pPr>
          </w:p>
        </w:tc>
      </w:tr>
      <w:tr>
        <w:trPr>
          <w:trHeight w:val="169"/>
        </w:trPr>
        <w:tc>
          <w:tcPr>
            <w:tcW w:w="6820" w:type="dxa"/>
            <w:vAlign w:val="bottom"/>
            <w:gridSpan w:val="2"/>
          </w:tcPr>
          <w:p>
            <w:pPr>
              <w:ind w:left="20"/>
              <w:spacing w:after="0" w:line="160" w:lineRule="exact"/>
              <w:rPr>
                <w:sz w:val="20"/>
                <w:szCs w:val="20"/>
                <w:color w:val="auto"/>
              </w:rPr>
            </w:pPr>
            <w:r>
              <w:rPr>
                <w:rFonts w:ascii="Arial" w:cs="Arial" w:eastAsia="Arial" w:hAnsi="Arial"/>
                <w:sz w:val="14"/>
                <w:szCs w:val="14"/>
                <w:color w:val="auto"/>
              </w:rPr>
              <w:t>Defined benefit plans adjustment:</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208"/>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Amortization of net actuarial gains (losses)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r>
      <w:tr>
        <w:trPr>
          <w:trHeight w:val="183"/>
        </w:trPr>
        <w:tc>
          <w:tcPr>
            <w:tcW w:w="6820" w:type="dxa"/>
            <w:vAlign w:val="bottom"/>
            <w:gridSpan w:val="2"/>
          </w:tcPr>
          <w:p>
            <w:pPr>
              <w:ind w:left="180"/>
              <w:spacing w:after="0"/>
              <w:rPr>
                <w:sz w:val="20"/>
                <w:szCs w:val="20"/>
                <w:color w:val="auto"/>
              </w:rPr>
            </w:pPr>
            <w:r>
              <w:rPr>
                <w:rFonts w:ascii="Arial" w:cs="Arial" w:eastAsia="Arial" w:hAnsi="Arial"/>
                <w:sz w:val="14"/>
                <w:szCs w:val="14"/>
                <w:color w:val="auto"/>
              </w:rPr>
              <w:t>Amortization of defined benefit plans, before income tax</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220" w:type="dxa"/>
            <w:vAlign w:val="bottom"/>
          </w:tcPr>
          <w:p>
            <w:pPr>
              <w:spacing w:after="0"/>
              <w:rPr>
                <w:sz w:val="15"/>
                <w:szCs w:val="15"/>
                <w:color w:val="auto"/>
              </w:rPr>
            </w:pPr>
          </w:p>
        </w:tc>
      </w:tr>
      <w:tr>
        <w:trPr>
          <w:trHeight w:val="208"/>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r>
      <w:tr>
        <w:trPr>
          <w:trHeight w:val="185"/>
        </w:trPr>
        <w:tc>
          <w:tcPr>
            <w:tcW w:w="68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Amortization of defined benefit plans, net of income tax</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r>
      <w:tr>
        <w:trPr>
          <w:trHeight w:val="224"/>
        </w:trPr>
        <w:tc>
          <w:tcPr>
            <w:tcW w:w="6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reclassifications, net of income tax</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spacing w:after="0"/>
              <w:rPr>
                <w:sz w:val="19"/>
                <w:szCs w:val="19"/>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Revenues and Other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Revenues</w:t>
      </w:r>
    </w:p>
    <w:p>
      <w:pPr>
        <w:spacing w:after="0" w:line="11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has entered into contracts with mutual funds, fund managers, and their affiliates (collectively, the “Funds”) whereby the Company is paid monthly or quarterly fees (“12b-1 fees”) for providing certain services to customers and distributors of the Funds. The 12b-1 fees are generally equal to a fixed percentage of the average daily balance of the customer’s investment in a fund. The percentage is specified in the contract between the Company and the Funds. Payments are generally collected when due and are neither refundable nor able to offset future fees.</w:t>
      </w:r>
    </w:p>
    <w:p>
      <w:pPr>
        <w:spacing w:after="0" w:line="7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spacing w:after="0" w:line="8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Other revenues consisted primarily of 12b-1 fees of $67 million and $82 million for the three months ended March 31, 2023 and 2022, respectively, of which substantially all were reported in the Annuities segment.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Revenues and Other Expenses (continued)</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Information on other expenses was as follows:</w:t>
      </w:r>
    </w:p>
    <w:p>
      <w:pPr>
        <w:spacing w:after="0" w:line="247"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0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2022</w:t>
            </w:r>
          </w:p>
        </w:tc>
      </w:tr>
      <w:tr>
        <w:trPr>
          <w:trHeight w:val="191"/>
        </w:trPr>
        <w:tc>
          <w:tcPr>
            <w:tcW w:w="8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gridSpan w:val="3"/>
          </w:tcPr>
          <w:p>
            <w:pPr>
              <w:jc w:val="right"/>
              <w:ind w:right="1"/>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6"/>
                <w:szCs w:val="16"/>
                <w:color w:val="auto"/>
              </w:rPr>
            </w:pPr>
          </w:p>
        </w:tc>
      </w:tr>
      <w:tr>
        <w:trPr>
          <w:trHeight w:val="219"/>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820" w:type="dxa"/>
            <w:vAlign w:val="bottom"/>
            <w:shd w:val="clear" w:color="auto" w:fill="CCEEFF"/>
          </w:tcPr>
          <w:p>
            <w:pPr>
              <w:jc w:val="right"/>
              <w:ind w:right="643"/>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09"/>
        </w:trPr>
        <w:tc>
          <w:tcPr>
            <w:tcW w:w="8700" w:type="dxa"/>
            <w:vAlign w:val="bottom"/>
          </w:tcPr>
          <w:p>
            <w:pPr>
              <w:ind w:left="20"/>
              <w:spacing w:after="0"/>
              <w:rPr>
                <w:sz w:val="20"/>
                <w:szCs w:val="20"/>
                <w:color w:val="auto"/>
              </w:rPr>
            </w:pPr>
            <w:r>
              <w:rPr>
                <w:rFonts w:ascii="Arial" w:cs="Arial" w:eastAsia="Arial" w:hAnsi="Arial"/>
                <w:sz w:val="16"/>
                <w:szCs w:val="16"/>
                <w:color w:val="auto"/>
              </w:rPr>
              <w:t>Contracted services and other labor costs</w:t>
            </w: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4"/>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Transition services agreements</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0"/>
        </w:trPr>
        <w:tc>
          <w:tcPr>
            <w:tcW w:w="8700" w:type="dxa"/>
            <w:vAlign w:val="bottom"/>
          </w:tcPr>
          <w:p>
            <w:pPr>
              <w:ind w:left="20"/>
              <w:spacing w:after="0"/>
              <w:rPr>
                <w:sz w:val="20"/>
                <w:szCs w:val="20"/>
                <w:color w:val="auto"/>
              </w:rPr>
            </w:pPr>
            <w:r>
              <w:rPr>
                <w:rFonts w:ascii="Arial" w:cs="Arial" w:eastAsia="Arial" w:hAnsi="Arial"/>
                <w:sz w:val="16"/>
                <w:szCs w:val="16"/>
                <w:color w:val="auto"/>
              </w:rPr>
              <w:t>Establishment costs</w:t>
            </w:r>
          </w:p>
        </w:tc>
        <w:tc>
          <w:tcPr>
            <w:tcW w:w="82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4"/>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 and other taxes, licenses and fees</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0"/>
        </w:trPr>
        <w:tc>
          <w:tcPr>
            <w:tcW w:w="8700" w:type="dxa"/>
            <w:vAlign w:val="bottom"/>
          </w:tcPr>
          <w:p>
            <w:pPr>
              <w:ind w:left="20"/>
              <w:spacing w:after="0"/>
              <w:rPr>
                <w:sz w:val="20"/>
                <w:szCs w:val="20"/>
                <w:color w:val="auto"/>
              </w:rPr>
            </w:pPr>
            <w:r>
              <w:rPr>
                <w:rFonts w:ascii="Arial" w:cs="Arial" w:eastAsia="Arial" w:hAnsi="Arial"/>
                <w:sz w:val="16"/>
                <w:szCs w:val="16"/>
                <w:color w:val="auto"/>
              </w:rPr>
              <w:t>Separate account fees</w:t>
            </w: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4"/>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Volume related costs, excluding compensation, net of DAC capitalization</w:t>
            </w: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10"/>
        </w:trPr>
        <w:tc>
          <w:tcPr>
            <w:tcW w:w="8700" w:type="dxa"/>
            <w:vAlign w:val="bottom"/>
          </w:tcPr>
          <w:p>
            <w:pPr>
              <w:ind w:left="20"/>
              <w:spacing w:after="0"/>
              <w:rPr>
                <w:sz w:val="20"/>
                <w:szCs w:val="20"/>
                <w:color w:val="auto"/>
              </w:rPr>
            </w:pPr>
            <w:r>
              <w:rPr>
                <w:rFonts w:ascii="Arial" w:cs="Arial" w:eastAsia="Arial" w:hAnsi="Arial"/>
                <w:sz w:val="16"/>
                <w:szCs w:val="16"/>
                <w:color w:val="auto"/>
              </w:rPr>
              <w:t>Interest expense on debt</w:t>
            </w: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2"/>
        </w:trPr>
        <w:tc>
          <w:tcPr>
            <w:tcW w:w="8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8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8"/>
        </w:trPr>
        <w:tc>
          <w:tcPr>
            <w:tcW w:w="8700" w:type="dxa"/>
            <w:vAlign w:val="bottom"/>
          </w:tcPr>
          <w:p>
            <w:pPr>
              <w:ind w:left="180"/>
              <w:spacing w:after="0"/>
              <w:rPr>
                <w:sz w:val="20"/>
                <w:szCs w:val="20"/>
                <w:color w:val="auto"/>
              </w:rPr>
            </w:pPr>
            <w:r>
              <w:rPr>
                <w:rFonts w:ascii="Arial" w:cs="Arial" w:eastAsia="Arial" w:hAnsi="Arial"/>
                <w:sz w:val="16"/>
                <w:szCs w:val="16"/>
                <w:color w:val="auto"/>
              </w:rPr>
              <w:t>Total other expenses</w:t>
            </w:r>
          </w:p>
        </w:tc>
        <w:tc>
          <w:tcPr>
            <w:tcW w:w="820" w:type="dxa"/>
            <w:vAlign w:val="bottom"/>
            <w:tcBorders>
              <w:bottom w:val="single" w:sz="8" w:color="auto"/>
            </w:tcBorders>
          </w:tcPr>
          <w:p>
            <w:pPr>
              <w:jc w:val="right"/>
              <w:ind w:right="643"/>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w:t>
            </w:r>
          </w:p>
        </w:tc>
      </w:tr>
      <w:tr>
        <w:trPr>
          <w:trHeight w:val="20"/>
        </w:trPr>
        <w:tc>
          <w:tcPr>
            <w:tcW w:w="87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2" w:right="339" w:bottom="1440" w:gutter="0" w:footer="0" w:header="0"/>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Capitalization of DAC</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See Note 5 for additional information on the capitalization of DAC.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Common Share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calculation of earnings per common share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733425</wp:posOffset>
            </wp:positionV>
            <wp:extent cx="7134860" cy="1511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income (loss) available to Brighthouse Financial, Inc.’s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189865</wp:posOffset>
            </wp:positionV>
            <wp:extent cx="7134860" cy="134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 average common shares outstanding — basic</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Dilutive effect of share-based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160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 average common shares outstanding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175260</wp:posOffset>
            </wp:positionV>
            <wp:extent cx="7134860" cy="134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60" w:lineRule="exact"/>
        <w:rPr>
          <w:sz w:val="20"/>
          <w:szCs w:val="20"/>
          <w:color w:val="auto"/>
        </w:rPr>
      </w:pPr>
    </w:p>
    <w:p>
      <w:pPr>
        <w:ind w:left="20"/>
        <w:spacing w:after="0"/>
        <w:rPr>
          <w:sz w:val="20"/>
          <w:szCs w:val="20"/>
          <w:color w:val="auto"/>
        </w:rPr>
      </w:pPr>
      <w:r>
        <w:rPr>
          <w:rFonts w:ascii="Arial" w:cs="Arial" w:eastAsia="Arial" w:hAnsi="Arial"/>
          <w:sz w:val="16"/>
          <w:szCs w:val="16"/>
          <w:color w:val="auto"/>
        </w:rPr>
        <w:t>Earnings per common share: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168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w:t>
      </w:r>
    </w:p>
    <w:p>
      <w:pPr>
        <w:jc w:val="center"/>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16154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15440" cy="8255"/>
                    </a:xfrm>
                    <a:prstGeom prst="rect">
                      <a:avLst/>
                    </a:prstGeom>
                    <a:noFill/>
                  </pic:spPr>
                </pic:pic>
              </a:graphicData>
            </a:graphic>
          </wp:anchor>
        </w:drawing>
      </w:r>
    </w:p>
    <w:p>
      <w:pPr>
        <w:spacing w:after="0" w:line="15"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29845</wp:posOffset>
            </wp:positionV>
            <wp:extent cx="16154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15440" cy="8255"/>
                    </a:xfrm>
                    <a:prstGeom prst="rect">
                      <a:avLst/>
                    </a:prstGeom>
                    <a:noFill/>
                  </pic:spPr>
                </pic:pic>
              </a:graphicData>
            </a:graphic>
          </wp:anchor>
        </w:drawing>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except share and</w:t>
      </w:r>
    </w:p>
    <w:p>
      <w:pPr>
        <w:jc w:val="center"/>
        <w:spacing w:after="0"/>
        <w:rPr>
          <w:sz w:val="20"/>
          <w:szCs w:val="20"/>
          <w:color w:val="auto"/>
        </w:rPr>
      </w:pPr>
      <w:r>
        <w:rPr>
          <w:rFonts w:ascii="Arial" w:cs="Arial" w:eastAsia="Arial" w:hAnsi="Arial"/>
          <w:sz w:val="14"/>
          <w:szCs w:val="14"/>
          <w:b w:val="1"/>
          <w:bCs w:val="1"/>
          <w:color w:val="auto"/>
        </w:rPr>
        <w:t>per share data)</w:t>
      </w:r>
    </w:p>
    <w:p>
      <w:pPr>
        <w:spacing w:after="0" w:line="34" w:lineRule="exact"/>
        <w:rPr>
          <w:sz w:val="20"/>
          <w:szCs w:val="20"/>
          <w:color w:val="auto"/>
        </w:rPr>
      </w:pPr>
    </w:p>
    <w:p>
      <w:pPr>
        <w:ind w:left="20"/>
        <w:spacing w:after="0"/>
        <w:tabs>
          <w:tab w:leader="none" w:pos="820" w:val="left"/>
          <w:tab w:leader="none" w:pos="1320" w:val="left"/>
          <w:tab w:leader="none" w:pos="21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(525)</w:t>
        <w:tab/>
        <w:t>$</w:t>
      </w:r>
      <w:r>
        <w:rPr>
          <w:sz w:val="20"/>
          <w:szCs w:val="20"/>
          <w:color w:val="auto"/>
        </w:rPr>
        <w:tab/>
      </w:r>
      <w:r>
        <w:rPr>
          <w:rFonts w:ascii="Arial" w:cs="Arial" w:eastAsia="Arial" w:hAnsi="Arial"/>
          <w:sz w:val="14"/>
          <w:szCs w:val="14"/>
          <w:color w:val="auto"/>
        </w:rPr>
        <w:t>1,558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40640</wp:posOffset>
            </wp:positionV>
            <wp:extent cx="16154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615440" cy="8255"/>
                    </a:xfrm>
                    <a:prstGeom prst="rect">
                      <a:avLst/>
                    </a:prstGeom>
                    <a:noFill/>
                  </pic:spPr>
                </pic:pic>
              </a:graphicData>
            </a:graphic>
          </wp:anchor>
        </w:drawing>
      </w:r>
    </w:p>
    <w:p>
      <w:pPr>
        <w:spacing w:after="0" w:line="286" w:lineRule="exact"/>
        <w:rPr>
          <w:sz w:val="20"/>
          <w:szCs w:val="20"/>
          <w:color w:val="auto"/>
        </w:rPr>
      </w:pPr>
    </w:p>
    <w:p>
      <w:pPr>
        <w:jc w:val="both"/>
        <w:ind w:left="440"/>
        <w:spacing w:after="0"/>
        <w:tabs>
          <w:tab w:leader="none" w:pos="1740" w:val="left"/>
        </w:tabs>
        <w:rPr>
          <w:sz w:val="20"/>
          <w:szCs w:val="20"/>
          <w:color w:val="auto"/>
        </w:rPr>
      </w:pPr>
      <w:r>
        <w:rPr>
          <w:rFonts w:ascii="Arial" w:cs="Arial" w:eastAsia="Arial" w:hAnsi="Arial"/>
          <w:sz w:val="16"/>
          <w:szCs w:val="16"/>
          <w:color w:val="auto"/>
        </w:rPr>
        <w:t>67,873,189</w:t>
      </w:r>
      <w:r>
        <w:rPr>
          <w:sz w:val="20"/>
          <w:szCs w:val="20"/>
          <w:color w:val="auto"/>
        </w:rPr>
        <w:tab/>
      </w:r>
      <w:r>
        <w:rPr>
          <w:rFonts w:ascii="Arial" w:cs="Arial" w:eastAsia="Arial" w:hAnsi="Arial"/>
          <w:sz w:val="16"/>
          <w:szCs w:val="16"/>
          <w:color w:val="auto"/>
        </w:rPr>
        <w:t>76,853,890</w:t>
      </w:r>
    </w:p>
    <w:p>
      <w:pPr>
        <w:spacing w:after="0" w:line="2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622,575</w:t>
      </w:r>
    </w:p>
    <w:p>
      <w:pPr>
        <w:spacing w:after="0" w:line="41" w:lineRule="exact"/>
        <w:rPr>
          <w:sz w:val="20"/>
          <w:szCs w:val="20"/>
          <w:color w:val="auto"/>
        </w:rPr>
      </w:pPr>
    </w:p>
    <w:p>
      <w:pPr>
        <w:jc w:val="both"/>
        <w:ind w:left="440"/>
        <w:spacing w:after="0"/>
        <w:tabs>
          <w:tab w:leader="none" w:pos="1740" w:val="left"/>
        </w:tabs>
        <w:rPr>
          <w:sz w:val="20"/>
          <w:szCs w:val="20"/>
          <w:color w:val="auto"/>
        </w:rPr>
      </w:pPr>
      <w:r>
        <w:rPr>
          <w:rFonts w:ascii="Arial" w:cs="Arial" w:eastAsia="Arial" w:hAnsi="Arial"/>
          <w:sz w:val="16"/>
          <w:szCs w:val="16"/>
          <w:color w:val="auto"/>
        </w:rPr>
        <w:t>67,873,189</w:t>
      </w:r>
      <w:r>
        <w:rPr>
          <w:sz w:val="20"/>
          <w:szCs w:val="20"/>
          <w:color w:val="auto"/>
        </w:rPr>
        <w:tab/>
      </w:r>
      <w:r>
        <w:rPr>
          <w:rFonts w:ascii="Arial" w:cs="Arial" w:eastAsia="Arial" w:hAnsi="Arial"/>
          <w:sz w:val="16"/>
          <w:szCs w:val="16"/>
          <w:color w:val="auto"/>
        </w:rPr>
        <w:t>77,476,465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40640</wp:posOffset>
            </wp:positionV>
            <wp:extent cx="16154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1544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20.27</w:t>
            </w:r>
          </w:p>
        </w:tc>
      </w:tr>
      <w:tr>
        <w:trPr>
          <w:trHeight w:val="22"/>
        </w:trPr>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03"/>
        </w:trPr>
        <w:tc>
          <w:tcPr>
            <w:tcW w:w="4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20.11</w:t>
            </w:r>
          </w:p>
        </w:tc>
      </w:tr>
      <w:tr>
        <w:trPr>
          <w:trHeight w:val="22"/>
        </w:trPr>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80" w:space="720"/>
            <w:col w:w="2540"/>
          </w:cols>
          <w:pgMar w:left="320" w:top="232" w:right="339" w:bottom="1440" w:gutter="0" w:footer="0" w:header="0"/>
          <w:type w:val="continuous"/>
        </w:sectPr>
      </w:pPr>
    </w:p>
    <w:p>
      <w:pPr>
        <w:spacing w:after="0" w:line="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the three months ended March 31, 2023, basic loss per common share equaled diluted loss per common share. The diluted shares were not included in the per share calculation for this period as the inclusion of such shares would have an antidilutive effect.</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the three months ended March 31, 2022, weighted average shares used for calculating diluted earnings per common share excludes 187,371 of out-of-the-money stock options, as the inclusion of such shares would be antidilutive to the earnings per common share calculation due to the average share price for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 Commitments and Guarantees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Litigation</w:t>
      </w:r>
    </w:p>
    <w:p>
      <w:pPr>
        <w:spacing w:after="0" w:line="111" w:lineRule="exact"/>
        <w:rPr>
          <w:sz w:val="20"/>
          <w:szCs w:val="20"/>
          <w:color w:val="auto"/>
        </w:rPr>
      </w:pPr>
    </w:p>
    <w:p>
      <w:pPr>
        <w:jc w:val="both"/>
        <w:ind w:left="160" w:firstLine="318"/>
        <w:spacing w:after="0" w:line="265" w:lineRule="auto"/>
        <w:rPr>
          <w:sz w:val="20"/>
          <w:szCs w:val="20"/>
          <w:color w:val="auto"/>
        </w:rPr>
      </w:pPr>
      <w:r>
        <w:rPr>
          <w:rFonts w:ascii="Arial" w:cs="Arial" w:eastAsia="Arial" w:hAnsi="Arial"/>
          <w:sz w:val="17"/>
          <w:szCs w:val="17"/>
          <w:color w:val="auto"/>
        </w:rPr>
        <w:t>The Company is a defendant in a number of litigation matters. In some of the matters, large 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w:t>
      </w:r>
    </w:p>
    <w:p>
      <w:pPr>
        <w:spacing w:after="0" w:line="79"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The Company also receives and responds to subpoenas or other inquiries seeking a broad range of information from various state and federal regulators, agencies and officials. The issues involved in information requests and regulatory matters vary widely, but can include inquiries or investigations concerning the Company’s compliance with applicable insurance and other laws and regulations. The Company cooperates in these inquiries.</w:t>
      </w:r>
    </w:p>
    <w:p>
      <w:pPr>
        <w:spacing w:after="0" w:line="3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88"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March 31, 2023.</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Matters as to Which an Estimate Can Be Made</w:t>
      </w:r>
    </w:p>
    <w:p>
      <w:pPr>
        <w:spacing w:after="0" w:line="111" w:lineRule="exact"/>
        <w:rPr>
          <w:sz w:val="20"/>
          <w:szCs w:val="20"/>
          <w:color w:val="auto"/>
        </w:rPr>
      </w:pPr>
    </w:p>
    <w:p>
      <w:pPr>
        <w:jc w:val="both"/>
        <w:ind w:left="320" w:firstLine="318"/>
        <w:spacing w:after="0" w:line="330" w:lineRule="auto"/>
        <w:rPr>
          <w:sz w:val="20"/>
          <w:szCs w:val="20"/>
          <w:color w:val="auto"/>
        </w:rPr>
      </w:pPr>
      <w:r>
        <w:rPr>
          <w:rFonts w:ascii="Arial" w:cs="Arial" w:eastAsia="Arial" w:hAnsi="Arial"/>
          <w:sz w:val="15"/>
          <w:szCs w:val="15"/>
          <w:color w:val="auto"/>
        </w:rPr>
        <w:t>For some loss contingency matters, the Company is able to estimate a reasonably possible range of loss. For such matters where a loss is believed to be reasonably possible, but not probable, no accrual has been made. In addition to amounts accrued for probable and reasonably estimable losses, as of March 31, 2023, the Company estimates the aggregate range of reasonably possible losses to be up to approximately $10 million.</w:t>
      </w:r>
    </w:p>
    <w:p>
      <w:pPr>
        <w:spacing w:after="0" w:line="3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Matters as to Which an Estimate Cannot Be Made</w:t>
      </w:r>
    </w:p>
    <w:p>
      <w:pPr>
        <w:spacing w:after="0" w:line="111" w:lineRule="exact"/>
        <w:rPr>
          <w:sz w:val="20"/>
          <w:szCs w:val="20"/>
          <w:color w:val="auto"/>
        </w:rPr>
      </w:pPr>
    </w:p>
    <w:p>
      <w:pPr>
        <w:jc w:val="both"/>
        <w:ind w:left="320" w:firstLine="318"/>
        <w:spacing w:after="0" w:line="249" w:lineRule="auto"/>
        <w:rPr>
          <w:sz w:val="20"/>
          <w:szCs w:val="20"/>
          <w:color w:val="auto"/>
        </w:rPr>
      </w:pPr>
      <w:r>
        <w:rPr>
          <w:rFonts w:ascii="Arial" w:cs="Arial" w:eastAsia="Arial" w:hAnsi="Arial"/>
          <w:sz w:val="18"/>
          <w:szCs w:val="18"/>
          <w:color w:val="auto"/>
        </w:rPr>
        <w:t>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w:t>
      </w:r>
    </w:p>
    <w:p>
      <w:pPr>
        <w:spacing w:after="0" w:line="9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Sales Practices Claims</w:t>
      </w:r>
    </w:p>
    <w:p>
      <w:pPr>
        <w:spacing w:after="0" w:line="11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Over the past several years, the Company has faced claims and regulatory inquiries and investigations, alleging improper marketing or sales of individual life insurance policies, annuities or other products. The Company continues to defend vigorously against the claims in these matters. The Company believes adequate provision has been made in its consolidated financial statements for all probable and reasonably estimable losses for sales practices matters.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 Commitments and Guarantees (continued)</w:t>
      </w: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Cost of Insurance Class Actions</w:t>
      </w:r>
    </w:p>
    <w:p>
      <w:pPr>
        <w:spacing w:after="0" w:line="98" w:lineRule="exact"/>
        <w:rPr>
          <w:sz w:val="20"/>
          <w:szCs w:val="20"/>
          <w:color w:val="auto"/>
        </w:rPr>
      </w:pPr>
    </w:p>
    <w:p>
      <w:pPr>
        <w:jc w:val="both"/>
        <w:ind w:left="320" w:firstLine="318"/>
        <w:spacing w:after="0" w:line="282" w:lineRule="auto"/>
        <w:rPr>
          <w:sz w:val="20"/>
          <w:szCs w:val="20"/>
          <w:color w:val="auto"/>
        </w:rPr>
      </w:pPr>
      <w:r>
        <w:rPr>
          <w:rFonts w:ascii="Arial" w:cs="Arial" w:eastAsia="Arial" w:hAnsi="Arial"/>
          <w:sz w:val="15"/>
          <w:szCs w:val="15"/>
          <w:i w:val="1"/>
          <w:iCs w:val="1"/>
          <w:color w:val="auto"/>
        </w:rPr>
        <w:t xml:space="preserve">Richard A. Newton v. Brighthouse Life Insurance Company </w:t>
      </w:r>
      <w:r>
        <w:rPr>
          <w:rFonts w:ascii="Arial" w:cs="Arial" w:eastAsia="Arial" w:hAnsi="Arial"/>
          <w:sz w:val="15"/>
          <w:szCs w:val="15"/>
          <w:color w:val="auto"/>
        </w:rPr>
        <w:t>(U.S. District Court, Northern District of Georgia, Atlanta Division, filed May 8, 2020).</w:t>
      </w:r>
      <w:r>
        <w:rPr>
          <w:rFonts w:ascii="Arial" w:cs="Arial" w:eastAsia="Arial" w:hAnsi="Arial"/>
          <w:sz w:val="15"/>
          <w:szCs w:val="15"/>
          <w:i w:val="1"/>
          <w:iCs w:val="1"/>
          <w:color w:val="auto"/>
        </w:rPr>
        <w:t xml:space="preserve"> </w:t>
      </w:r>
      <w:r>
        <w:rPr>
          <w:rFonts w:ascii="Arial" w:cs="Arial" w:eastAsia="Arial" w:hAnsi="Arial"/>
          <w:sz w:val="15"/>
          <w:szCs w:val="15"/>
          <w:color w:val="auto"/>
        </w:rPr>
        <w:t>Plaintiff has filed a purported class action lawsuit against Brighthouse Life Insurance Company. Plaintiff was the owner of a universal life insurance policy issued by Travelers Insurance Company, a predecessor to Brighthouse Life Insurance Company. Plaintiff seeks to certify a class of all persons who own or owned life insurance policies issued where the terms of the life insurance policy provide or provided, among other things, a guarantee that the cost of insurance rates would not be increased by more than a specified percentage in any contract year. Plaintiff also alleges that cost of insurance charges</w:t>
      </w:r>
    </w:p>
    <w:p>
      <w:pPr>
        <w:spacing w:after="0" w:line="3" w:lineRule="exact"/>
        <w:rPr>
          <w:sz w:val="20"/>
          <w:szCs w:val="20"/>
          <w:color w:val="auto"/>
        </w:rPr>
      </w:pPr>
    </w:p>
    <w:p>
      <w:pPr>
        <w:jc w:val="both"/>
        <w:ind w:left="320"/>
        <w:spacing w:after="0" w:line="260" w:lineRule="auto"/>
        <w:rPr>
          <w:sz w:val="20"/>
          <w:szCs w:val="20"/>
          <w:color w:val="auto"/>
        </w:rPr>
      </w:pPr>
      <w:r>
        <w:rPr>
          <w:rFonts w:ascii="Arial" w:cs="Arial" w:eastAsia="Arial" w:hAnsi="Arial"/>
          <w:sz w:val="16"/>
          <w:szCs w:val="16"/>
          <w:color w:val="auto"/>
        </w:rPr>
        <w:t>were based on improper factors and should have decreased over time due to improving mortality but did not</w:t>
      </w:r>
      <w:r>
        <w:rPr>
          <w:rFonts w:ascii="Arial" w:cs="Arial" w:eastAsia="Arial" w:hAnsi="Arial"/>
          <w:sz w:val="19"/>
          <w:szCs w:val="19"/>
          <w:color w:val="0000FF"/>
        </w:rPr>
        <w:t>.</w:t>
      </w:r>
      <w:r>
        <w:rPr>
          <w:rFonts w:ascii="Arial" w:cs="Arial" w:eastAsia="Arial" w:hAnsi="Arial"/>
          <w:sz w:val="16"/>
          <w:szCs w:val="16"/>
          <w:color w:val="auto"/>
        </w:rPr>
        <w:t xml:space="preserve"> Plaintiff alleges, among other things, causes of action for breach of contract, fraud, suppression and concealment, and violation of the Georgia Racketeer Influenced and Corrupt Organizations Act. Plaintiff seeks to recover damages, including punitive damages, interest and treble damages, attorneys’ fees, and injunctive and declaratory relief. Brighthouse Life Insurance Company filed a motion to dismiss in June 2020, which was granted in part and denied in part in March 2021. Plaintiff was granted leave to amend the complaint. On January 18, 2023, the plaintiff filed a motion on consent to amend the second amended class action complaint to narrow the scope of the class sought to those persons who own or owned life insurance policies issued in Georgia. The motion was granted on January 23, 2023, and the third amended class action complaint was filed on January 23, 2023. The Company intends to vigorously defend this matter.</w:t>
      </w:r>
    </w:p>
    <w:p>
      <w:pPr>
        <w:spacing w:after="0" w:line="82" w:lineRule="exact"/>
        <w:rPr>
          <w:sz w:val="20"/>
          <w:szCs w:val="20"/>
          <w:color w:val="auto"/>
        </w:rPr>
      </w:pPr>
    </w:p>
    <w:p>
      <w:pPr>
        <w:jc w:val="both"/>
        <w:ind w:left="320" w:firstLine="318"/>
        <w:spacing w:after="0" w:line="304" w:lineRule="auto"/>
        <w:rPr>
          <w:sz w:val="20"/>
          <w:szCs w:val="20"/>
          <w:color w:val="auto"/>
        </w:rPr>
      </w:pPr>
      <w:r>
        <w:rPr>
          <w:rFonts w:ascii="Arial" w:cs="Arial" w:eastAsia="Arial" w:hAnsi="Arial"/>
          <w:sz w:val="15"/>
          <w:szCs w:val="15"/>
          <w:i w:val="1"/>
          <w:iCs w:val="1"/>
          <w:color w:val="auto"/>
        </w:rPr>
        <w:t xml:space="preserve">Lawrence Martin v. Brighthouse Life Insurance Company </w:t>
      </w:r>
      <w:r>
        <w:rPr>
          <w:rFonts w:ascii="Arial" w:cs="Arial" w:eastAsia="Arial" w:hAnsi="Arial"/>
          <w:sz w:val="15"/>
          <w:szCs w:val="15"/>
          <w:color w:val="auto"/>
        </w:rPr>
        <w:t>(U.S. District Court, Southern District of New York, filed April 6, 2021). Plaintiff has filed</w:t>
      </w:r>
      <w:r>
        <w:rPr>
          <w:rFonts w:ascii="Arial" w:cs="Arial" w:eastAsia="Arial" w:hAnsi="Arial"/>
          <w:sz w:val="15"/>
          <w:szCs w:val="15"/>
          <w:i w:val="1"/>
          <w:iCs w:val="1"/>
          <w:color w:val="auto"/>
        </w:rPr>
        <w:t xml:space="preserve"> </w:t>
      </w:r>
      <w:r>
        <w:rPr>
          <w:rFonts w:ascii="Arial" w:cs="Arial" w:eastAsia="Arial" w:hAnsi="Arial"/>
          <w:sz w:val="15"/>
          <w:szCs w:val="15"/>
          <w:color w:val="auto"/>
        </w:rPr>
        <w:t>a purported class action lawsuit against Brighthouse Life Insurance Company. Plaintiff is the owner of a universal life insurance policy issued by Travelers Insurance Company, a predecessor to Brighthouse Life Insurance Company. Plaintiff seeks to certify a class of similarly situated owners of universal life insurance policies issued or administered by defendants and alleges that cost of insurance charges were based on improper factors and should have decreased over time due to improving mortality but did not. Plaintiff alleges, among other things, causes of action for breach of contract, breach of the covenant of good faith and fair dealing, and unjust enrichment. Plaintiff seeks to recover compensatory damages, attorney’s fees, interest, and equitable relief including a constructive trust. Brighthouse Life Insurance Company filed a motion to dismiss in June 2021, which was denied in February 2022. Brighthouse Life Insurance Company of NY was initially named as a defendant when the lawsuit was filed, but was dismissed as a defendant, without prejudice, in April 2022. The Company intends to vigorously defend this matter.</w:t>
      </w:r>
    </w:p>
    <w:p>
      <w:pPr>
        <w:spacing w:after="0" w:line="266"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Summary</w:t>
      </w:r>
    </w:p>
    <w:p>
      <w:pPr>
        <w:spacing w:after="0" w:line="111" w:lineRule="exact"/>
        <w:rPr>
          <w:sz w:val="20"/>
          <w:szCs w:val="20"/>
          <w:color w:val="auto"/>
        </w:rPr>
      </w:pPr>
    </w:p>
    <w:p>
      <w:pPr>
        <w:jc w:val="both"/>
        <w:ind w:left="320" w:firstLine="318"/>
        <w:spacing w:after="0" w:line="318" w:lineRule="auto"/>
        <w:rPr>
          <w:sz w:val="20"/>
          <w:szCs w:val="20"/>
          <w:color w:val="auto"/>
        </w:rPr>
      </w:pPr>
      <w:r>
        <w:rPr>
          <w:rFonts w:ascii="Arial" w:cs="Arial" w:eastAsia="Arial" w:hAnsi="Arial"/>
          <w:sz w:val="15"/>
          <w:szCs w:val="15"/>
          <w:color w:val="auto"/>
        </w:rPr>
        <w:t>Various litigations, claims and assessments against the Company, in addition to those discussed previously and those otherwise provided for in the Company’s consolidated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spacing w:after="0" w:line="40" w:lineRule="exact"/>
        <w:rPr>
          <w:sz w:val="20"/>
          <w:szCs w:val="20"/>
          <w:color w:val="auto"/>
        </w:rPr>
      </w:pPr>
    </w:p>
    <w:p>
      <w:pPr>
        <w:jc w:val="both"/>
        <w:ind w:left="320" w:firstLine="318"/>
        <w:spacing w:after="0" w:line="248" w:lineRule="auto"/>
        <w:rPr>
          <w:sz w:val="20"/>
          <w:szCs w:val="20"/>
          <w:color w:val="auto"/>
        </w:rPr>
      </w:pPr>
      <w:r>
        <w:rPr>
          <w:rFonts w:ascii="Arial" w:cs="Arial" w:eastAsia="Arial" w:hAnsi="Arial"/>
          <w:sz w:val="18"/>
          <w:szCs w:val="18"/>
          <w:color w:val="auto"/>
        </w:rPr>
        <w:t>It is not possible to predict the ultimate outcome of all pending investigations and legal proceedings. In some of the matters referred to previously, large 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or indeterminate amounts sought in certain of these matters and the inherent unpredictability of litigation, it is possible that an adverse outcome in certain matters could, from time to time, have a material effect on the Company’s consolidated net income or cash flows in particular quarterly or annual periods.</w:t>
      </w:r>
    </w:p>
    <w:p>
      <w:pPr>
        <w:spacing w:after="0" w:line="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Other Loss Contingencies</w:t>
      </w:r>
    </w:p>
    <w:p>
      <w:pPr>
        <w:spacing w:after="0" w:line="111" w:lineRule="exact"/>
        <w:rPr>
          <w:sz w:val="20"/>
          <w:szCs w:val="20"/>
          <w:color w:val="auto"/>
        </w:rPr>
      </w:pPr>
    </w:p>
    <w:p>
      <w:pPr>
        <w:jc w:val="both"/>
        <w:ind w:left="160" w:firstLine="318"/>
        <w:spacing w:after="0" w:line="248" w:lineRule="auto"/>
        <w:rPr>
          <w:sz w:val="20"/>
          <w:szCs w:val="20"/>
          <w:color w:val="auto"/>
        </w:rPr>
      </w:pPr>
      <w:r>
        <w:rPr>
          <w:rFonts w:ascii="Arial" w:cs="Arial" w:eastAsia="Arial" w:hAnsi="Arial"/>
          <w:sz w:val="18"/>
          <w:szCs w:val="18"/>
          <w:color w:val="auto"/>
        </w:rPr>
        <w:t>As with litigation and regulatory loss contingencies, the Company considers establishing liabilities for loss contingencies associated with disputes or other matters involving third parties, including counterparties to contractual arrangements entered into by the Company (e.g., third-party vendors and reinsurers), as well as with tax or other authorities (“other loss contingencies”). The Company establishes liabilities for such other loss contingencies when it is probable that a loss will be incurred and the amount of the loss can be reasonably estimated. In matters where it is not probable, but is reasonably possible that a loss will be incurred and the amount of loss can be reasonably estimated, such losses or range of losses are disclosed, and no accrual is made. In the absence of sufficient information to support an assessment of the reasonably possible loss or range of loss, no accrual is made and no loss or range of loss is disclosed.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 Commitments and Guarantees (continued)</w:t>
      </w:r>
    </w:p>
    <w:p>
      <w:pPr>
        <w:spacing w:after="0" w:line="200" w:lineRule="exact"/>
        <w:rPr>
          <w:sz w:val="20"/>
          <w:szCs w:val="20"/>
          <w:color w:val="auto"/>
        </w:rPr>
      </w:pPr>
    </w:p>
    <w:p>
      <w:pPr>
        <w:spacing w:after="0" w:line="368" w:lineRule="exact"/>
        <w:rPr>
          <w:sz w:val="20"/>
          <w:szCs w:val="20"/>
          <w:color w:val="auto"/>
        </w:rPr>
      </w:pPr>
    </w:p>
    <w:p>
      <w:pPr>
        <w:jc w:val="both"/>
        <w:ind w:left="160" w:firstLine="318"/>
        <w:spacing w:after="0" w:line="294" w:lineRule="auto"/>
        <w:rPr>
          <w:sz w:val="20"/>
          <w:szCs w:val="20"/>
          <w:color w:val="auto"/>
        </w:rPr>
      </w:pPr>
      <w:r>
        <w:rPr>
          <w:rFonts w:ascii="Arial" w:cs="Arial" w:eastAsia="Arial" w:hAnsi="Arial"/>
          <w:sz w:val="17"/>
          <w:szCs w:val="17"/>
          <w:color w:val="auto"/>
        </w:rPr>
        <w:t>In the matters where the Company’s subsidiaries are acting as the reinsured or the reinsurer, such matters involve assertions by third parties primarily related to rates, fees or reinsured benefit calculations, and in certain of such matters, the counterparty has made a request to arbitrate.</w:t>
      </w:r>
    </w:p>
    <w:p>
      <w:pPr>
        <w:spacing w:after="0" w:line="5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On a quarterly basis, the Company reviews relevant information with respect to other loss contingencies and, when applicable, updates its accruals, disclosures and estimates of reasonably possible losses or ranges of loss based on such reviews.</w:t>
      </w:r>
    </w:p>
    <w:p>
      <w:pPr>
        <w:spacing w:after="0" w:line="75"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As of March 31, 2023, the Company estimates the range of reasonably possible losses in excess of the amounts accrued for certain other loss contingencies to be from zero up to approximately $125 million, which are primarily associated with the reinsurance-related matters described above. For certain other matters, the Company may not currently be able to estimate the reasonably possible loss or range of loss until developments in such matters have provided sufficient information to support an assessment of such loss.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Mortgage Loan Commitments</w:t>
      </w:r>
    </w:p>
    <w:p>
      <w:pPr>
        <w:spacing w:after="0" w:line="111" w:lineRule="exact"/>
        <w:rPr>
          <w:sz w:val="20"/>
          <w:szCs w:val="20"/>
          <w:color w:val="auto"/>
        </w:rPr>
      </w:pPr>
    </w:p>
    <w:p>
      <w:pPr>
        <w:jc w:val="both"/>
        <w:ind w:left="160" w:right="20" w:firstLine="318"/>
        <w:spacing w:after="0" w:line="264" w:lineRule="auto"/>
        <w:rPr>
          <w:sz w:val="20"/>
          <w:szCs w:val="20"/>
          <w:color w:val="auto"/>
        </w:rPr>
      </w:pPr>
      <w:r>
        <w:rPr>
          <w:rFonts w:ascii="Arial" w:cs="Arial" w:eastAsia="Arial" w:hAnsi="Arial"/>
          <w:sz w:val="18"/>
          <w:szCs w:val="18"/>
          <w:color w:val="auto"/>
        </w:rPr>
        <w:t>The Company commits to lend funds under mortgage loan commitments. The amounts of these mortgage loan commitments were $318 million and $247 million at March 31, 2023 and December 31, 2022, respectively.</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Commitments to Fund Partnership Investments, Bank Credit Facilities and Private Corporate Bond Investments</w:t>
      </w:r>
    </w:p>
    <w:p>
      <w:pPr>
        <w:spacing w:after="0" w:line="111" w:lineRule="exact"/>
        <w:rPr>
          <w:sz w:val="20"/>
          <w:szCs w:val="20"/>
          <w:color w:val="auto"/>
        </w:rPr>
      </w:pPr>
    </w:p>
    <w:p>
      <w:pPr>
        <w:jc w:val="both"/>
        <w:ind w:left="160" w:firstLine="318"/>
        <w:spacing w:after="0" w:line="294" w:lineRule="auto"/>
        <w:rPr>
          <w:sz w:val="20"/>
          <w:szCs w:val="20"/>
          <w:color w:val="auto"/>
        </w:rPr>
      </w:pPr>
      <w:r>
        <w:rPr>
          <w:rFonts w:ascii="Arial" w:cs="Arial" w:eastAsia="Arial" w:hAnsi="Arial"/>
          <w:sz w:val="17"/>
          <w:szCs w:val="17"/>
          <w:color w:val="auto"/>
        </w:rPr>
        <w:t>The Company commits to fund partnership investments and to lend funds under bank credit facilities and private corporate bond investments. The amounts of these unfunded commitments were $1.6 billion and $1.9 billion at March 31, 2023 and December 31, 2022, respectively.</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the normal course of its business, the Company has provided certain indemnities, guarantees and commitments to third parties such that it may be required to make payments now or in the future. In the context of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ranging from less than $1 million to $92 million, with a cumulative maximum of $98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spacing w:after="0" w:line="26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Company’s recorded liabilities were $1 million at both March 31, 2023 and December 31, 2022 for indemnities, guarantees and commitments.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80" w:type="dxa"/>
            <w:vAlign w:val="bottom"/>
            <w:gridSpan w:val="6"/>
          </w:tcPr>
          <w:p>
            <w:pPr>
              <w:ind w:left="260"/>
              <w:spacing w:after="0"/>
              <w:rPr>
                <w:sz w:val="20"/>
                <w:szCs w:val="20"/>
                <w:color w:val="auto"/>
              </w:rPr>
            </w:pPr>
            <w:r>
              <w:rPr>
                <w:rFonts w:ascii="Arial" w:cs="Arial" w:eastAsia="Arial" w:hAnsi="Arial"/>
                <w:sz w:val="18"/>
                <w:szCs w:val="18"/>
                <w:b w:val="1"/>
                <w:bCs w:val="1"/>
                <w:color w:val="auto"/>
                <w:w w:val="95"/>
              </w:rPr>
              <w:t>Index to Management’s Discussion and Analysis of Financial Condition and Results of Operations</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91"/>
        </w:trPr>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000" w:type="dxa"/>
            <w:vAlign w:val="bottom"/>
            <w:gridSpan w:val="4"/>
          </w:tcPr>
          <w:p>
            <w:pPr>
              <w:jc w:val="center"/>
              <w:ind w:left="552"/>
              <w:spacing w:after="0"/>
              <w:rPr>
                <w:sz w:val="20"/>
                <w:szCs w:val="20"/>
                <w:color w:val="auto"/>
              </w:rPr>
            </w:pPr>
            <w:r>
              <w:rPr>
                <w:rFonts w:ascii="Arial" w:cs="Arial" w:eastAsia="Arial" w:hAnsi="Arial"/>
                <w:sz w:val="18"/>
                <w:szCs w:val="18"/>
                <w:b w:val="1"/>
                <w:bCs w:val="1"/>
                <w:color w:val="auto"/>
                <w:w w:val="83"/>
              </w:rPr>
              <w:t>Page</w:t>
            </w:r>
          </w:p>
        </w:tc>
      </w:tr>
      <w:tr>
        <w:trPr>
          <w:trHeight w:val="205"/>
        </w:trPr>
        <w:tc>
          <w:tcPr>
            <w:tcW w:w="880" w:type="dxa"/>
            <w:vAlign w:val="bottom"/>
            <w:tcBorders>
              <w:bottom w:val="single" w:sz="8" w:color="0000FF"/>
            </w:tcBorders>
            <w:gridSpan w:val="3"/>
          </w:tcPr>
          <w:p>
            <w:pPr>
              <w:spacing w:after="0" w:line="205" w:lineRule="exact"/>
              <w:rPr>
                <w:sz w:val="20"/>
                <w:szCs w:val="20"/>
                <w:color w:val="auto"/>
              </w:rPr>
            </w:pPr>
            <w:r>
              <w:rPr>
                <w:rFonts w:ascii="Arial" w:cs="Arial" w:eastAsia="Arial" w:hAnsi="Arial"/>
                <w:sz w:val="18"/>
                <w:szCs w:val="18"/>
                <w:color w:val="0000FF"/>
                <w:w w:val="91"/>
              </w:rPr>
              <w:t>Introduction</w:t>
            </w:r>
          </w:p>
        </w:tc>
        <w:tc>
          <w:tcPr>
            <w:tcW w:w="9060" w:type="dxa"/>
            <w:vAlign w:val="bottom"/>
            <w:gridSpan w:val="9"/>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89"/>
              </w:rPr>
              <w:t>58</w:t>
            </w:r>
          </w:p>
        </w:tc>
        <w:tc>
          <w:tcPr>
            <w:tcW w:w="100" w:type="dxa"/>
            <w:vAlign w:val="bottom"/>
            <w:tcBorders>
              <w:top w:val="single" w:sz="8" w:color="auto"/>
            </w:tcBorders>
          </w:tcPr>
          <w:p>
            <w:pPr>
              <w:spacing w:after="0"/>
              <w:rPr>
                <w:sz w:val="17"/>
                <w:szCs w:val="17"/>
                <w:color w:val="auto"/>
              </w:rPr>
            </w:pPr>
          </w:p>
        </w:tc>
      </w:tr>
      <w:tr>
        <w:trPr>
          <w:trHeight w:val="205"/>
        </w:trPr>
        <w:tc>
          <w:tcPr>
            <w:tcW w:w="9940" w:type="dxa"/>
            <w:vAlign w:val="bottom"/>
            <w:gridSpan w:val="12"/>
          </w:tcPr>
          <w:p>
            <w:pPr>
              <w:spacing w:after="0" w:line="205" w:lineRule="exact"/>
              <w:rPr>
                <w:sz w:val="20"/>
                <w:szCs w:val="20"/>
                <w:color w:val="auto"/>
              </w:rPr>
            </w:pPr>
            <w:r>
              <w:rPr>
                <w:rFonts w:ascii="Arial" w:cs="Arial" w:eastAsia="Arial" w:hAnsi="Arial"/>
                <w:sz w:val="18"/>
                <w:szCs w:val="18"/>
                <w:color w:val="0000FF"/>
              </w:rPr>
              <w:t>Executive Summary</w:t>
            </w:r>
          </w:p>
        </w:tc>
        <w:tc>
          <w:tcPr>
            <w:tcW w:w="900" w:type="dxa"/>
            <w:vAlign w:val="bottom"/>
            <w:gridSpan w:val="3"/>
          </w:tcPr>
          <w:p>
            <w:pPr>
              <w:jc w:val="center"/>
              <w:ind w:left="632"/>
              <w:spacing w:after="0" w:line="205" w:lineRule="exact"/>
              <w:rPr>
                <w:sz w:val="20"/>
                <w:szCs w:val="20"/>
                <w:color w:val="auto"/>
              </w:rPr>
            </w:pPr>
            <w:r>
              <w:rPr>
                <w:rFonts w:ascii="Arial" w:cs="Arial" w:eastAsia="Arial" w:hAnsi="Arial"/>
                <w:sz w:val="18"/>
                <w:szCs w:val="18"/>
                <w:color w:val="0000FF"/>
                <w:w w:val="89"/>
              </w:rPr>
              <w:t>58</w:t>
            </w:r>
          </w:p>
        </w:tc>
        <w:tc>
          <w:tcPr>
            <w:tcW w:w="100" w:type="dxa"/>
            <w:vAlign w:val="bottom"/>
          </w:tcPr>
          <w:p>
            <w:pPr>
              <w:spacing w:after="0"/>
              <w:rPr>
                <w:sz w:val="17"/>
                <w:szCs w:val="17"/>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9940" w:type="dxa"/>
            <w:vAlign w:val="bottom"/>
            <w:gridSpan w:val="12"/>
          </w:tcPr>
          <w:p>
            <w:pPr>
              <w:spacing w:after="0" w:line="205" w:lineRule="exact"/>
              <w:rPr>
                <w:sz w:val="20"/>
                <w:szCs w:val="20"/>
                <w:color w:val="auto"/>
              </w:rPr>
            </w:pPr>
            <w:r>
              <w:rPr>
                <w:rFonts w:ascii="Arial" w:cs="Arial" w:eastAsia="Arial" w:hAnsi="Arial"/>
                <w:sz w:val="18"/>
                <w:szCs w:val="18"/>
                <w:color w:val="0000FF"/>
              </w:rPr>
              <w:t>Industry Trends and Uncertainties</w:t>
            </w:r>
          </w:p>
        </w:tc>
        <w:tc>
          <w:tcPr>
            <w:tcW w:w="900" w:type="dxa"/>
            <w:vAlign w:val="bottom"/>
            <w:gridSpan w:val="3"/>
          </w:tcPr>
          <w:p>
            <w:pPr>
              <w:jc w:val="center"/>
              <w:ind w:left="632"/>
              <w:spacing w:after="0" w:line="205" w:lineRule="exact"/>
              <w:rPr>
                <w:sz w:val="20"/>
                <w:szCs w:val="20"/>
                <w:color w:val="auto"/>
              </w:rPr>
            </w:pPr>
            <w:r>
              <w:rPr>
                <w:rFonts w:ascii="Arial" w:cs="Arial" w:eastAsia="Arial" w:hAnsi="Arial"/>
                <w:sz w:val="18"/>
                <w:szCs w:val="18"/>
                <w:color w:val="0000FF"/>
                <w:w w:val="89"/>
              </w:rPr>
              <w:t>59</w:t>
            </w:r>
          </w:p>
        </w:tc>
        <w:tc>
          <w:tcPr>
            <w:tcW w:w="100" w:type="dxa"/>
            <w:vAlign w:val="bottom"/>
          </w:tcPr>
          <w:p>
            <w:pPr>
              <w:spacing w:after="0"/>
              <w:rPr>
                <w:sz w:val="17"/>
                <w:szCs w:val="17"/>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3060" w:type="dxa"/>
            <w:vAlign w:val="bottom"/>
            <w:tcBorders>
              <w:bottom w:val="single" w:sz="8" w:color="0000FF"/>
            </w:tcBorders>
            <w:gridSpan w:val="9"/>
          </w:tcPr>
          <w:p>
            <w:pPr>
              <w:spacing w:after="0" w:line="205" w:lineRule="exact"/>
              <w:rPr>
                <w:sz w:val="20"/>
                <w:szCs w:val="20"/>
                <w:color w:val="auto"/>
              </w:rPr>
            </w:pPr>
            <w:r>
              <w:rPr>
                <w:rFonts w:ascii="Arial" w:cs="Arial" w:eastAsia="Arial" w:hAnsi="Arial"/>
                <w:sz w:val="18"/>
                <w:szCs w:val="18"/>
                <w:color w:val="0000FF"/>
                <w:w w:val="90"/>
              </w:rPr>
              <w:t>Summary of Critical Accounting Estimates</w:t>
            </w:r>
          </w:p>
        </w:tc>
        <w:tc>
          <w:tcPr>
            <w:tcW w:w="6880" w:type="dxa"/>
            <w:vAlign w:val="bottom"/>
            <w:gridSpan w:val="3"/>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89"/>
              </w:rPr>
              <w:t>60</w:t>
            </w:r>
          </w:p>
        </w:tc>
        <w:tc>
          <w:tcPr>
            <w:tcW w:w="100" w:type="dxa"/>
            <w:vAlign w:val="bottom"/>
          </w:tcPr>
          <w:p>
            <w:pPr>
              <w:spacing w:after="0"/>
              <w:rPr>
                <w:sz w:val="17"/>
                <w:szCs w:val="17"/>
                <w:color w:val="auto"/>
              </w:rPr>
            </w:pPr>
          </w:p>
        </w:tc>
      </w:tr>
      <w:tr>
        <w:trPr>
          <w:trHeight w:val="205"/>
        </w:trPr>
        <w:tc>
          <w:tcPr>
            <w:tcW w:w="9940" w:type="dxa"/>
            <w:vAlign w:val="bottom"/>
            <w:gridSpan w:val="12"/>
          </w:tcPr>
          <w:p>
            <w:pPr>
              <w:spacing w:after="0" w:line="205" w:lineRule="exact"/>
              <w:rPr>
                <w:sz w:val="20"/>
                <w:szCs w:val="20"/>
                <w:color w:val="auto"/>
              </w:rPr>
            </w:pPr>
            <w:r>
              <w:rPr>
                <w:rFonts w:ascii="Arial" w:cs="Arial" w:eastAsia="Arial" w:hAnsi="Arial"/>
                <w:sz w:val="18"/>
                <w:szCs w:val="18"/>
                <w:color w:val="0000FF"/>
              </w:rPr>
              <w:t>Non-GAAP and Other Financial Disclosures</w:t>
            </w:r>
          </w:p>
        </w:tc>
        <w:tc>
          <w:tcPr>
            <w:tcW w:w="900" w:type="dxa"/>
            <w:vAlign w:val="bottom"/>
            <w:gridSpan w:val="3"/>
          </w:tcPr>
          <w:p>
            <w:pPr>
              <w:jc w:val="center"/>
              <w:ind w:left="632"/>
              <w:spacing w:after="0" w:line="205" w:lineRule="exact"/>
              <w:rPr>
                <w:sz w:val="20"/>
                <w:szCs w:val="20"/>
                <w:color w:val="auto"/>
              </w:rPr>
            </w:pPr>
            <w:r>
              <w:rPr>
                <w:rFonts w:ascii="Arial" w:cs="Arial" w:eastAsia="Arial" w:hAnsi="Arial"/>
                <w:sz w:val="18"/>
                <w:szCs w:val="18"/>
                <w:color w:val="0000FF"/>
                <w:w w:val="89"/>
              </w:rPr>
              <w:t>63</w:t>
            </w:r>
          </w:p>
        </w:tc>
        <w:tc>
          <w:tcPr>
            <w:tcW w:w="100" w:type="dxa"/>
            <w:vAlign w:val="bottom"/>
          </w:tcPr>
          <w:p>
            <w:pPr>
              <w:spacing w:after="0"/>
              <w:rPr>
                <w:sz w:val="17"/>
                <w:szCs w:val="17"/>
                <w:color w:val="auto"/>
              </w:rPr>
            </w:pPr>
          </w:p>
        </w:tc>
      </w:tr>
      <w:tr>
        <w:trPr>
          <w:trHeight w:val="205"/>
        </w:trPr>
        <w:tc>
          <w:tcPr>
            <w:tcW w:w="1540" w:type="dxa"/>
            <w:vAlign w:val="bottom"/>
            <w:tcBorders>
              <w:top w:val="single" w:sz="8" w:color="0000FF"/>
              <w:bottom w:val="single" w:sz="8" w:color="0000FF"/>
            </w:tcBorders>
            <w:gridSpan w:val="5"/>
          </w:tcPr>
          <w:p>
            <w:pPr>
              <w:spacing w:after="0" w:line="205" w:lineRule="exact"/>
              <w:rPr>
                <w:sz w:val="20"/>
                <w:szCs w:val="20"/>
                <w:color w:val="auto"/>
              </w:rPr>
            </w:pPr>
            <w:r>
              <w:rPr>
                <w:rFonts w:ascii="Arial" w:cs="Arial" w:eastAsia="Arial" w:hAnsi="Arial"/>
                <w:sz w:val="18"/>
                <w:szCs w:val="18"/>
                <w:color w:val="0000FF"/>
                <w:w w:val="87"/>
              </w:rPr>
              <w:t>Results of Operations</w:t>
            </w:r>
          </w:p>
        </w:tc>
        <w:tc>
          <w:tcPr>
            <w:tcW w:w="1620" w:type="dxa"/>
            <w:vAlign w:val="bottom"/>
            <w:tcBorders>
              <w:top w:val="single" w:sz="8" w:color="0000FF"/>
            </w:tcBorders>
            <w:gridSpan w:val="5"/>
          </w:tcPr>
          <w:p>
            <w:pPr>
              <w:spacing w:after="0"/>
              <w:rPr>
                <w:sz w:val="17"/>
                <w:szCs w:val="17"/>
                <w:color w:val="auto"/>
              </w:rPr>
            </w:pPr>
          </w:p>
        </w:tc>
        <w:tc>
          <w:tcPr>
            <w:tcW w:w="6780" w:type="dxa"/>
            <w:vAlign w:val="bottom"/>
            <w:gridSpan w:val="2"/>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89"/>
              </w:rPr>
              <w:t>65</w:t>
            </w:r>
          </w:p>
        </w:tc>
        <w:tc>
          <w:tcPr>
            <w:tcW w:w="100" w:type="dxa"/>
            <w:vAlign w:val="bottom"/>
          </w:tcPr>
          <w:p>
            <w:pPr>
              <w:spacing w:after="0"/>
              <w:rPr>
                <w:sz w:val="17"/>
                <w:szCs w:val="17"/>
                <w:color w:val="auto"/>
              </w:rPr>
            </w:pPr>
          </w:p>
        </w:tc>
      </w:tr>
      <w:tr>
        <w:trPr>
          <w:trHeight w:val="205"/>
        </w:trPr>
        <w:tc>
          <w:tcPr>
            <w:tcW w:w="860" w:type="dxa"/>
            <w:vAlign w:val="bottom"/>
            <w:tcBorders>
              <w:bottom w:val="single" w:sz="8" w:color="0000FF"/>
            </w:tcBorders>
            <w:gridSpan w:val="2"/>
          </w:tcPr>
          <w:p>
            <w:pPr>
              <w:spacing w:after="0" w:line="205" w:lineRule="exact"/>
              <w:rPr>
                <w:sz w:val="20"/>
                <w:szCs w:val="20"/>
                <w:color w:val="auto"/>
              </w:rPr>
            </w:pPr>
            <w:r>
              <w:rPr>
                <w:rFonts w:ascii="Arial" w:cs="Arial" w:eastAsia="Arial" w:hAnsi="Arial"/>
                <w:sz w:val="18"/>
                <w:szCs w:val="18"/>
                <w:color w:val="0000FF"/>
                <w:w w:val="86"/>
              </w:rPr>
              <w:t>Investments</w:t>
            </w:r>
          </w:p>
        </w:tc>
        <w:tc>
          <w:tcPr>
            <w:tcW w:w="9080" w:type="dxa"/>
            <w:vAlign w:val="bottom"/>
            <w:gridSpan w:val="10"/>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89"/>
              </w:rPr>
              <w:t>72</w:t>
            </w:r>
          </w:p>
        </w:tc>
        <w:tc>
          <w:tcPr>
            <w:tcW w:w="100" w:type="dxa"/>
            <w:vAlign w:val="bottom"/>
          </w:tcPr>
          <w:p>
            <w:pPr>
              <w:spacing w:after="0"/>
              <w:rPr>
                <w:sz w:val="17"/>
                <w:szCs w:val="17"/>
                <w:color w:val="auto"/>
              </w:rPr>
            </w:pPr>
          </w:p>
        </w:tc>
      </w:tr>
      <w:tr>
        <w:trPr>
          <w:trHeight w:val="205"/>
        </w:trPr>
        <w:tc>
          <w:tcPr>
            <w:tcW w:w="820" w:type="dxa"/>
            <w:vAlign w:val="bottom"/>
            <w:tcBorders>
              <w:bottom w:val="single" w:sz="8" w:color="0000FF"/>
            </w:tcBorders>
          </w:tcPr>
          <w:p>
            <w:pPr>
              <w:spacing w:after="0" w:line="205" w:lineRule="exact"/>
              <w:rPr>
                <w:sz w:val="20"/>
                <w:szCs w:val="20"/>
                <w:color w:val="auto"/>
              </w:rPr>
            </w:pPr>
            <w:r>
              <w:rPr>
                <w:rFonts w:ascii="Arial" w:cs="Arial" w:eastAsia="Arial" w:hAnsi="Arial"/>
                <w:sz w:val="18"/>
                <w:szCs w:val="18"/>
                <w:color w:val="0000FF"/>
                <w:w w:val="89"/>
              </w:rPr>
              <w:t>Derivatives</w:t>
            </w:r>
          </w:p>
        </w:tc>
        <w:tc>
          <w:tcPr>
            <w:tcW w:w="9120" w:type="dxa"/>
            <w:vAlign w:val="bottom"/>
            <w:gridSpan w:val="11"/>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Arial" w:cs="Arial" w:eastAsia="Arial" w:hAnsi="Arial"/>
                <w:sz w:val="18"/>
                <w:szCs w:val="18"/>
                <w:color w:val="0000FF"/>
                <w:w w:val="89"/>
              </w:rPr>
              <w:t>81</w:t>
            </w:r>
          </w:p>
        </w:tc>
        <w:tc>
          <w:tcPr>
            <w:tcW w:w="100" w:type="dxa"/>
            <w:vAlign w:val="bottom"/>
          </w:tcPr>
          <w:p>
            <w:pPr>
              <w:spacing w:after="0"/>
              <w:rPr>
                <w:sz w:val="17"/>
                <w:szCs w:val="17"/>
                <w:color w:val="auto"/>
              </w:rPr>
            </w:pPr>
          </w:p>
        </w:tc>
      </w:tr>
      <w:tr>
        <w:trPr>
          <w:trHeight w:val="205"/>
        </w:trPr>
        <w:tc>
          <w:tcPr>
            <w:tcW w:w="9940" w:type="dxa"/>
            <w:vAlign w:val="bottom"/>
            <w:gridSpan w:val="12"/>
          </w:tcPr>
          <w:p>
            <w:pPr>
              <w:spacing w:after="0" w:line="205" w:lineRule="exact"/>
              <w:rPr>
                <w:sz w:val="20"/>
                <w:szCs w:val="20"/>
                <w:color w:val="auto"/>
              </w:rPr>
            </w:pPr>
            <w:r>
              <w:rPr>
                <w:rFonts w:ascii="Arial" w:cs="Arial" w:eastAsia="Arial" w:hAnsi="Arial"/>
                <w:sz w:val="18"/>
                <w:szCs w:val="18"/>
                <w:color w:val="0000FF"/>
              </w:rPr>
              <w:t>Policyholder Liabilities</w:t>
            </w:r>
          </w:p>
        </w:tc>
        <w:tc>
          <w:tcPr>
            <w:tcW w:w="900" w:type="dxa"/>
            <w:vAlign w:val="bottom"/>
            <w:gridSpan w:val="3"/>
          </w:tcPr>
          <w:p>
            <w:pPr>
              <w:jc w:val="center"/>
              <w:ind w:left="632"/>
              <w:spacing w:after="0" w:line="205" w:lineRule="exact"/>
              <w:rPr>
                <w:sz w:val="20"/>
                <w:szCs w:val="20"/>
                <w:color w:val="auto"/>
              </w:rPr>
            </w:pPr>
            <w:r>
              <w:rPr>
                <w:rFonts w:ascii="Arial" w:cs="Arial" w:eastAsia="Arial" w:hAnsi="Arial"/>
                <w:sz w:val="18"/>
                <w:szCs w:val="18"/>
                <w:color w:val="0000FF"/>
                <w:w w:val="89"/>
              </w:rPr>
              <w:t>82</w:t>
            </w:r>
          </w:p>
        </w:tc>
        <w:tc>
          <w:tcPr>
            <w:tcW w:w="100" w:type="dxa"/>
            <w:vAlign w:val="bottom"/>
          </w:tcPr>
          <w:p>
            <w:pPr>
              <w:spacing w:after="0"/>
              <w:rPr>
                <w:sz w:val="17"/>
                <w:szCs w:val="17"/>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9940" w:type="dxa"/>
            <w:vAlign w:val="bottom"/>
            <w:gridSpan w:val="12"/>
          </w:tcPr>
          <w:p>
            <w:pPr>
              <w:spacing w:after="0" w:line="205" w:lineRule="exact"/>
              <w:rPr>
                <w:sz w:val="20"/>
                <w:szCs w:val="20"/>
                <w:color w:val="auto"/>
              </w:rPr>
            </w:pPr>
            <w:r>
              <w:rPr>
                <w:rFonts w:ascii="Arial" w:cs="Arial" w:eastAsia="Arial" w:hAnsi="Arial"/>
                <w:sz w:val="18"/>
                <w:szCs w:val="18"/>
                <w:color w:val="0000FF"/>
              </w:rPr>
              <w:t>Liquidity and Capital Resources</w:t>
            </w:r>
          </w:p>
        </w:tc>
        <w:tc>
          <w:tcPr>
            <w:tcW w:w="900" w:type="dxa"/>
            <w:vAlign w:val="bottom"/>
            <w:gridSpan w:val="3"/>
          </w:tcPr>
          <w:p>
            <w:pPr>
              <w:jc w:val="center"/>
              <w:ind w:left="632"/>
              <w:spacing w:after="0" w:line="205" w:lineRule="exact"/>
              <w:rPr>
                <w:sz w:val="20"/>
                <w:szCs w:val="20"/>
                <w:color w:val="auto"/>
              </w:rPr>
            </w:pPr>
            <w:r>
              <w:rPr>
                <w:rFonts w:ascii="Arial" w:cs="Arial" w:eastAsia="Arial" w:hAnsi="Arial"/>
                <w:sz w:val="18"/>
                <w:szCs w:val="18"/>
                <w:color w:val="0000FF"/>
                <w:w w:val="89"/>
              </w:rPr>
              <w:t>85</w:t>
            </w:r>
          </w:p>
        </w:tc>
        <w:tc>
          <w:tcPr>
            <w:tcW w:w="100" w:type="dxa"/>
            <w:vAlign w:val="bottom"/>
          </w:tcPr>
          <w:p>
            <w:pPr>
              <w:spacing w:after="0"/>
              <w:rPr>
                <w:sz w:val="17"/>
                <w:szCs w:val="17"/>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9940" w:type="dxa"/>
            <w:vAlign w:val="bottom"/>
            <w:gridSpan w:val="12"/>
          </w:tcPr>
          <w:p>
            <w:pPr>
              <w:spacing w:after="0" w:line="205" w:lineRule="exact"/>
              <w:rPr>
                <w:sz w:val="20"/>
                <w:szCs w:val="20"/>
                <w:color w:val="auto"/>
              </w:rPr>
            </w:pPr>
            <w:r>
              <w:rPr>
                <w:rFonts w:ascii="Arial" w:cs="Arial" w:eastAsia="Arial" w:hAnsi="Arial"/>
                <w:sz w:val="18"/>
                <w:szCs w:val="18"/>
                <w:color w:val="0000FF"/>
              </w:rPr>
              <w:t>Note Regarding Forward-Looking Statements</w:t>
            </w:r>
          </w:p>
        </w:tc>
        <w:tc>
          <w:tcPr>
            <w:tcW w:w="900" w:type="dxa"/>
            <w:vAlign w:val="bottom"/>
            <w:gridSpan w:val="3"/>
          </w:tcPr>
          <w:p>
            <w:pPr>
              <w:jc w:val="center"/>
              <w:ind w:left="632"/>
              <w:spacing w:after="0" w:line="205" w:lineRule="exact"/>
              <w:rPr>
                <w:sz w:val="20"/>
                <w:szCs w:val="20"/>
                <w:color w:val="auto"/>
              </w:rPr>
            </w:pPr>
            <w:r>
              <w:rPr>
                <w:rFonts w:ascii="Arial" w:cs="Arial" w:eastAsia="Arial" w:hAnsi="Arial"/>
                <w:sz w:val="18"/>
                <w:szCs w:val="18"/>
                <w:color w:val="0000FF"/>
                <w:w w:val="89"/>
              </w:rPr>
              <w:t>92</w:t>
            </w:r>
          </w:p>
        </w:tc>
        <w:tc>
          <w:tcPr>
            <w:tcW w:w="100" w:type="dxa"/>
            <w:vAlign w:val="bottom"/>
          </w:tcPr>
          <w:p>
            <w:pPr>
              <w:spacing w:after="0"/>
              <w:rPr>
                <w:sz w:val="17"/>
                <w:szCs w:val="17"/>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60"/>
          </w:cols>
          <w:pgMar w:left="320" w:top="227" w:right="61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i w:val="1"/>
          <w:iCs w:val="1"/>
          <w:color w:val="auto"/>
        </w:rPr>
        <w:t>For purposes of this discussion, “Brighthouse Financial,” the “Company,” “we,” “our” and “us” refer to Brighthouse Financial, Inc. and its subsidiaries, and “BHF” refers solely to Brighthouse Financial, Inc., the ultimate holding company for all of our subsidiaries, and not to any of its subsidiaries. This Management’s Discussion and Analysis of Financial Condition and Results of Operations should be read in conjunction with (i) the Interim Condensed Consolidated Financial Statements and related notes included elsewhere herein; (ii) our Annual Report on Form 10-K for the year ended December 31, 2022, filed with the U.S. Securities and Exchange Commission (“SEC”) on February 23, 2023 (the “2022 Annual Report”); and (iii) our current reports on Form 8-K filed in 2023.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1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This Management’s Discussion and Analysis of Financial Condition and Results of Operations is intended to help the reader understand the results of operations, financial condition and cash flows of Brighthouse Financial for the periods indicated. Prior to discussing our results of operations, we present information that we believe is useful to understanding the discussion of our financial results. This information precedes our results of operations discussion and is most beneficial when read in the sequence presented. A summary of key informational sections is as follows:</w:t>
      </w:r>
    </w:p>
    <w:p>
      <w:pPr>
        <w:spacing w:after="0" w:line="71"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“Executive Summary” provides summarized information regarding our business, segments and financial results.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“Industry Trends and Uncertainties” discusses updates and changes to a number of trends and uncertainties included in our 2022 Annual Report that we believe may materially affect our future financial condition, results of operations or cash flows.</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“Summary of Critical Accounting Estimates” explains the most critical estimates and judgments applied in determining our results in accordance with accounting principles generally accepted in the United States of America (“GAAP”).</w:t>
      </w:r>
    </w:p>
    <w:p>
      <w:pPr>
        <w:spacing w:after="0" w:line="74" w:lineRule="exact"/>
        <w:rPr>
          <w:rFonts w:ascii="Arial" w:cs="Arial" w:eastAsia="Arial" w:hAnsi="Arial"/>
          <w:sz w:val="18"/>
          <w:szCs w:val="18"/>
          <w:color w:val="auto"/>
        </w:rPr>
      </w:pPr>
    </w:p>
    <w:p>
      <w:pPr>
        <w:jc w:val="both"/>
        <w:ind w:left="640" w:hanging="316"/>
        <w:spacing w:after="0" w:line="250"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“Non-GAAP and Other Financial Disclosures” defines key financial measures presented in our results of operations discussion that are not calculated in accordance with GAAP but are used by management in evaluating company and segment performance. As described in this section, adjusted earnings is presented by key business activities which are derived, but different, from the line items presented in the GAAP statements of operations. This section also refers to certain other terms used to describe our insurance business and financial and operating metrics but is not intended to be exhaustive.</w:t>
      </w:r>
    </w:p>
    <w:p>
      <w:pPr>
        <w:spacing w:after="0" w:line="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Results of Operations discussion and analysis presents a review for the three months ended March 31, 2023 and 2022 and period-over-period comparisons between these periods.</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Certain amounts presented in prior periods within the following discussions of our financial results have been reclassified to conform with the current year presentation.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are one of the largest providers of annuity and life insurance products in the U.S. through multiple independent distribution channels and marketing arrangements with a diverse network of distribution partners. We are organized into three segments: (i) Annuities, (ii) Life and (iii) Run-off, which consists of products that are no longer actively sold and are separately managed. In addition, we report certain of our results of operations in Corporate &amp; Other. See “Business — Segments and Corporate &amp; Other” and “Management’s Discussion and Analysis of Financial Condition and Results of Operations — Executive Summary” included in our 2022 Annual Report, as well as Note 3 of the Notes to the Interim Condensed Consolidated Financial Statements for further information regarding our segments and Corporate &amp; Other.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59" w:name="page60"/>
    <w:bookmarkEnd w:id="59"/>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income (loss) available to shareholders and adjusted earnings, a non-GAAP financial measure, were as follows:</w:t>
      </w:r>
    </w:p>
    <w:p>
      <w:pPr>
        <w:spacing w:after="0" w:line="247"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2022</w:t>
            </w:r>
          </w:p>
        </w:tc>
      </w:tr>
      <w:tr>
        <w:trPr>
          <w:trHeight w:val="191"/>
        </w:trPr>
        <w:tc>
          <w:tcPr>
            <w:tcW w:w="8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8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6"/>
                <w:szCs w:val="16"/>
                <w:color w:val="auto"/>
              </w:rPr>
            </w:pPr>
          </w:p>
        </w:tc>
      </w:tr>
      <w:tr>
        <w:trPr>
          <w:trHeight w:val="219"/>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1,974</w:t>
            </w:r>
          </w:p>
        </w:tc>
      </w:tr>
      <w:tr>
        <w:trPr>
          <w:trHeight w:val="210"/>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Provision for income tax expense (benefit)</w:t>
            </w: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r>
      <w:tr>
        <w:trPr>
          <w:trHeight w:val="233"/>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available to shareholders (1)</w:t>
            </w: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1,558</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59"/>
        </w:trPr>
        <w:tc>
          <w:tcPr>
            <w:tcW w:w="8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12"/>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adjusted earnings, less net income (loss) attributable to noncontrolling interests and preferred stock dividends</w:t>
            </w:r>
          </w:p>
        </w:tc>
        <w:tc>
          <w:tcPr>
            <w:tcW w:w="880" w:type="dxa"/>
            <w:vAlign w:val="bottom"/>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r>
      <w:tr>
        <w:trPr>
          <w:trHeight w:val="209"/>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Provision for income tax expense (benefit)</w:t>
            </w: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r>
      <w:tr>
        <w:trPr>
          <w:trHeight w:val="233"/>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earnings</w:t>
            </w: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use the term “net income (loss) available to shareholders” to refer to “net income (loss) available to Brighthouse Financial, Inc.’s common shareholders” throughout the results of operations discussions.</w:t>
      </w:r>
    </w:p>
    <w:p>
      <w:pPr>
        <w:spacing w:after="0" w:line="12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For the three months ended March 31, 2023, we had a net loss available to shareholders of $525 million and adjusted earnings of $195 million compared to net income available to shareholders of $1.6 billion and adjusted earnings of $380 million for the three months ended March 31, 2022. Net loss available to shareholders for the three months ended March 31, 2023 primarily reflects net unfavorable changes in the estimated fair value of our variable annuity guaranteed benefit riders due to market factors, net investment losses on sales of fixed maturity securities and net investment losses on mortgage loans. These unfavorable impacts were partially offset by favorable pre-tax adjusted earnings and decreasing long-term interest rates resulting in a favorable change in the estimated fair value of freestanding interest rate derivatives we use to hedge our universal life with secondary guarantees (“ULSG”) business.</w:t>
      </w:r>
    </w:p>
    <w:p>
      <w:pPr>
        <w:spacing w:after="0" w:line="99" w:lineRule="exact"/>
        <w:rPr>
          <w:sz w:val="20"/>
          <w:szCs w:val="20"/>
          <w:color w:val="auto"/>
        </w:rPr>
      </w:pPr>
    </w:p>
    <w:p>
      <w:pPr>
        <w:ind w:right="2000" w:firstLine="318"/>
        <w:spacing w:after="0" w:line="387" w:lineRule="auto"/>
        <w:rPr>
          <w:sz w:val="20"/>
          <w:szCs w:val="20"/>
          <w:color w:val="auto"/>
        </w:rPr>
      </w:pPr>
      <w:r>
        <w:rPr>
          <w:rFonts w:ascii="Arial" w:cs="Arial" w:eastAsia="Arial" w:hAnsi="Arial"/>
          <w:sz w:val="18"/>
          <w:szCs w:val="18"/>
          <w:color w:val="auto"/>
        </w:rPr>
        <w:t xml:space="preserve">See “— Non-GAAP and Other Financial Disclosures.” See “— Results of Operations” for a detailed discussion of our results. </w:t>
      </w:r>
      <w:r>
        <w:rPr>
          <w:rFonts w:ascii="Arial" w:cs="Arial" w:eastAsia="Arial" w:hAnsi="Arial"/>
          <w:sz w:val="18"/>
          <w:szCs w:val="18"/>
          <w:b w:val="1"/>
          <w:bCs w:val="1"/>
          <w:color w:val="auto"/>
        </w:rPr>
        <w:t>Industry Trends and Uncertainties</w:t>
      </w:r>
    </w:p>
    <w:p>
      <w:pPr>
        <w:spacing w:after="0" w:line="2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Throughout this Management’s Discussion and Analysis of Financial Condition and Results of Operations, we discuss a number of trends and uncertainties that we believe may materially affect our future financial condition, results of operations or cash flows. Where these trends or uncertainties are specific to a particular aspect of our business, we often include such a discussion under the relevant caption of this Management’s Discussion and Analysis of Financial Condition and Results of Operations, as part of our broader analysis of that area of our business. Refer to “Management’s Discussion and Analysis of Financial Condition and Results of Operations — Industry Trends and Uncertainties” included in our 2022 Annual Report for a comprehensive discussion of some of the key general trends and uncertainties that have influenced the development of our business and our historical financial performance and that we believe will continue to influence our business and results of operations in the future. In addition, significant changes or updates in certain of these trends and uncertainties are discussed below.</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and Economic Environment</w:t>
      </w:r>
    </w:p>
    <w:p>
      <w:pPr>
        <w:spacing w:after="0" w:line="111"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Our business and results of operations are materially affected by conditions in the capital markets and the economy generally. Stressed conditions, volatility and disruptions in the capital markets or financial asset classes can have an adverse effect on us. Equity market performance can affect our profitability for variable annuities and other separate account products as a result of the effects it has on product demand, revenues, expenses, reserves and our risk management effectiveness. The level of long-term interest rates and the shape of the yield curve can have a negative effect on the profitability for variable annuities and the demand for, and the profitability of, spread-based products such as fixed annuities, index-linked annuities and universal life insurance. Low interest rates and risk premium, including credit spread, affect new money rates on invested assets and the cost of product guarantees. Insurance premium growth and demand for our products is impacted by the general health of U.S. economic activity. A sustained or material increase in inflation could also affect our business in several ways. During inflationary periods, the value of fixed income investments falls which could increase realized and unrealized losses. Interest rates have increased and may continue to increase due to central bank policy responses to combat inflation, which may positively impact our business in certain respects, but could also increase the risk of a recession or an equity market downturn and could negatively impact various portions of our business, including our investment portfolio. Inflation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increases our expenses (including, among others, for labor and third-party services), potentially putting pressure on profitability if such costs cannot be passed through to policyholders in our product prices. Prolonged and elevated inflation could adversely affect the financial markets and the economy generally and dispelling it may require governments to pursue a restrictive fiscal and monetary policy, which could constrain overall economic activity and inhibit revenue growth. Events involving limited liquidity, defaults, nonperformance or other adverse developments that affect financial institutions or the financial services industry generally, or concerns or rumors about events of these kinds or other similar risks, could adversely affect market-wide liquidity, which could increase the risk of a recession or an equity market downturn and negatively impact various portions of our business, including our investment portfolio. See “Risk Factors — Economic Environment and Capital Markets-Related Risks — If difficult conditions in the capital markets and the U.S. economy generally persist or are perceived to persist, they may materially adversely affect our business and results of operations” and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2022 Annual Report.</w:t>
      </w:r>
    </w:p>
    <w:p>
      <w:pPr>
        <w:spacing w:after="0" w:line="5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continue to closely monitor political and economic conditions that might contribute to market volatility and their impact on our business operations, investment portfolio and derivatives, such as global inflation, uncertainty and instability in certain asset classes (including commercial real estate), supply chain disruptions and the Russia-Ukraine conflict. See “— Investments — Current Environment” herein, as well as “Risk Factors — Economic Environment and Capital Markets-Related Risks,” “Risk Factors — Risks Related to our Investment Portfolio,” “Management’s Discussion and Analysis of Financial Condition and Results of Operations — Risk Management Strategies,” “Management’s Discussion and Analysis of Financial Condition and Results of Operations — Industry Trends and Uncertainties” and “Management’s Discussion and Analysis of Financial Condition and Results of Operations — Investments” included in our 2022 Annual Report for a detailed discussion of financial and economic impacts on our business, including the potential impacts of interest rate risk and inflation risk on our investments and overall business.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1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continue to closely monitor developments related to the COVID-19 pandemic, which has negatively impacted us in certain respects. At this time, it continues to not be possible to estimate the severity, duration and frequency of any additional “waves” or emerging variants of COVID-19. It likewise remains not possible to predict or estimate the longer-term effects of the pandemic, or any actions taken to contain or address the pandemic, on the economy at large and on our business, financial condition, results of operations and prospects, including the impact on our investment portfolio and our ratings, or the need for us to revisit or revise any targets we may provide to the markets or any aspects of our business model. See “Business — Regulation,” “Risk Factors — Risks Related to Our Business — Public health crises, extreme mortality events or similar occurrences may adversely impact our business, financial condition, or results of operations, as well as the economy in general” and “Management’s Discussion and Analysis of Financial Condition and Results of Operations — Industry Trends and Uncertainties — COVID-19 Pandemic” included in our 2022 Annual Report.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Developments</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insurance subsidiaries and Brighthouse Reinsurance Company of Delaware (“BRCD”) are regulated primarily at the state level, with some products and services also subject to federal regulation. In addition, BHF and its insurance subsidiaries are subject to regulation under the insurance holding company laws of various U.S. jurisdictions. Furthermore, some of our operations, products and services are subject to the Employee Retirement Income Security Act of 1974, consumer protection laws, securities, broker-dealer and investment advisor regulations, as well as environmental and unclaimed property laws and regulations. See “Business — Regulation,” as well as “Risk Factors — Regulatory and Legal Risks” included in our 2022 Annual Report, as amended or supplemented by our subsequent Quarterly Reports under the heading “Management’s Discussion and Analysis of Financial Condition and Results of Operations — Industry Trends and Uncertainties — Regulatory Developments.”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Estimates</w:t>
      </w:r>
    </w:p>
    <w:p>
      <w:pPr>
        <w:spacing w:after="0" w:line="170"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adopt accounting policies and make estimates and assumptions that affect amounts reported on the Interim Condensed Consolidated Financial Statements.</w:t>
      </w:r>
    </w:p>
    <w:p>
      <w:pPr>
        <w:spacing w:after="0" w:line="128"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 connection with the adoption of new guidance on long-duration contracts (ASU 2018-12, Financial Services-Insurance (Topic 944): Targeted Improvements to the Accounting for Long-Duration Contracts (“LDTI”)), the Company updated its impacted critical accounting estimates as described below.</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most critical estimates include those used in determining:</w:t>
      </w:r>
    </w:p>
    <w:p>
      <w:pPr>
        <w:spacing w:after="0" w:line="111" w:lineRule="exact"/>
        <w:rPr>
          <w:sz w:val="20"/>
          <w:szCs w:val="20"/>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liability for future policy benefits (“LFPB”);</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estimated fair values of market risk benefits (“MRB”);</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estimated fair values of freestanding derivatives and the recognition and estimated fair value of embedded derivatives requiring bifurcation; and</w:t>
      </w:r>
    </w:p>
    <w:p>
      <w:pPr>
        <w:spacing w:after="0" w:line="145" w:lineRule="exact"/>
        <w:rPr>
          <w:rFonts w:ascii="Arial" w:cs="Arial" w:eastAsia="Arial" w:hAnsi="Arial"/>
          <w:sz w:val="15"/>
          <w:szCs w:val="15"/>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measurement of income taxes and the valuation of deferred tax assets.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spacing w:after="0" w:line="13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above critical accounting estimates are described below and in Note 1 of the Notes to the Interim Condensed Consolidated Financial Statements. See “Management’s Discussion and Analysis of Financial Condition and Results of Operations — Summary of Critical Accounting Estimates” in the 2022 Annual Report for a description of income taxes and the valuation of deferred tax assets, which remains unchanged following the adoption of LDTI.</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for Future Policy Benefits</w:t>
      </w:r>
    </w:p>
    <w:p>
      <w:pPr>
        <w:spacing w:after="0" w:line="11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establishes an LFPB for non-participating term and whole life insurance and income annuities. LFPBs are accrued over time as revenue is recognized based on a net premium ratio. The net premium ratio is the portion of gross premiums required to provide for all future benefits. LFPBs are established using the Company’s current assumptions of future cash flows, discounted at a rate that approximates a single A corporate bond curve. The Company generally aggregates insurance contracts into groupings by issue year, product and segment for determining the net premium ratio and related LFPBs.</w:t>
      </w:r>
    </w:p>
    <w:p>
      <w:pPr>
        <w:spacing w:after="0" w:line="8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reviews cash flow assumptions regularly, and, if they change significantly, LFPBs are adjusted by determining a revised net premium ratio. The revised net premium ratio is calculated as of contract inception using both actual historical experience and updated future cash flow assumptions. The recalculated net premium ratio is applied to derive a remeasurement gain or loss recognized in current period net income. The net premium ratio is also updated for the difference between actual and expected experience.</w:t>
      </w:r>
    </w:p>
    <w:p>
      <w:pPr>
        <w:spacing w:after="0" w:line="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measurement of our LFPBs can be significantly impacted by changes in assumptions for mortality, policy lapses and market interest rates. See Note 4 of the Notes to the Interim Condensed Consolidated Financial Statements for additional information on the effects of changes in assumptions on the measurement of our LFPBs.</w:t>
      </w:r>
    </w:p>
    <w:p>
      <w:pPr>
        <w:spacing w:after="0" w:line="8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establishes a liability in addition to the account balance for secondary guarantees on universal life insurance. These liabilities are determined by estimating the expected value of death benefits payable when the account balance is projected to be zero and recognizing those benefits ratably over the contract period based on total expected assessments. The benefits used in calculating the liabilities are based on the average benefits payable over a range of scenarios. The Company also maintains a liability for profits followed by losses on ULSG determined by projecting future earnings and establishing a liability to offset losses that are expected to occur in later years.</w:t>
      </w:r>
    </w:p>
    <w:p>
      <w:pPr>
        <w:spacing w:after="0" w:line="8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reviews cash flow assumptions regularly, and, if they change significantly, the liability for secondary guarantees is adjusted by a cumulative charge or credit to net income.</w:t>
      </w:r>
    </w:p>
    <w:p>
      <w:pPr>
        <w:spacing w:after="0" w:line="7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measurement of our ULSG liabilities can be significantly impacted by changes in assumptions for the general account rate of return, which is driven by our assumption for long-term treasury yields, and changes in assumptions for premium, premium persistency, mortality and lapses. The Company’s practice of projecting treasury yields uses a mean reversion approach that assumes that long-term interest rates are less influenced by short-term fluctuations and are only changed when sustained interim deviations are expected. As part of our 2022 annual actuarial review, we increased our projected long-term general account earned rate, as well as our mean reversion rate over a period of ten years from 3.00% to 3.50%. We also updated other assumptions related to ULSG, see “Management’s Discussion and Analysis of Financial Condition and Results of Operations — Results of Operations — Annual Actuarial Review” included in our 2022 Annual Report.</w:t>
      </w:r>
    </w:p>
    <w:p>
      <w:pPr>
        <w:spacing w:after="0" w:line="9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Note 4 of the Notes to the Interim Condensed Consolidated Financial Statements for additional information on the effects of inputs and assumptions on the measurement of ULSG liabilities.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 Benefits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MRBs principally include guaranteed minimum benefits on variable annuity contracts, including reinsured benefits related to these guarantees.</w:t>
      </w:r>
    </w:p>
    <w:p>
      <w:pPr>
        <w:spacing w:after="0" w:line="12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estimated fair value of variable annuity guarantees accounted for as MRBs is determined based on the present value of projected future benefits, less the present value of projected future fees attributable to the guarantees. At policy inception, the Company determines an attributed fee ratio by solving for a percentage of projected future rider fees to be collected from the policyholder equal to the present value of projected future guaranteed benefits. To the extent the rider fees are insufficient, the Company may also include fees related to mortality and expense charges in the attributed fee ratio, provided the total fees included in the calculation do not exceed total contract fees and assessments collected from the contract holder. The attributed fee ratio is not updated in subsequent periods.</w:t>
      </w:r>
    </w:p>
    <w:p>
      <w:pPr>
        <w:spacing w:after="0" w:line="9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updates the estimated fair value of variable annuity guarantees in subsequent periods by projecting future benefits using capital markets inputs and actuarial assumptions, including expectations of policyholder behavior. A risk neutral valuation methodology is used to project the cash flows from the guarantees under multiple capital markets scenarios. The reported estimated fair value is then determined by taking the present value of these cash flows using a discount rate that incorporates a spread over the risk-free rate to reflect the Company’s nonperformance risk and adding a risk margin (as discussed below). For more information on the determination of estimated fair value of MRBs, see Note 8 of the Notes to the Interim Condensed Consolidated Financial Statements.</w:t>
      </w:r>
    </w:p>
    <w:p>
      <w:pPr>
        <w:spacing w:after="0" w:line="9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valuation of MRBs includes an adjustment for the risk that the Company fails to satisfy its obligations, which is referred to as nonperformance risk. The nonperformance risk adjustment is captured as an additional spread applied to the risk-free rate in determining the rate to discount the cash flows of the liability. The spread over the risk-free rate is based on our creditworthiness taking into consideration publicly available information relating to spreads in the secondary market for Brighthouse Financial’s debt. These observable spreads are then adjusted, as necessary, to reflect the financial strength ratings of the issuing insurance subsidiaries as compared to the credit rating of Brighthouse Financial.</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Risk margins are established to capture the non-capital markets risks of the instrument which represent the additional compensation a market participant would require to assume the risks related to the uncertainties in certain actuarial assumptions. The establishment of risk margins requires the use of significant actuarial judgment, including assumptions of the amount needed to cover the guarantees.</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Actuarial assumptions are reviewed at least annually, and if they change significantly, the estimated fair value is adjusted through net income. Capital market inputs used in the measurement of variable annuity guarantees are updated quarterly through net income, except for the change attributable to the Company’s nonperformance risk, which is reported in other comprehensive income (loss) (“OCI”).</w:t>
      </w:r>
    </w:p>
    <w:p>
      <w:pPr>
        <w:spacing w:after="0" w:line="8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Market conditions, including, but not limited to, changes in interest rates, equity indices, market volatility and variations in actuarial assumptions, including policyholder behavior, mortality and risk margins related to non-capital markets inputs, as well as changes in nonperformance risk, may result in significant fluctuations in the estimated fair value of the guarantees. In 2022, the Company updated fund allocations, market volatility and maintenance expenses, as well as assumptions regarding policyholder behavior, including mortality, lapses and withdrawals. See Note 4 of the Notes to the Interim Condensed Consolidated Financial Statements for additional information on the effects of changes in inputs and assumptions on the measurement of our liabilities for variable annuity guarantees.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1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use freestanding derivative instruments to hedge various capital markets risks in our products, including: (i) certain variable annuity guarantees, which are reported as MRBs; (ii) index-linked interest credited features, which are reported as embedded derivatives; (iii) current or future changes in the fair value of our assets and liabilities; and (iv) current or future changes in cash flows. All derivatives, whether freestanding or embedded, are required to be carried on the balance sheet at fair value with changes reflected in either net income (loss) available to shareholders or in OCI, depending on the type of hedge. Below is a summary of critical accounting estimates by type of derivative.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Freestanding Derivatives</w:t>
      </w:r>
    </w:p>
    <w:p>
      <w:pPr>
        <w:spacing w:after="0" w:line="111"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The determination of the estimated fair value of freestanding derivatives, when quoted market values are not available, is based on market standard valuation methodologies and inputs that management believes are consistent with what other market participants would use when pricing such instruments. Derivative valuations can be affected by changes in interest rates, foreign currency exchange rates, financial indices, credit spreads, default risk, nonperformance risk, volatility, liquidity and changes in estimates and assumptions used in the pricing models. See Note 8 of the Notes to the Interim Condensed Consolidated Financial Statements for additional information on significant inputs into the over-the-counter derivative pricing models and credit risk adjustment.</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Embedded Derivatives in Index-Linked Annuities</w:t>
      </w:r>
    </w:p>
    <w:p>
      <w:pPr>
        <w:spacing w:after="0" w:line="104" w:lineRule="exact"/>
        <w:rPr>
          <w:sz w:val="20"/>
          <w:szCs w:val="20"/>
          <w:color w:val="auto"/>
        </w:rPr>
      </w:pPr>
    </w:p>
    <w:p>
      <w:pPr>
        <w:jc w:val="both"/>
        <w:ind w:left="160" w:firstLine="318"/>
        <w:spacing w:after="0" w:line="274" w:lineRule="auto"/>
        <w:rPr>
          <w:sz w:val="20"/>
          <w:szCs w:val="20"/>
          <w:color w:val="auto"/>
        </w:rPr>
      </w:pPr>
      <w:r>
        <w:rPr>
          <w:rFonts w:ascii="Arial" w:cs="Arial" w:eastAsia="Arial" w:hAnsi="Arial"/>
          <w:sz w:val="16"/>
          <w:szCs w:val="16"/>
          <w:color w:val="auto"/>
        </w:rPr>
        <w:t>The Company issues, and assumes through reinsurance, index-linked annuities, including Shield</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Level Annuities (“Shield” and “Shield Annuities”), that contain crediting rates classified as embedded derivatives. The crediting rates are measured at estimated fair value separately from the fixed annuity host contracts, which is determined using a combination of an option pricing methodology and an option-budget approach. The estimated fair value includes capital market inputs and actuarial policyholder behavior assumptions, including expectations for renewals at the end of the term period. Actuarial assumptions are reviewed at least annually, and, if they change significantly, the estimated fair value is adjusted through net income. Capital market inputs used in the measurement of crediting rate embedded derivatives are updated quarterly through net income.</w:t>
      </w:r>
    </w:p>
    <w:p>
      <w:pPr>
        <w:spacing w:after="0" w:line="72"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Market conditions, including interest rates and implied volatilities, and variations in actuarial assumptions and risk margins, as well as changes in our nonperformance risk adjustment, may result in significant fluctuations in the estimated fair value that could have a material impact on net income. See Note 8 of the Notes to the Interim Condensed Consolidated Financial Statements for more information on the determination of estimated fair value of crediting rate embedded derivatives.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and Other Financial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definitions of non-GAAP and other financial measures may differ from those used by other companies.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Disclosures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Adjusted Earnings</w:t>
      </w:r>
    </w:p>
    <w:p>
      <w:pPr>
        <w:spacing w:after="0" w:line="111" w:lineRule="exact"/>
        <w:rPr>
          <w:sz w:val="20"/>
          <w:szCs w:val="20"/>
          <w:color w:val="auto"/>
        </w:rPr>
      </w:pPr>
    </w:p>
    <w:p>
      <w:pPr>
        <w:jc w:val="both"/>
        <w:ind w:left="160" w:firstLine="318"/>
        <w:spacing w:after="0" w:line="309" w:lineRule="auto"/>
        <w:rPr>
          <w:sz w:val="20"/>
          <w:szCs w:val="20"/>
          <w:color w:val="auto"/>
        </w:rPr>
      </w:pPr>
      <w:r>
        <w:rPr>
          <w:rFonts w:ascii="Arial" w:cs="Arial" w:eastAsia="Arial" w:hAnsi="Arial"/>
          <w:sz w:val="15"/>
          <w:szCs w:val="15"/>
          <w:color w:val="auto"/>
        </w:rPr>
        <w:t>In this report, we present adjusted earnings as a measure of our performance that is not calculated in accordance with GAAP. Adjusted earnings is used by management to evaluate performance and facilitate comparisons to industry results. We believe the presentation of adjusted earnings, as the Company measures it for management purposes, enhances the understanding of our performance by the investor community by highlighting the results of operations and the underlying profitability drivers of our business. Adjusted earnings should not be viewed as a substitute for net income (loss) available to Brighthouse Financial, Inc.’s common shareholders, which is the most directly comparable financial measure calculated in accordance with GAAP. See “— Results of Operations” for a reconciliation of adjusted earnings to net income (loss) available to Brighthouse Financial, Inc.’s common shareholders.</w:t>
      </w:r>
    </w:p>
    <w:p>
      <w:pPr>
        <w:spacing w:after="0" w:line="46"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Adjusted earnings, which may be positive or negative, focuses on our primary businesses by excluding the impact of market volatility, which could distort trends.</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are significant items excluded from total revenues in calculating adjusted earnings:</w:t>
      </w:r>
    </w:p>
    <w:p>
      <w:pPr>
        <w:spacing w:after="0" w:line="111" w:lineRule="exact"/>
        <w:rPr>
          <w:sz w:val="20"/>
          <w:szCs w:val="20"/>
          <w:color w:val="auto"/>
        </w:rPr>
      </w:pPr>
    </w:p>
    <w:p>
      <w:pPr>
        <w:ind w:left="800" w:hanging="317"/>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Net investment gains (losses); and</w:t>
      </w:r>
    </w:p>
    <w:p>
      <w:pPr>
        <w:spacing w:after="0" w:line="111" w:lineRule="exact"/>
        <w:rPr>
          <w:rFonts w:ascii="Arial" w:cs="Arial" w:eastAsia="Arial" w:hAnsi="Arial"/>
          <w:sz w:val="18"/>
          <w:szCs w:val="18"/>
          <w:color w:val="auto"/>
        </w:rPr>
      </w:pPr>
    </w:p>
    <w:p>
      <w:pPr>
        <w:ind w:left="800" w:hanging="317"/>
        <w:spacing w:after="0" w:line="294" w:lineRule="auto"/>
        <w:tabs>
          <w:tab w:leader="none" w:pos="795" w:val="left"/>
        </w:tabs>
        <w:numPr>
          <w:ilvl w:val="0"/>
          <w:numId w:val="34"/>
        </w:numPr>
        <w:rPr>
          <w:rFonts w:ascii="Arial" w:cs="Arial" w:eastAsia="Arial" w:hAnsi="Arial"/>
          <w:sz w:val="17"/>
          <w:szCs w:val="17"/>
          <w:color w:val="auto"/>
        </w:rPr>
      </w:pPr>
      <w:r>
        <w:rPr>
          <w:rFonts w:ascii="Arial" w:cs="Arial" w:eastAsia="Arial" w:hAnsi="Arial"/>
          <w:sz w:val="17"/>
          <w:szCs w:val="17"/>
          <w:color w:val="auto"/>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spacing w:after="0" w:line="5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are significant items excluded from total expenses in calculating adjusted earnings:</w:t>
      </w:r>
    </w:p>
    <w:p>
      <w:pPr>
        <w:spacing w:after="0" w:line="111" w:lineRule="exact"/>
        <w:rPr>
          <w:sz w:val="20"/>
          <w:szCs w:val="20"/>
          <w:color w:val="auto"/>
        </w:rPr>
      </w:pPr>
    </w:p>
    <w:p>
      <w:pPr>
        <w:ind w:left="800" w:hanging="317"/>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 in MRBs;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 in fair value of the crediting rate on experience-rated contracts (“Market Value Adjustments”).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tax impact of the adjustments discussed above is calculated net of the statutory tax rate, which could differ from our effective tax rate.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60" w:firstLine="318"/>
        <w:spacing w:after="0" w:line="365" w:lineRule="auto"/>
        <w:rPr>
          <w:sz w:val="20"/>
          <w:szCs w:val="20"/>
          <w:color w:val="auto"/>
        </w:rPr>
      </w:pPr>
      <w:r>
        <w:rPr>
          <w:rFonts w:ascii="Arial" w:cs="Arial" w:eastAsia="Arial" w:hAnsi="Arial"/>
          <w:sz w:val="15"/>
          <w:szCs w:val="15"/>
          <w:color w:val="auto"/>
        </w:rPr>
        <w:t>We present adjusted earnings in a manner consistent with management’s view of the primary business activities that drive the profitability of our core businesses. The following table illustrates how each component of adjusted earnings is calculated from the GAAP statements of operations line items: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Component of Adjusted Earnings</w:t>
            </w:r>
          </w:p>
        </w:tc>
        <w:tc>
          <w:tcPr>
            <w:tcW w:w="718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How Derived from GAAP (1)</w:t>
            </w:r>
          </w:p>
        </w:tc>
      </w:tr>
      <w:tr>
        <w:trPr>
          <w:trHeight w:val="225"/>
        </w:trPr>
        <w:tc>
          <w:tcPr>
            <w:tcW w:w="380" w:type="dxa"/>
            <w:vAlign w:val="bottom"/>
          </w:tcPr>
          <w:p>
            <w:pPr>
              <w:ind w:left="20"/>
              <w:spacing w:after="0"/>
              <w:rPr>
                <w:sz w:val="20"/>
                <w:szCs w:val="20"/>
                <w:color w:val="auto"/>
              </w:rPr>
            </w:pPr>
            <w:r>
              <w:rPr>
                <w:rFonts w:ascii="Arial" w:cs="Arial" w:eastAsia="Arial" w:hAnsi="Arial"/>
                <w:sz w:val="18"/>
                <w:szCs w:val="18"/>
                <w:color w:val="auto"/>
              </w:rPr>
              <w:t>(i)</w:t>
            </w:r>
          </w:p>
        </w:tc>
        <w:tc>
          <w:tcPr>
            <w:tcW w:w="3680" w:type="dxa"/>
            <w:vAlign w:val="bottom"/>
          </w:tcPr>
          <w:p>
            <w:pPr>
              <w:ind w:left="100"/>
              <w:spacing w:after="0"/>
              <w:rPr>
                <w:sz w:val="20"/>
                <w:szCs w:val="20"/>
                <w:color w:val="auto"/>
              </w:rPr>
            </w:pPr>
            <w:r>
              <w:rPr>
                <w:rFonts w:ascii="Arial" w:cs="Arial" w:eastAsia="Arial" w:hAnsi="Arial"/>
                <w:sz w:val="18"/>
                <w:szCs w:val="18"/>
                <w:color w:val="auto"/>
              </w:rPr>
              <w:t>Fee income</w:t>
            </w:r>
          </w:p>
        </w:tc>
        <w:tc>
          <w:tcPr>
            <w:tcW w:w="920" w:type="dxa"/>
            <w:vAlign w:val="bottom"/>
          </w:tcPr>
          <w:p>
            <w:pPr>
              <w:ind w:left="560"/>
              <w:spacing w:after="0"/>
              <w:rPr>
                <w:sz w:val="20"/>
                <w:szCs w:val="20"/>
                <w:color w:val="auto"/>
              </w:rPr>
            </w:pPr>
            <w:r>
              <w:rPr>
                <w:rFonts w:ascii="Arial" w:cs="Arial" w:eastAsia="Arial" w:hAnsi="Arial"/>
                <w:sz w:val="18"/>
                <w:szCs w:val="18"/>
                <w:color w:val="auto"/>
              </w:rPr>
              <w:t>(i)</w:t>
            </w:r>
          </w:p>
        </w:tc>
        <w:tc>
          <w:tcPr>
            <w:tcW w:w="6260" w:type="dxa"/>
            <w:vAlign w:val="bottom"/>
          </w:tcPr>
          <w:p>
            <w:pPr>
              <w:ind w:left="100"/>
              <w:spacing w:after="0"/>
              <w:rPr>
                <w:sz w:val="20"/>
                <w:szCs w:val="20"/>
                <w:color w:val="auto"/>
              </w:rPr>
            </w:pPr>
            <w:r>
              <w:rPr>
                <w:rFonts w:ascii="Arial" w:cs="Arial" w:eastAsia="Arial" w:hAnsi="Arial"/>
                <w:sz w:val="18"/>
                <w:szCs w:val="18"/>
                <w:i w:val="1"/>
                <w:iCs w:val="1"/>
                <w:color w:val="auto"/>
              </w:rPr>
              <w:t xml:space="preserve">Universal life and investment-type product policy fees </w:t>
            </w:r>
            <w:r>
              <w:rPr>
                <w:rFonts w:ascii="Arial" w:cs="Arial" w:eastAsia="Arial" w:hAnsi="Arial"/>
                <w:sz w:val="18"/>
                <w:szCs w:val="18"/>
                <w:color w:val="auto"/>
              </w:rPr>
              <w:t>plus</w:t>
            </w:r>
            <w:r>
              <w:rPr>
                <w:rFonts w:ascii="Arial" w:cs="Arial" w:eastAsia="Arial" w:hAnsi="Arial"/>
                <w:sz w:val="18"/>
                <w:szCs w:val="18"/>
                <w:i w:val="1"/>
                <w:iCs w:val="1"/>
                <w:color w:val="auto"/>
              </w:rPr>
              <w:t xml:space="preserve"> Other revenues</w:t>
            </w:r>
            <w:r>
              <w:rPr>
                <w:rFonts w:ascii="Arial" w:cs="Arial" w:eastAsia="Arial" w:hAnsi="Arial"/>
                <w:sz w:val="18"/>
                <w:szCs w:val="18"/>
                <w:color w:val="auto"/>
              </w:rPr>
              <w:t>.</w:t>
            </w:r>
          </w:p>
        </w:tc>
      </w:tr>
      <w:tr>
        <w:trPr>
          <w:trHeight w:val="174"/>
        </w:trPr>
        <w:tc>
          <w:tcPr>
            <w:tcW w:w="380" w:type="dxa"/>
            <w:vAlign w:val="bottom"/>
            <w:shd w:val="clear" w:color="auto" w:fill="CCEEFF"/>
          </w:tcPr>
          <w:p>
            <w:pPr>
              <w:ind w:left="20"/>
              <w:spacing w:after="0" w:line="174" w:lineRule="exact"/>
              <w:rPr>
                <w:sz w:val="20"/>
                <w:szCs w:val="20"/>
                <w:color w:val="auto"/>
              </w:rPr>
            </w:pPr>
            <w:r>
              <w:rPr>
                <w:rFonts w:ascii="Arial" w:cs="Arial" w:eastAsia="Arial" w:hAnsi="Arial"/>
                <w:sz w:val="18"/>
                <w:szCs w:val="18"/>
                <w:color w:val="auto"/>
              </w:rPr>
              <w:t>(ii)</w:t>
            </w:r>
          </w:p>
        </w:tc>
        <w:tc>
          <w:tcPr>
            <w:tcW w:w="3680" w:type="dxa"/>
            <w:vAlign w:val="bottom"/>
            <w:shd w:val="clear" w:color="auto" w:fill="CCEEFF"/>
          </w:tcPr>
          <w:p>
            <w:pPr>
              <w:ind w:left="100"/>
              <w:spacing w:after="0" w:line="174" w:lineRule="exact"/>
              <w:rPr>
                <w:sz w:val="20"/>
                <w:szCs w:val="20"/>
                <w:color w:val="auto"/>
              </w:rPr>
            </w:pPr>
            <w:r>
              <w:rPr>
                <w:rFonts w:ascii="Arial" w:cs="Arial" w:eastAsia="Arial" w:hAnsi="Arial"/>
                <w:sz w:val="18"/>
                <w:szCs w:val="18"/>
                <w:color w:val="auto"/>
              </w:rPr>
              <w:t>Net investment spread</w:t>
            </w:r>
          </w:p>
        </w:tc>
        <w:tc>
          <w:tcPr>
            <w:tcW w:w="920" w:type="dxa"/>
            <w:vAlign w:val="bottom"/>
            <w:shd w:val="clear" w:color="auto" w:fill="CCEEFF"/>
          </w:tcPr>
          <w:p>
            <w:pPr>
              <w:ind w:left="560"/>
              <w:spacing w:after="0" w:line="174" w:lineRule="exact"/>
              <w:rPr>
                <w:sz w:val="20"/>
                <w:szCs w:val="20"/>
                <w:color w:val="auto"/>
              </w:rPr>
            </w:pPr>
            <w:r>
              <w:rPr>
                <w:rFonts w:ascii="Arial" w:cs="Arial" w:eastAsia="Arial" w:hAnsi="Arial"/>
                <w:sz w:val="18"/>
                <w:szCs w:val="18"/>
                <w:color w:val="auto"/>
              </w:rPr>
              <w:t>(ii)</w:t>
            </w:r>
          </w:p>
        </w:tc>
        <w:tc>
          <w:tcPr>
            <w:tcW w:w="6260" w:type="dxa"/>
            <w:vAlign w:val="bottom"/>
            <w:shd w:val="clear" w:color="auto" w:fill="CCEEFF"/>
          </w:tcPr>
          <w:p>
            <w:pPr>
              <w:ind w:left="100"/>
              <w:spacing w:after="0" w:line="174" w:lineRule="exact"/>
              <w:rPr>
                <w:sz w:val="20"/>
                <w:szCs w:val="20"/>
                <w:color w:val="auto"/>
              </w:rPr>
            </w:pPr>
            <w:r>
              <w:rPr>
                <w:rFonts w:ascii="Arial" w:cs="Arial" w:eastAsia="Arial" w:hAnsi="Arial"/>
                <w:sz w:val="18"/>
                <w:szCs w:val="18"/>
                <w:i w:val="1"/>
                <w:iCs w:val="1"/>
                <w:color w:val="auto"/>
                <w:w w:val="96"/>
              </w:rPr>
              <w:t xml:space="preserve">Net investment income </w:t>
            </w:r>
            <w:r>
              <w:rPr>
                <w:rFonts w:ascii="Arial" w:cs="Arial" w:eastAsia="Arial" w:hAnsi="Arial"/>
                <w:sz w:val="18"/>
                <w:szCs w:val="18"/>
                <w:color w:val="auto"/>
                <w:w w:val="96"/>
              </w:rPr>
              <w:t>plus Investment Hedge Adjustments reduced by</w:t>
            </w:r>
            <w:r>
              <w:rPr>
                <w:rFonts w:ascii="Arial" w:cs="Arial" w:eastAsia="Arial" w:hAnsi="Arial"/>
                <w:sz w:val="18"/>
                <w:szCs w:val="18"/>
                <w:i w:val="1"/>
                <w:iCs w:val="1"/>
                <w:color w:val="auto"/>
                <w:w w:val="96"/>
              </w:rPr>
              <w:t xml:space="preserve"> Interest</w:t>
            </w:r>
          </w:p>
        </w:tc>
      </w:tr>
      <w:tr>
        <w:trPr>
          <w:trHeight w:val="186"/>
        </w:trPr>
        <w:tc>
          <w:tcPr>
            <w:tcW w:w="380" w:type="dxa"/>
            <w:vAlign w:val="bottom"/>
            <w:shd w:val="clear" w:color="auto" w:fill="CCEEFF"/>
          </w:tcPr>
          <w:p>
            <w:pPr>
              <w:spacing w:after="0"/>
              <w:rPr>
                <w:sz w:val="16"/>
                <w:szCs w:val="16"/>
                <w:color w:val="auto"/>
              </w:rPr>
            </w:pPr>
          </w:p>
        </w:tc>
        <w:tc>
          <w:tcPr>
            <w:tcW w:w="36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260" w:type="dxa"/>
            <w:vAlign w:val="bottom"/>
            <w:shd w:val="clear" w:color="auto" w:fill="CCEEFF"/>
          </w:tcPr>
          <w:p>
            <w:pPr>
              <w:ind w:left="100"/>
              <w:spacing w:after="0" w:line="186" w:lineRule="exact"/>
              <w:rPr>
                <w:sz w:val="20"/>
                <w:szCs w:val="20"/>
                <w:color w:val="auto"/>
              </w:rPr>
            </w:pPr>
            <w:r>
              <w:rPr>
                <w:rFonts w:ascii="Arial" w:cs="Arial" w:eastAsia="Arial" w:hAnsi="Arial"/>
                <w:sz w:val="18"/>
                <w:szCs w:val="18"/>
                <w:i w:val="1"/>
                <w:iCs w:val="1"/>
                <w:color w:val="auto"/>
                <w:w w:val="91"/>
              </w:rPr>
              <w:t xml:space="preserve">credited to policyholder account balances </w:t>
            </w:r>
            <w:r>
              <w:rPr>
                <w:rFonts w:ascii="Arial" w:cs="Arial" w:eastAsia="Arial" w:hAnsi="Arial"/>
                <w:sz w:val="18"/>
                <w:szCs w:val="18"/>
                <w:color w:val="auto"/>
                <w:w w:val="91"/>
              </w:rPr>
              <w:t>(excluding Market Value Adjustments) and</w:t>
            </w:r>
          </w:p>
        </w:tc>
      </w:tr>
      <w:tr>
        <w:trPr>
          <w:trHeight w:val="224"/>
        </w:trPr>
        <w:tc>
          <w:tcPr>
            <w:tcW w:w="38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on future policy benefits.</w:t>
            </w:r>
          </w:p>
        </w:tc>
      </w:tr>
      <w:tr>
        <w:trPr>
          <w:trHeight w:val="173"/>
        </w:trPr>
        <w:tc>
          <w:tcPr>
            <w:tcW w:w="380" w:type="dxa"/>
            <w:vAlign w:val="bottom"/>
          </w:tcPr>
          <w:p>
            <w:pPr>
              <w:ind w:left="20"/>
              <w:spacing w:after="0" w:line="173" w:lineRule="exact"/>
              <w:rPr>
                <w:sz w:val="20"/>
                <w:szCs w:val="20"/>
                <w:color w:val="auto"/>
              </w:rPr>
            </w:pPr>
            <w:r>
              <w:rPr>
                <w:rFonts w:ascii="Arial" w:cs="Arial" w:eastAsia="Arial" w:hAnsi="Arial"/>
                <w:sz w:val="18"/>
                <w:szCs w:val="18"/>
                <w:color w:val="auto"/>
              </w:rPr>
              <w:t>(iii)</w:t>
            </w:r>
          </w:p>
        </w:tc>
        <w:tc>
          <w:tcPr>
            <w:tcW w:w="3680" w:type="dxa"/>
            <w:vAlign w:val="bottom"/>
          </w:tcPr>
          <w:p>
            <w:pPr>
              <w:ind w:left="100"/>
              <w:spacing w:after="0" w:line="173" w:lineRule="exact"/>
              <w:rPr>
                <w:sz w:val="20"/>
                <w:szCs w:val="20"/>
                <w:color w:val="auto"/>
              </w:rPr>
            </w:pPr>
            <w:r>
              <w:rPr>
                <w:rFonts w:ascii="Arial" w:cs="Arial" w:eastAsia="Arial" w:hAnsi="Arial"/>
                <w:sz w:val="18"/>
                <w:szCs w:val="18"/>
                <w:color w:val="auto"/>
              </w:rPr>
              <w:t>Insurance-related activities</w:t>
            </w:r>
          </w:p>
        </w:tc>
        <w:tc>
          <w:tcPr>
            <w:tcW w:w="920" w:type="dxa"/>
            <w:vAlign w:val="bottom"/>
          </w:tcPr>
          <w:p>
            <w:pPr>
              <w:ind w:left="560"/>
              <w:spacing w:after="0" w:line="173" w:lineRule="exact"/>
              <w:rPr>
                <w:sz w:val="20"/>
                <w:szCs w:val="20"/>
                <w:color w:val="auto"/>
              </w:rPr>
            </w:pPr>
            <w:r>
              <w:rPr>
                <w:rFonts w:ascii="Arial" w:cs="Arial" w:eastAsia="Arial" w:hAnsi="Arial"/>
                <w:sz w:val="18"/>
                <w:szCs w:val="18"/>
                <w:color w:val="auto"/>
              </w:rPr>
              <w:t>(iii)</w:t>
            </w:r>
          </w:p>
        </w:tc>
        <w:tc>
          <w:tcPr>
            <w:tcW w:w="6260" w:type="dxa"/>
            <w:vAlign w:val="bottom"/>
          </w:tcPr>
          <w:p>
            <w:pPr>
              <w:ind w:left="100"/>
              <w:spacing w:after="0" w:line="173" w:lineRule="exact"/>
              <w:rPr>
                <w:sz w:val="20"/>
                <w:szCs w:val="20"/>
                <w:color w:val="auto"/>
              </w:rPr>
            </w:pPr>
            <w:r>
              <w:rPr>
                <w:rFonts w:ascii="Arial" w:cs="Arial" w:eastAsia="Arial" w:hAnsi="Arial"/>
                <w:sz w:val="18"/>
                <w:szCs w:val="18"/>
                <w:i w:val="1"/>
                <w:iCs w:val="1"/>
                <w:color w:val="auto"/>
                <w:w w:val="93"/>
              </w:rPr>
              <w:t xml:space="preserve">Premiums </w:t>
            </w:r>
            <w:r>
              <w:rPr>
                <w:rFonts w:ascii="Arial" w:cs="Arial" w:eastAsia="Arial" w:hAnsi="Arial"/>
                <w:sz w:val="18"/>
                <w:szCs w:val="18"/>
                <w:color w:val="auto"/>
                <w:w w:val="93"/>
              </w:rPr>
              <w:t>less</w:t>
            </w:r>
            <w:r>
              <w:rPr>
                <w:rFonts w:ascii="Arial" w:cs="Arial" w:eastAsia="Arial" w:hAnsi="Arial"/>
                <w:sz w:val="18"/>
                <w:szCs w:val="18"/>
                <w:i w:val="1"/>
                <w:iCs w:val="1"/>
                <w:color w:val="auto"/>
                <w:w w:val="93"/>
              </w:rPr>
              <w:t xml:space="preserve"> Policyholder benefits and claims</w:t>
            </w:r>
            <w:r>
              <w:rPr>
                <w:rFonts w:ascii="Arial" w:cs="Arial" w:eastAsia="Arial" w:hAnsi="Arial"/>
                <w:sz w:val="18"/>
                <w:szCs w:val="18"/>
                <w:color w:val="auto"/>
                <w:w w:val="93"/>
              </w:rPr>
              <w:t>, excluding interest on future policy</w:t>
            </w:r>
          </w:p>
        </w:tc>
      </w:tr>
      <w:tr>
        <w:trPr>
          <w:trHeight w:val="230"/>
        </w:trPr>
        <w:tc>
          <w:tcPr>
            <w:tcW w:w="3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60" w:type="dxa"/>
            <w:vAlign w:val="bottom"/>
          </w:tcPr>
          <w:p>
            <w:pPr>
              <w:ind w:left="100"/>
              <w:spacing w:after="0"/>
              <w:rPr>
                <w:sz w:val="20"/>
                <w:szCs w:val="20"/>
                <w:color w:val="auto"/>
              </w:rPr>
            </w:pPr>
            <w:r>
              <w:rPr>
                <w:rFonts w:ascii="Arial" w:cs="Arial" w:eastAsia="Arial" w:hAnsi="Arial"/>
                <w:sz w:val="18"/>
                <w:szCs w:val="18"/>
                <w:color w:val="auto"/>
              </w:rPr>
              <w:t>benefits.</w:t>
            </w:r>
          </w:p>
        </w:tc>
      </w:tr>
      <w:tr>
        <w:trPr>
          <w:trHeight w:val="180"/>
        </w:trPr>
        <w:tc>
          <w:tcPr>
            <w:tcW w:w="38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(iv)</w:t>
            </w:r>
          </w:p>
        </w:tc>
        <w:tc>
          <w:tcPr>
            <w:tcW w:w="3680" w:type="dxa"/>
            <w:vAlign w:val="bottom"/>
            <w:shd w:val="clear" w:color="auto" w:fill="CCEEFF"/>
          </w:tcPr>
          <w:p>
            <w:pPr>
              <w:ind w:left="100"/>
              <w:spacing w:after="0" w:line="181" w:lineRule="exact"/>
              <w:rPr>
                <w:sz w:val="20"/>
                <w:szCs w:val="20"/>
                <w:color w:val="auto"/>
              </w:rPr>
            </w:pPr>
            <w:r>
              <w:rPr>
                <w:rFonts w:ascii="Arial" w:cs="Arial" w:eastAsia="Arial" w:hAnsi="Arial"/>
                <w:sz w:val="18"/>
                <w:szCs w:val="18"/>
                <w:color w:val="auto"/>
              </w:rPr>
              <w:t>Amortization of DAC and VOBA</w:t>
            </w:r>
          </w:p>
        </w:tc>
        <w:tc>
          <w:tcPr>
            <w:tcW w:w="920" w:type="dxa"/>
            <w:vAlign w:val="bottom"/>
            <w:shd w:val="clear" w:color="auto" w:fill="CCEEFF"/>
          </w:tcPr>
          <w:p>
            <w:pPr>
              <w:ind w:left="560"/>
              <w:spacing w:after="0" w:line="181" w:lineRule="exact"/>
              <w:rPr>
                <w:sz w:val="20"/>
                <w:szCs w:val="20"/>
                <w:color w:val="auto"/>
              </w:rPr>
            </w:pPr>
            <w:r>
              <w:rPr>
                <w:rFonts w:ascii="Arial" w:cs="Arial" w:eastAsia="Arial" w:hAnsi="Arial"/>
                <w:sz w:val="18"/>
                <w:szCs w:val="18"/>
                <w:color w:val="auto"/>
              </w:rPr>
              <w:t>(iv)</w:t>
            </w:r>
          </w:p>
        </w:tc>
        <w:tc>
          <w:tcPr>
            <w:tcW w:w="6260" w:type="dxa"/>
            <w:vAlign w:val="bottom"/>
            <w:shd w:val="clear" w:color="auto" w:fill="CCEEFF"/>
          </w:tcPr>
          <w:p>
            <w:pPr>
              <w:ind w:left="100"/>
              <w:spacing w:after="0" w:line="181" w:lineRule="exact"/>
              <w:rPr>
                <w:sz w:val="20"/>
                <w:szCs w:val="20"/>
                <w:color w:val="auto"/>
              </w:rPr>
            </w:pPr>
            <w:r>
              <w:rPr>
                <w:rFonts w:ascii="Arial" w:cs="Arial" w:eastAsia="Arial" w:hAnsi="Arial"/>
                <w:sz w:val="18"/>
                <w:szCs w:val="18"/>
                <w:i w:val="1"/>
                <w:iCs w:val="1"/>
                <w:color w:val="auto"/>
                <w:w w:val="98"/>
              </w:rPr>
              <w:t>Amortization of deferred policy acquisition costs (“DAC”) and value of business</w:t>
            </w:r>
          </w:p>
        </w:tc>
      </w:tr>
      <w:tr>
        <w:trPr>
          <w:trHeight w:val="238"/>
        </w:trPr>
        <w:tc>
          <w:tcPr>
            <w:tcW w:w="38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260" w:type="dxa"/>
            <w:vAlign w:val="bottom"/>
            <w:shd w:val="clear" w:color="auto" w:fill="CCEEFF"/>
          </w:tcPr>
          <w:p>
            <w:pPr>
              <w:ind w:left="100"/>
              <w:spacing w:after="0"/>
              <w:rPr>
                <w:sz w:val="20"/>
                <w:szCs w:val="20"/>
                <w:color w:val="auto"/>
              </w:rPr>
            </w:pPr>
            <w:r>
              <w:rPr>
                <w:rFonts w:ascii="Arial" w:cs="Arial" w:eastAsia="Arial" w:hAnsi="Arial"/>
                <w:sz w:val="18"/>
                <w:szCs w:val="18"/>
                <w:i w:val="1"/>
                <w:iCs w:val="1"/>
                <w:color w:val="auto"/>
              </w:rPr>
              <w:t>acquired (“VOBA”)</w:t>
            </w:r>
            <w:r>
              <w:rPr>
                <w:rFonts w:ascii="Arial" w:cs="Arial" w:eastAsia="Arial" w:hAnsi="Arial"/>
                <w:sz w:val="18"/>
                <w:szCs w:val="18"/>
                <w:color w:val="auto"/>
              </w:rPr>
              <w:t>.</w:t>
            </w:r>
          </w:p>
        </w:tc>
      </w:tr>
      <w:tr>
        <w:trPr>
          <w:trHeight w:val="225"/>
        </w:trPr>
        <w:tc>
          <w:tcPr>
            <w:tcW w:w="380" w:type="dxa"/>
            <w:vAlign w:val="bottom"/>
          </w:tcPr>
          <w:p>
            <w:pPr>
              <w:ind w:left="20"/>
              <w:spacing w:after="0"/>
              <w:rPr>
                <w:sz w:val="20"/>
                <w:szCs w:val="20"/>
                <w:color w:val="auto"/>
              </w:rPr>
            </w:pPr>
            <w:r>
              <w:rPr>
                <w:rFonts w:ascii="Arial" w:cs="Arial" w:eastAsia="Arial" w:hAnsi="Arial"/>
                <w:sz w:val="18"/>
                <w:szCs w:val="18"/>
                <w:color w:val="auto"/>
              </w:rPr>
              <w:t>(v)</w:t>
            </w:r>
          </w:p>
        </w:tc>
        <w:tc>
          <w:tcPr>
            <w:tcW w:w="3680" w:type="dxa"/>
            <w:vAlign w:val="bottom"/>
          </w:tcPr>
          <w:p>
            <w:pPr>
              <w:ind w:left="100"/>
              <w:spacing w:after="0"/>
              <w:rPr>
                <w:sz w:val="20"/>
                <w:szCs w:val="20"/>
                <w:color w:val="auto"/>
              </w:rPr>
            </w:pPr>
            <w:r>
              <w:rPr>
                <w:rFonts w:ascii="Arial" w:cs="Arial" w:eastAsia="Arial" w:hAnsi="Arial"/>
                <w:sz w:val="18"/>
                <w:szCs w:val="18"/>
                <w:color w:val="auto"/>
              </w:rPr>
              <w:t>Other expenses</w:t>
            </w:r>
          </w:p>
        </w:tc>
        <w:tc>
          <w:tcPr>
            <w:tcW w:w="920" w:type="dxa"/>
            <w:vAlign w:val="bottom"/>
          </w:tcPr>
          <w:p>
            <w:pPr>
              <w:ind w:left="560"/>
              <w:spacing w:after="0"/>
              <w:rPr>
                <w:sz w:val="20"/>
                <w:szCs w:val="20"/>
                <w:color w:val="auto"/>
              </w:rPr>
            </w:pPr>
            <w:r>
              <w:rPr>
                <w:rFonts w:ascii="Arial" w:cs="Arial" w:eastAsia="Arial" w:hAnsi="Arial"/>
                <w:sz w:val="18"/>
                <w:szCs w:val="18"/>
                <w:color w:val="auto"/>
              </w:rPr>
              <w:t>(v)</w:t>
            </w:r>
          </w:p>
        </w:tc>
        <w:tc>
          <w:tcPr>
            <w:tcW w:w="6260" w:type="dxa"/>
            <w:vAlign w:val="bottom"/>
          </w:tcPr>
          <w:p>
            <w:pPr>
              <w:ind w:left="100"/>
              <w:spacing w:after="0"/>
              <w:rPr>
                <w:sz w:val="20"/>
                <w:szCs w:val="20"/>
                <w:color w:val="auto"/>
              </w:rPr>
            </w:pPr>
            <w:r>
              <w:rPr>
                <w:rFonts w:ascii="Arial" w:cs="Arial" w:eastAsia="Arial" w:hAnsi="Arial"/>
                <w:sz w:val="18"/>
                <w:szCs w:val="18"/>
                <w:i w:val="1"/>
                <w:iCs w:val="1"/>
                <w:color w:val="auto"/>
              </w:rPr>
              <w:t>Other expenses.</w:t>
            </w:r>
          </w:p>
        </w:tc>
      </w:tr>
      <w:tr>
        <w:trPr>
          <w:trHeight w:val="226"/>
        </w:trPr>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w:t>
            </w:r>
          </w:p>
        </w:tc>
        <w:tc>
          <w:tcPr>
            <w:tcW w:w="3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Provision for income tax expense (benefit)</w:t>
            </w:r>
          </w:p>
        </w:tc>
        <w:tc>
          <w:tcPr>
            <w:tcW w:w="9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(vi)</w:t>
            </w:r>
          </w:p>
        </w:tc>
        <w:tc>
          <w:tcPr>
            <w:tcW w:w="6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 impact of the above items.</w:t>
            </w: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(1) Italicized items indicate GAAP statements of operations line items.</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Consistent with GAAP guidance for segment reporting, adjusted earnings is also our GAAP measure of segment performance. Accordingly, we report adjusted earnings by segment in Note 3 of the Notes to the Interim Condensed Consolidated Financial Statements.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Adjusted Net Investment Income</w:t>
      </w:r>
    </w:p>
    <w:p>
      <w:pPr>
        <w:spacing w:after="0" w:line="111" w:lineRule="exact"/>
        <w:rPr>
          <w:sz w:val="20"/>
          <w:szCs w:val="20"/>
          <w:color w:val="auto"/>
        </w:rPr>
      </w:pPr>
    </w:p>
    <w:p>
      <w:pPr>
        <w:jc w:val="both"/>
        <w:ind w:left="160" w:firstLine="318"/>
        <w:spacing w:after="0" w:line="271" w:lineRule="auto"/>
        <w:rPr>
          <w:sz w:val="20"/>
          <w:szCs w:val="20"/>
          <w:color w:val="auto"/>
        </w:rPr>
      </w:pPr>
      <w:r>
        <w:rPr>
          <w:rFonts w:ascii="Arial" w:cs="Arial" w:eastAsia="Arial" w:hAnsi="Arial"/>
          <w:sz w:val="17"/>
          <w:szCs w:val="17"/>
          <w:color w:val="auto"/>
        </w:rPr>
        <w:t>We present adjusted net investment income to measure our performance for management purposes, and we believe it enhances the understanding of our investment portfolio results. Adjusted net investment income represents GAAP net investment income, plus Investment Hedge Adjustments. For a reconciliation of adjusted net investment income to net investment income, the most directly comparable GAAP measure, see table note (3) to the summary yield table located in “— Investments — Current Environment — Investment Portfolio Results.”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Disclosures</w:t>
      </w:r>
    </w:p>
    <w:p>
      <w:pPr>
        <w:spacing w:after="0" w:line="11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Similar to adjusted net investment income, we present net investment income yields as a performance measure we believe enhances the understanding of our investment portfolio results. Net investment income yields are calculated on adjusted net investment income as a percentage of average quarterly asset carrying values. Asset carrying values exclude unrealized gains (losses), collateral received in connection with our securities lending program, freestanding derivative assets and collateral received from derivative counterparties. Investment fee and expense yields are calculated as a percentage of average quarterly asset estimated fair values. Asset estimated fair values exclude collateral received in connection with our securities lending program, freestanding derivative assets and collateral received from derivative counterparties.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for the Three Months Ended March 31, 2023 and 2022</w:t>
      </w:r>
    </w:p>
    <w:p>
      <w:pPr>
        <w:spacing w:after="0" w:line="11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Unless otherwise noted, all amounts in the following discussions of our results of operations are stated before income tax except for adjusted earnings, which are presented net of income tax.</w:t>
      </w:r>
    </w:p>
    <w:p>
      <w:pPr>
        <w:spacing w:after="0" w:line="210"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4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r>
      <w:tr>
        <w:trPr>
          <w:trHeight w:val="191"/>
        </w:trPr>
        <w:tc>
          <w:tcPr>
            <w:tcW w:w="8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6"/>
                <w:szCs w:val="16"/>
                <w:color w:val="auto"/>
              </w:rPr>
            </w:pPr>
          </w:p>
        </w:tc>
      </w:tr>
      <w:tr>
        <w:trPr>
          <w:trHeight w:val="21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0"/>
        </w:trPr>
        <w:tc>
          <w:tcPr>
            <w:tcW w:w="8840" w:type="dxa"/>
            <w:vAlign w:val="bottom"/>
          </w:tcPr>
          <w:p>
            <w:pPr>
              <w:ind w:left="20"/>
              <w:spacing w:after="0"/>
              <w:rPr>
                <w:sz w:val="20"/>
                <w:szCs w:val="20"/>
                <w:color w:val="auto"/>
              </w:rPr>
            </w:pPr>
            <w:r>
              <w:rPr>
                <w:rFonts w:ascii="Arial" w:cs="Arial" w:eastAsia="Arial" w:hAnsi="Arial"/>
                <w:sz w:val="16"/>
                <w:szCs w:val="16"/>
                <w:color w:val="auto"/>
              </w:rPr>
              <w:t>Premiums</w:t>
            </w:r>
          </w:p>
        </w:tc>
        <w:tc>
          <w:tcPr>
            <w:tcW w:w="720" w:type="dxa"/>
            <w:vAlign w:val="bottom"/>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14"/>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Universal life and investment-type product policy fees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r>
      <w:tr>
        <w:trPr>
          <w:trHeight w:val="209"/>
        </w:trPr>
        <w:tc>
          <w:tcPr>
            <w:tcW w:w="8840" w:type="dxa"/>
            <w:vAlign w:val="bottom"/>
          </w:tcPr>
          <w:p>
            <w:pPr>
              <w:ind w:left="20"/>
              <w:spacing w:after="0"/>
              <w:rPr>
                <w:sz w:val="20"/>
                <w:szCs w:val="20"/>
                <w:color w:val="auto"/>
              </w:rPr>
            </w:pPr>
            <w:r>
              <w:rPr>
                <w:rFonts w:ascii="Arial" w:cs="Arial" w:eastAsia="Arial" w:hAnsi="Arial"/>
                <w:sz w:val="16"/>
                <w:szCs w:val="16"/>
                <w:color w:val="auto"/>
              </w:rPr>
              <w:t>Net investment income</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4"/>
              </w:rPr>
              <w:t>1,059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1,151</w:t>
            </w:r>
          </w:p>
        </w:tc>
      </w:tr>
      <w:tr>
        <w:trPr>
          <w:trHeight w:val="215"/>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revenues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10"/>
        </w:trPr>
        <w:tc>
          <w:tcPr>
            <w:tcW w:w="884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4"/>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03"/>
        </w:trPr>
        <w:tc>
          <w:tcPr>
            <w:tcW w:w="8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revenues</w:t>
            </w: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1,284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2,013</w:t>
            </w:r>
          </w:p>
        </w:tc>
      </w:tr>
      <w:tr>
        <w:trPr>
          <w:trHeight w:val="195"/>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7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422"/>
        </w:trPr>
        <w:tc>
          <w:tcPr>
            <w:tcW w:w="8840" w:type="dxa"/>
            <w:vAlign w:val="bottom"/>
          </w:tcPr>
          <w:p>
            <w:pPr>
              <w:ind w:left="20"/>
              <w:spacing w:after="0"/>
              <w:rPr>
                <w:sz w:val="20"/>
                <w:szCs w:val="20"/>
                <w:color w:val="auto"/>
              </w:rPr>
            </w:pPr>
            <w:r>
              <w:rPr>
                <w:rFonts w:ascii="Arial" w:cs="Arial" w:eastAsia="Arial" w:hAnsi="Arial"/>
                <w:sz w:val="16"/>
                <w:szCs w:val="16"/>
                <w:color w:val="auto"/>
              </w:rPr>
              <w:t>Policyholder benefits and claims (including liability remeasurement gains (losses) of $0 and $0, respectively)</w:t>
            </w:r>
          </w:p>
        </w:tc>
        <w:tc>
          <w:tcPr>
            <w:tcW w:w="7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675</w:t>
            </w:r>
          </w:p>
        </w:tc>
      </w:tr>
      <w:tr>
        <w:trPr>
          <w:trHeight w:val="214"/>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credited to policyholder account balances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09"/>
        </w:trPr>
        <w:tc>
          <w:tcPr>
            <w:tcW w:w="884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15"/>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market risk benefits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w:t>
            </w:r>
          </w:p>
        </w:tc>
      </w:tr>
      <w:tr>
        <w:trPr>
          <w:trHeight w:val="209"/>
        </w:trPr>
        <w:tc>
          <w:tcPr>
            <w:tcW w:w="8840" w:type="dxa"/>
            <w:vAlign w:val="bottom"/>
          </w:tcPr>
          <w:p>
            <w:pPr>
              <w:ind w:left="20"/>
              <w:spacing w:after="0"/>
              <w:rPr>
                <w:sz w:val="20"/>
                <w:szCs w:val="20"/>
                <w:color w:val="auto"/>
              </w:rPr>
            </w:pPr>
            <w:r>
              <w:rPr>
                <w:rFonts w:ascii="Arial" w:cs="Arial" w:eastAsia="Arial" w:hAnsi="Arial"/>
                <w:sz w:val="16"/>
                <w:szCs w:val="16"/>
                <w:color w:val="auto"/>
              </w:rPr>
              <w:t>Interest expense on debt</w:t>
            </w: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5"/>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7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w:t>
            </w:r>
          </w:p>
        </w:tc>
      </w:tr>
      <w:tr>
        <w:trPr>
          <w:trHeight w:val="203"/>
        </w:trPr>
        <w:tc>
          <w:tcPr>
            <w:tcW w:w="8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expenses</w:t>
            </w: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1,937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08"/>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provision for income tax</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w:t>
            </w:r>
          </w:p>
        </w:tc>
      </w:tr>
      <w:tr>
        <w:trPr>
          <w:trHeight w:val="210"/>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r>
      <w:tr>
        <w:trPr>
          <w:trHeight w:val="208"/>
        </w:trPr>
        <w:tc>
          <w:tcPr>
            <w:tcW w:w="8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1,587</w:t>
            </w:r>
          </w:p>
        </w:tc>
      </w:tr>
      <w:tr>
        <w:trPr>
          <w:trHeight w:val="210"/>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8"/>
        </w:trPr>
        <w:tc>
          <w:tcPr>
            <w:tcW w:w="8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 attributable to Brighthouse Financial, Inc.</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1,585</w:t>
            </w:r>
          </w:p>
        </w:tc>
      </w:tr>
      <w:tr>
        <w:trPr>
          <w:trHeight w:val="209"/>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Preferred stock dividends</w:t>
            </w: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33"/>
        </w:trPr>
        <w:tc>
          <w:tcPr>
            <w:tcW w:w="8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 available to Brighthouse Financial, Inc.’s common shareholders</w:t>
            </w:r>
          </w:p>
        </w:tc>
        <w:tc>
          <w:tcPr>
            <w:tcW w:w="720" w:type="dxa"/>
            <w:vAlign w:val="bottom"/>
            <w:tcBorders>
              <w:bottom w:val="single" w:sz="8" w:color="auto"/>
            </w:tcBorders>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1,558</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net income (loss) available to shareholders were as follows:</w:t>
      </w:r>
    </w:p>
    <w:p>
      <w:pPr>
        <w:spacing w:after="0" w:line="23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4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r>
      <w:tr>
        <w:trPr>
          <w:trHeight w:val="191"/>
        </w:trPr>
        <w:tc>
          <w:tcPr>
            <w:tcW w:w="8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6"/>
                <w:szCs w:val="16"/>
                <w:color w:val="auto"/>
              </w:rPr>
            </w:pPr>
          </w:p>
        </w:tc>
      </w:tr>
      <w:tr>
        <w:trPr>
          <w:trHeight w:val="21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market risk benefits</w:t>
            </w: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w:t>
            </w:r>
          </w:p>
        </w:tc>
      </w:tr>
      <w:tr>
        <w:trPr>
          <w:trHeight w:val="210"/>
        </w:trPr>
        <w:tc>
          <w:tcPr>
            <w:tcW w:w="8840" w:type="dxa"/>
            <w:vAlign w:val="bottom"/>
          </w:tcPr>
          <w:p>
            <w:pPr>
              <w:ind w:left="20"/>
              <w:spacing w:after="0"/>
              <w:rPr>
                <w:sz w:val="20"/>
                <w:szCs w:val="20"/>
                <w:color w:val="auto"/>
              </w:rPr>
            </w:pPr>
            <w:r>
              <w:rPr>
                <w:rFonts w:ascii="Arial" w:cs="Arial" w:eastAsia="Arial" w:hAnsi="Arial"/>
                <w:sz w:val="16"/>
                <w:szCs w:val="16"/>
                <w:color w:val="auto"/>
              </w:rPr>
              <w:t>Net investment gains (losses)</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(68)</w:t>
            </w:r>
          </w:p>
        </w:tc>
      </w:tr>
      <w:tr>
        <w:trPr>
          <w:trHeight w:val="214"/>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derivative gains (losses)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(575)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0"/>
        </w:trPr>
        <w:tc>
          <w:tcPr>
            <w:tcW w:w="8840" w:type="dxa"/>
            <w:vAlign w:val="bottom"/>
          </w:tcPr>
          <w:p>
            <w:pPr>
              <w:ind w:left="20"/>
              <w:spacing w:after="0"/>
              <w:rPr>
                <w:sz w:val="20"/>
                <w:szCs w:val="20"/>
                <w:color w:val="auto"/>
              </w:rPr>
            </w:pPr>
            <w:r>
              <w:rPr>
                <w:rFonts w:ascii="Arial" w:cs="Arial" w:eastAsia="Arial" w:hAnsi="Arial"/>
                <w:sz w:val="16"/>
                <w:szCs w:val="16"/>
                <w:color w:val="auto"/>
              </w:rPr>
              <w:t>Other adjustments</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5"/>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Pre-tax adjusted earnings, less net income (loss) attributable to noncontrolling interests and preferred stock dividends</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w:t>
            </w:r>
          </w:p>
        </w:tc>
      </w:tr>
      <w:tr>
        <w:trPr>
          <w:trHeight w:val="203"/>
        </w:trPr>
        <w:tc>
          <w:tcPr>
            <w:tcW w:w="8840" w:type="dxa"/>
            <w:vAlign w:val="bottom"/>
          </w:tcPr>
          <w:p>
            <w:pPr>
              <w:ind w:left="2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6"/>
              </w:rPr>
              <w:t>(681)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1,974</w:t>
            </w:r>
          </w:p>
        </w:tc>
      </w:tr>
      <w:tr>
        <w:trPr>
          <w:trHeight w:val="212"/>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(156)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r>
      <w:tr>
        <w:trPr>
          <w:trHeight w:val="380"/>
        </w:trPr>
        <w:tc>
          <w:tcPr>
            <w:tcW w:w="8840" w:type="dxa"/>
            <w:vAlign w:val="bottom"/>
          </w:tcPr>
          <w:p>
            <w:pPr>
              <w:ind w:left="180"/>
              <w:spacing w:after="0"/>
              <w:rPr>
                <w:sz w:val="20"/>
                <w:szCs w:val="20"/>
                <w:color w:val="auto"/>
              </w:rPr>
            </w:pPr>
            <w:r>
              <w:rPr>
                <w:rFonts w:ascii="Arial" w:cs="Arial" w:eastAsia="Arial" w:hAnsi="Arial"/>
                <w:sz w:val="16"/>
                <w:szCs w:val="16"/>
                <w:color w:val="auto"/>
              </w:rPr>
              <w:t>Net income (loss) available to shareholders</w:t>
            </w:r>
          </w:p>
        </w:tc>
        <w:tc>
          <w:tcPr>
            <w:tcW w:w="74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(525)</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1,558</w:t>
            </w:r>
          </w:p>
        </w:tc>
      </w:tr>
      <w:tr>
        <w:trPr>
          <w:trHeight w:val="20"/>
        </w:trPr>
        <w:tc>
          <w:tcPr>
            <w:tcW w:w="88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Three Months Ended March 31, 2023 Compared with the Three Months Ended March 31, 2022</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Loss available to shareholders before provision for income tax was $681 million ($525 million, net of income tax), a decrease of $2.7 billion ($2.1 billion, net of income tax) from income available to shareholders before provision for income tax of $2.0 billion ($1.6 billion, net of income tax) in the prior period.</w:t>
      </w:r>
    </w:p>
    <w:p>
      <w:pPr>
        <w:spacing w:after="0" w:line="8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decrease in income before provision for income tax was driven by the following unfavorable items:</w:t>
      </w:r>
    </w:p>
    <w:p>
      <w:pPr>
        <w:spacing w:after="0" w:line="111" w:lineRule="exact"/>
        <w:rPr>
          <w:sz w:val="20"/>
          <w:szCs w:val="20"/>
          <w:color w:val="auto"/>
        </w:rPr>
      </w:pPr>
    </w:p>
    <w:p>
      <w:pPr>
        <w:ind w:left="800" w:hanging="317"/>
        <w:spacing w:after="0" w:line="264" w:lineRule="auto"/>
        <w:tabs>
          <w:tab w:leader="none" w:pos="7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losses from variable annuity guaranteed benefit riders, see “— Annuity Guaranteed Benefits and Shield Annuity Liabilities for the Three Months Ended March 31, 2023 and 2022”; and</w:t>
      </w:r>
    </w:p>
    <w:p>
      <w:pPr>
        <w:spacing w:after="0" w:line="74" w:lineRule="exact"/>
        <w:rPr>
          <w:rFonts w:ascii="Arial" w:cs="Arial" w:eastAsia="Arial" w:hAnsi="Arial"/>
          <w:sz w:val="18"/>
          <w:szCs w:val="18"/>
          <w:color w:val="auto"/>
        </w:rPr>
      </w:pPr>
    </w:p>
    <w:p>
      <w:pPr>
        <w:ind w:left="800" w:hanging="317"/>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lower pre-tax adjusted earnings, as discussed in greater detail below.</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decrease in income before provision for income tax was partially offset by the favorable impact of long-term interest rates on interest rate derivatives used to manage interest rate exposure in our ULSG business, as the long-term interest rate decreased in the current period resulting in a gain of $141 million and increased in the prior period resulting in a loss of $540 million.</w:t>
      </w:r>
    </w:p>
    <w:p>
      <w:pPr>
        <w:spacing w:after="0" w:line="82"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The provision for income tax, expressed as a percentage of income (loss) before provision for income tax, resulted in an effective tax rate of 24% in the current period compared to 21% in the prior period. The increase in the effective tax rate was driven by lower pre-tax adjusted earnings, as discussed in greater detail below. Our effective tax rate differs from the statutory tax rate primarily due to the impacts of the dividends received deduction, tax credits and current period non-recurring items.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(Loss) Available to Shareholders to Adjusted Earnings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reconciliation of net income (loss) available to shareholders to adjusted earnings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2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3"/>
              </w:rPr>
              <w:t>Three Months Ended March 31, 2023</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1"/>
                <w:szCs w:val="11"/>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1"/>
                <w:szCs w:val="11"/>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Run-off</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6"/>
              </w:rPr>
              <w:t>Corporate &amp;</w:t>
            </w:r>
          </w:p>
        </w:tc>
        <w:tc>
          <w:tcPr>
            <w:tcW w:w="240" w:type="dxa"/>
            <w:vAlign w:val="bottom"/>
          </w:tcPr>
          <w:p>
            <w:pPr>
              <w:spacing w:after="0"/>
              <w:rPr>
                <w:sz w:val="11"/>
                <w:szCs w:val="11"/>
                <w:color w:val="auto"/>
              </w:rPr>
            </w:pPr>
          </w:p>
        </w:tc>
        <w:tc>
          <w:tcPr>
            <w:tcW w:w="82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available to shareholders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210"/>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Provision for income tax expense (benefit)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08"/>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Arial" w:cs="Arial" w:eastAsia="Arial" w:hAnsi="Arial"/>
                <w:sz w:val="16"/>
                <w:szCs w:val="16"/>
                <w:color w:val="auto"/>
              </w:rPr>
              <w:t>Less: Net investment gains (losses)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14"/>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derivative gains (losses)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Arial" w:cs="Arial" w:eastAsia="Arial" w:hAnsi="Arial"/>
                <w:sz w:val="16"/>
                <w:szCs w:val="16"/>
                <w:color w:val="auto"/>
              </w:rPr>
              <w:t>Less: Change in market risk benefits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15"/>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Other adjustments</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42"/>
        </w:trPr>
        <w:tc>
          <w:tcPr>
            <w:tcW w:w="5540" w:type="dxa"/>
            <w:vAlign w:val="bottom"/>
          </w:tcPr>
          <w:p>
            <w:pPr>
              <w:ind w:left="20"/>
              <w:spacing w:after="0" w:line="142" w:lineRule="exact"/>
              <w:rPr>
                <w:sz w:val="20"/>
                <w:szCs w:val="20"/>
                <w:color w:val="auto"/>
              </w:rPr>
            </w:pPr>
            <w:r>
              <w:rPr>
                <w:rFonts w:ascii="Arial" w:cs="Arial" w:eastAsia="Arial" w:hAnsi="Arial"/>
                <w:sz w:val="16"/>
                <w:szCs w:val="16"/>
                <w:color w:val="auto"/>
                <w:w w:val="99"/>
              </w:rPr>
              <w:t>Pre-tax adjusted earnings, less net income (loss) attributable to noncontrolling</w:t>
            </w:r>
          </w:p>
        </w:tc>
        <w:tc>
          <w:tcPr>
            <w:tcW w:w="18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387</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06"/>
        </w:trPr>
        <w:tc>
          <w:tcPr>
            <w:tcW w:w="5540" w:type="dxa"/>
            <w:vAlign w:val="bottom"/>
          </w:tcPr>
          <w:p>
            <w:pPr>
              <w:ind w:left="180"/>
              <w:spacing w:after="0"/>
              <w:rPr>
                <w:sz w:val="20"/>
                <w:szCs w:val="20"/>
                <w:color w:val="auto"/>
              </w:rPr>
            </w:pPr>
            <w:r>
              <w:rPr>
                <w:rFonts w:ascii="Arial" w:cs="Arial" w:eastAsia="Arial" w:hAnsi="Arial"/>
                <w:sz w:val="16"/>
                <w:szCs w:val="16"/>
                <w:color w:val="auto"/>
              </w:rPr>
              <w:t>interests and preferred stock dividends</w:t>
            </w: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Provision for income tax expense (benefit)</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8"/>
        </w:trPr>
        <w:tc>
          <w:tcPr>
            <w:tcW w:w="5540" w:type="dxa"/>
            <w:vAlign w:val="bottom"/>
          </w:tcPr>
          <w:p>
            <w:pPr>
              <w:ind w:left="20"/>
              <w:spacing w:after="0"/>
              <w:rPr>
                <w:sz w:val="20"/>
                <w:szCs w:val="20"/>
                <w:color w:val="auto"/>
              </w:rPr>
            </w:pPr>
            <w:r>
              <w:rPr>
                <w:rFonts w:ascii="Arial" w:cs="Arial" w:eastAsia="Arial" w:hAnsi="Arial"/>
                <w:sz w:val="16"/>
                <w:szCs w:val="16"/>
                <w:color w:val="auto"/>
              </w:rPr>
              <w:t>Adjusted earnings</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2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3"/>
              </w:rPr>
              <w:t>Three Months Ended March 31, 2022</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Annuities</w:t>
            </w:r>
          </w:p>
        </w:tc>
        <w:tc>
          <w:tcPr>
            <w:tcW w:w="240" w:type="dxa"/>
            <w:vAlign w:val="bottom"/>
          </w:tcPr>
          <w:p>
            <w:pPr>
              <w:spacing w:after="0"/>
              <w:rPr>
                <w:sz w:val="11"/>
                <w:szCs w:val="11"/>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1"/>
                <w:szCs w:val="11"/>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Run-off</w:t>
            </w: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6"/>
              </w:rPr>
              <w:t>Corporate &amp;</w:t>
            </w:r>
          </w:p>
        </w:tc>
        <w:tc>
          <w:tcPr>
            <w:tcW w:w="240" w:type="dxa"/>
            <w:vAlign w:val="bottom"/>
          </w:tcPr>
          <w:p>
            <w:pPr>
              <w:spacing w:after="0"/>
              <w:rPr>
                <w:sz w:val="11"/>
                <w:szCs w:val="11"/>
                <w:color w:val="auto"/>
              </w:rPr>
            </w:pPr>
          </w:p>
        </w:tc>
        <w:tc>
          <w:tcPr>
            <w:tcW w:w="82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available to shareholders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w:t>
            </w:r>
          </w:p>
        </w:tc>
        <w:tc>
          <w:tcPr>
            <w:tcW w:w="0" w:type="dxa"/>
            <w:vAlign w:val="bottom"/>
          </w:tcPr>
          <w:p>
            <w:pPr>
              <w:spacing w:after="0"/>
              <w:rPr>
                <w:sz w:val="1"/>
                <w:szCs w:val="1"/>
                <w:color w:val="auto"/>
              </w:rPr>
            </w:pPr>
          </w:p>
        </w:tc>
      </w:tr>
      <w:tr>
        <w:trPr>
          <w:trHeight w:val="209"/>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Provision for income tax expense (benefit)</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08"/>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available to shareholders before provision for income tax</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1,974</w:t>
            </w:r>
          </w:p>
        </w:tc>
        <w:tc>
          <w:tcPr>
            <w:tcW w:w="0" w:type="dxa"/>
            <w:vAlign w:val="bottom"/>
          </w:tcPr>
          <w:p>
            <w:pPr>
              <w:spacing w:after="0"/>
              <w:rPr>
                <w:sz w:val="1"/>
                <w:szCs w:val="1"/>
                <w:color w:val="auto"/>
              </w:rPr>
            </w:pPr>
          </w:p>
        </w:tc>
      </w:tr>
      <w:tr>
        <w:trPr>
          <w:trHeight w:val="209"/>
        </w:trPr>
        <w:tc>
          <w:tcPr>
            <w:tcW w:w="5540" w:type="dxa"/>
            <w:vAlign w:val="bottom"/>
          </w:tcPr>
          <w:p>
            <w:pPr>
              <w:ind w:left="20"/>
              <w:spacing w:after="0"/>
              <w:rPr>
                <w:sz w:val="20"/>
                <w:szCs w:val="20"/>
                <w:color w:val="auto"/>
              </w:rPr>
            </w:pPr>
            <w:r>
              <w:rPr>
                <w:rFonts w:ascii="Arial" w:cs="Arial" w:eastAsia="Arial" w:hAnsi="Arial"/>
                <w:sz w:val="16"/>
                <w:szCs w:val="16"/>
                <w:color w:val="auto"/>
              </w:rPr>
              <w:t>Less: Net investment gains (losses)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4"/>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derivative gains (losses)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0"/>
        </w:trPr>
        <w:tc>
          <w:tcPr>
            <w:tcW w:w="5540" w:type="dxa"/>
            <w:vAlign w:val="bottom"/>
          </w:tcPr>
          <w:p>
            <w:pPr>
              <w:ind w:left="20"/>
              <w:spacing w:after="0"/>
              <w:rPr>
                <w:sz w:val="20"/>
                <w:szCs w:val="20"/>
                <w:color w:val="auto"/>
              </w:rPr>
            </w:pPr>
            <w:r>
              <w:rPr>
                <w:rFonts w:ascii="Arial" w:cs="Arial" w:eastAsia="Arial" w:hAnsi="Arial"/>
                <w:sz w:val="16"/>
                <w:szCs w:val="16"/>
                <w:color w:val="auto"/>
              </w:rPr>
              <w:t>Less: Change in market risk benefits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1,579</w:t>
            </w:r>
          </w:p>
        </w:tc>
        <w:tc>
          <w:tcPr>
            <w:tcW w:w="0" w:type="dxa"/>
            <w:vAlign w:val="bottom"/>
          </w:tcPr>
          <w:p>
            <w:pPr>
              <w:spacing w:after="0"/>
              <w:rPr>
                <w:sz w:val="1"/>
                <w:szCs w:val="1"/>
                <w:color w:val="auto"/>
              </w:rPr>
            </w:pPr>
          </w:p>
        </w:tc>
      </w:tr>
      <w:tr>
        <w:trPr>
          <w:trHeight w:val="214"/>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Other adjustments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42"/>
        </w:trPr>
        <w:tc>
          <w:tcPr>
            <w:tcW w:w="5540" w:type="dxa"/>
            <w:vAlign w:val="bottom"/>
          </w:tcPr>
          <w:p>
            <w:pPr>
              <w:ind w:left="20"/>
              <w:spacing w:after="0" w:line="142" w:lineRule="exact"/>
              <w:rPr>
                <w:sz w:val="20"/>
                <w:szCs w:val="20"/>
                <w:color w:val="auto"/>
              </w:rPr>
            </w:pPr>
            <w:r>
              <w:rPr>
                <w:rFonts w:ascii="Arial" w:cs="Arial" w:eastAsia="Arial" w:hAnsi="Arial"/>
                <w:sz w:val="16"/>
                <w:szCs w:val="16"/>
                <w:color w:val="auto"/>
                <w:w w:val="99"/>
              </w:rPr>
              <w:t>Pre-tax adjusted earnings, less net income (loss) attributable to noncontrolling</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438</w:t>
            </w: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206"/>
        </w:trPr>
        <w:tc>
          <w:tcPr>
            <w:tcW w:w="5540" w:type="dxa"/>
            <w:vAlign w:val="bottom"/>
          </w:tcPr>
          <w:p>
            <w:pPr>
              <w:ind w:left="180"/>
              <w:spacing w:after="0"/>
              <w:rPr>
                <w:sz w:val="20"/>
                <w:szCs w:val="20"/>
                <w:color w:val="auto"/>
              </w:rPr>
            </w:pPr>
            <w:r>
              <w:rPr>
                <w:rFonts w:ascii="Arial" w:cs="Arial" w:eastAsia="Arial" w:hAnsi="Arial"/>
                <w:sz w:val="16"/>
                <w:szCs w:val="16"/>
                <w:color w:val="auto"/>
              </w:rPr>
              <w:t>interests and preferred stock dividends</w:t>
            </w: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Provision for income tax expense (benefit)</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08"/>
        </w:trPr>
        <w:tc>
          <w:tcPr>
            <w:tcW w:w="5540" w:type="dxa"/>
            <w:vAlign w:val="bottom"/>
          </w:tcPr>
          <w:p>
            <w:pPr>
              <w:ind w:left="20"/>
              <w:spacing w:after="0"/>
              <w:rPr>
                <w:sz w:val="20"/>
                <w:szCs w:val="20"/>
                <w:color w:val="auto"/>
              </w:rPr>
            </w:pPr>
            <w:r>
              <w:rPr>
                <w:rFonts w:ascii="Arial" w:cs="Arial" w:eastAsia="Arial" w:hAnsi="Arial"/>
                <w:sz w:val="16"/>
                <w:szCs w:val="16"/>
                <w:color w:val="auto"/>
              </w:rPr>
              <w:t>Adjusted earnings</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for the Three Months Ended March 31, 2023 and 2022 — Adjusted Earnings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adjusted earnings were as follows:</w:t>
      </w:r>
    </w:p>
    <w:p>
      <w:pPr>
        <w:spacing w:after="0" w:line="247"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4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r>
      <w:tr>
        <w:trPr>
          <w:trHeight w:val="191"/>
        </w:trPr>
        <w:tc>
          <w:tcPr>
            <w:tcW w:w="8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6"/>
                <w:szCs w:val="16"/>
                <w:color w:val="auto"/>
              </w:rPr>
            </w:pPr>
          </w:p>
        </w:tc>
      </w:tr>
      <w:tr>
        <w:trPr>
          <w:trHeight w:val="21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w:t>
            </w:r>
          </w:p>
        </w:tc>
      </w:tr>
      <w:tr>
        <w:trPr>
          <w:trHeight w:val="209"/>
        </w:trPr>
        <w:tc>
          <w:tcPr>
            <w:tcW w:w="884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846</w:t>
            </w:r>
          </w:p>
        </w:tc>
      </w:tr>
      <w:tr>
        <w:trPr>
          <w:trHeight w:val="215"/>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(463)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r>
      <w:tr>
        <w:trPr>
          <w:trHeight w:val="210"/>
        </w:trPr>
        <w:tc>
          <w:tcPr>
            <w:tcW w:w="884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6"/>
              </w:rPr>
              <w:t>(156)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(157)</w:t>
            </w:r>
          </w:p>
        </w:tc>
      </w:tr>
      <w:tr>
        <w:trPr>
          <w:trHeight w:val="215"/>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(478)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w:t>
            </w:r>
          </w:p>
        </w:tc>
      </w:tr>
      <w:tr>
        <w:trPr>
          <w:trHeight w:val="210"/>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(loss) attributable to noncontrolling interests and preferred stock dividends</w:t>
            </w: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08"/>
        </w:trPr>
        <w:tc>
          <w:tcPr>
            <w:tcW w:w="8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Pre-tax adjusted earnings, less net income (loss) attributable to noncontrolling interests and preferred stock dividends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r>
      <w:tr>
        <w:trPr>
          <w:trHeight w:val="210"/>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r>
      <w:tr>
        <w:trPr>
          <w:trHeight w:val="233"/>
        </w:trPr>
        <w:tc>
          <w:tcPr>
            <w:tcW w:w="8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Adjusted earnings</w:t>
            </w:r>
          </w:p>
        </w:tc>
        <w:tc>
          <w:tcPr>
            <w:tcW w:w="740" w:type="dxa"/>
            <w:vAlign w:val="bottom"/>
            <w:tcBorders>
              <w:bottom w:val="single" w:sz="8" w:color="auto"/>
            </w:tcBorders>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Three Months Ended March 31, 2023 Compared with the Three Months Ended March 31, 2022</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$195 million in the current period, a decrease of $185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net unfavorable impacts were:</w:t>
      </w:r>
    </w:p>
    <w:p>
      <w:pPr>
        <w:spacing w:after="0" w:line="111" w:lineRule="exact"/>
        <w:rPr>
          <w:sz w:val="20"/>
          <w:szCs w:val="20"/>
          <w:color w:val="auto"/>
        </w:rPr>
      </w:pPr>
    </w:p>
    <w:p>
      <w:pPr>
        <w:ind w:left="800" w:hanging="317"/>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lower net investment spread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lower returns on other limited partnerships compared to the prior period;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higher interest credited to policyholders consistent with higher account balances; and</w:t>
      </w:r>
    </w:p>
    <w:p>
      <w:pPr>
        <w:spacing w:after="0" w:line="111" w:lineRule="exact"/>
        <w:rPr>
          <w:rFonts w:ascii="Arial" w:cs="Arial" w:eastAsia="Arial" w:hAnsi="Arial"/>
          <w:sz w:val="18"/>
          <w:szCs w:val="18"/>
          <w:color w:val="auto"/>
        </w:rPr>
      </w:pPr>
    </w:p>
    <w:p>
      <w:pPr>
        <w:ind w:left="800" w:right="3760" w:firstLine="1"/>
        <w:spacing w:after="0" w:line="368" w:lineRule="auto"/>
        <w:tabs>
          <w:tab w:leader="none" w:pos="1114" w:val="left"/>
        </w:tabs>
        <w:numPr>
          <w:ilvl w:val="1"/>
          <w:numId w:val="37"/>
        </w:numPr>
        <w:rPr>
          <w:rFonts w:ascii="Arial" w:cs="Arial" w:eastAsia="Arial" w:hAnsi="Arial"/>
          <w:sz w:val="18"/>
          <w:szCs w:val="18"/>
          <w:color w:val="auto"/>
        </w:rPr>
      </w:pPr>
      <w:r>
        <w:rPr>
          <w:rFonts w:ascii="Arial" w:cs="Arial" w:eastAsia="Arial" w:hAnsi="Arial"/>
          <w:sz w:val="18"/>
          <w:szCs w:val="18"/>
          <w:color w:val="auto"/>
        </w:rPr>
        <w:t>lower returns on real estate limited partnerships and limited liability companies (“LLCs”); partially offset by</w:t>
      </w:r>
    </w:p>
    <w:p>
      <w:pPr>
        <w:spacing w:after="0" w:line="1" w:lineRule="exact"/>
        <w:rPr>
          <w:rFonts w:ascii="Arial" w:cs="Arial" w:eastAsia="Arial" w:hAnsi="Arial"/>
          <w:sz w:val="18"/>
          <w:szCs w:val="18"/>
          <w:color w:val="auto"/>
        </w:rPr>
      </w:pPr>
    </w:p>
    <w:p>
      <w:pPr>
        <w:ind w:left="1120" w:hanging="319"/>
        <w:spacing w:after="0"/>
        <w:tabs>
          <w:tab w:leader="none" w:pos="11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higher average invested assets resulting from positive net flows in the general account;</w:t>
      </w:r>
    </w:p>
    <w:p>
      <w:pPr>
        <w:spacing w:after="0" w:line="111" w:lineRule="exact"/>
        <w:rPr>
          <w:rFonts w:ascii="Arial" w:cs="Arial" w:eastAsia="Arial" w:hAnsi="Arial"/>
          <w:sz w:val="18"/>
          <w:szCs w:val="18"/>
          <w:color w:val="auto"/>
        </w:rPr>
      </w:pPr>
    </w:p>
    <w:p>
      <w:pPr>
        <w:ind w:left="1120" w:hanging="319"/>
        <w:spacing w:after="0" w:line="264" w:lineRule="auto"/>
        <w:tabs>
          <w:tab w:leader="none" w:pos="1130" w:val="left"/>
        </w:tabs>
        <w:numPr>
          <w:ilvl w:val="1"/>
          <w:numId w:val="37"/>
        </w:numPr>
        <w:rPr>
          <w:rFonts w:ascii="Arial" w:cs="Arial" w:eastAsia="Arial" w:hAnsi="Arial"/>
          <w:sz w:val="18"/>
          <w:szCs w:val="18"/>
          <w:color w:val="auto"/>
        </w:rPr>
      </w:pPr>
      <w:r>
        <w:rPr>
          <w:rFonts w:ascii="Arial" w:cs="Arial" w:eastAsia="Arial" w:hAnsi="Arial"/>
          <w:sz w:val="18"/>
          <w:szCs w:val="18"/>
          <w:color w:val="auto"/>
        </w:rPr>
        <w:t>higher investment yields on our fixed income portfolio, as proceeds from maturing investments and the growth in the investment portfolio were invested at higher yields than the portfolio average;</w:t>
      </w:r>
    </w:p>
    <w:p>
      <w:pPr>
        <w:spacing w:after="0" w:line="74" w:lineRule="exact"/>
        <w:rPr>
          <w:rFonts w:ascii="Arial" w:cs="Arial" w:eastAsia="Arial" w:hAnsi="Arial"/>
          <w:sz w:val="18"/>
          <w:szCs w:val="18"/>
          <w:color w:val="auto"/>
        </w:rPr>
      </w:pPr>
    </w:p>
    <w:p>
      <w:pPr>
        <w:ind w:left="1120" w:hanging="319"/>
        <w:spacing w:after="0" w:line="264" w:lineRule="auto"/>
        <w:tabs>
          <w:tab w:leader="none" w:pos="1130" w:val="left"/>
        </w:tabs>
        <w:numPr>
          <w:ilvl w:val="1"/>
          <w:numId w:val="37"/>
        </w:numPr>
        <w:rPr>
          <w:rFonts w:ascii="Arial" w:cs="Arial" w:eastAsia="Arial" w:hAnsi="Arial"/>
          <w:sz w:val="18"/>
          <w:szCs w:val="18"/>
          <w:color w:val="auto"/>
        </w:rPr>
      </w:pPr>
      <w:r>
        <w:rPr>
          <w:rFonts w:ascii="Arial" w:cs="Arial" w:eastAsia="Arial" w:hAnsi="Arial"/>
          <w:sz w:val="18"/>
          <w:szCs w:val="18"/>
          <w:color w:val="auto"/>
        </w:rPr>
        <w:t>higher investment yields and average invested long-term assets from funding agreements issued in connection with our institutional spread margin business; and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higher returns from short-term investments; and</w:t>
      </w:r>
    </w:p>
    <w:p>
      <w:pPr>
        <w:spacing w:after="0" w:line="111" w:lineRule="exact"/>
        <w:rPr>
          <w:sz w:val="20"/>
          <w:szCs w:val="20"/>
          <w:color w:val="auto"/>
        </w:rPr>
      </w:pPr>
    </w:p>
    <w:p>
      <w:pPr>
        <w:ind w:left="800" w:hanging="317"/>
        <w:spacing w:after="0" w:line="264" w:lineRule="auto"/>
        <w:tabs>
          <w:tab w:leader="none" w:pos="7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lower fee income due to lower asset-based fees resulting from lower average separate account balances, a portion of which is offset in other expenses.</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net favorable impacts were:</w:t>
      </w:r>
    </w:p>
    <w:p>
      <w:pPr>
        <w:spacing w:after="0" w:line="111" w:lineRule="exact"/>
        <w:rPr>
          <w:sz w:val="20"/>
          <w:szCs w:val="20"/>
          <w:color w:val="auto"/>
        </w:rPr>
      </w:pPr>
    </w:p>
    <w:p>
      <w:pPr>
        <w:ind w:left="800" w:hanging="317"/>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lower other expenses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9"/>
        </w:numPr>
        <w:rPr>
          <w:rFonts w:ascii="Arial" w:cs="Arial" w:eastAsia="Arial" w:hAnsi="Arial"/>
          <w:sz w:val="15"/>
          <w:szCs w:val="15"/>
          <w:color w:val="auto"/>
        </w:rPr>
      </w:pPr>
      <w:r>
        <w:rPr>
          <w:rFonts w:ascii="Arial" w:cs="Arial" w:eastAsia="Arial" w:hAnsi="Arial"/>
          <w:sz w:val="15"/>
          <w:szCs w:val="15"/>
          <w:color w:val="auto"/>
        </w:rPr>
        <w:t>lower asset-based variable annuity expenses resulting from lower average separate account balances, a portion of which is offset in fee income;</w:t>
      </w:r>
    </w:p>
    <w:p>
      <w:pPr>
        <w:spacing w:after="0" w:line="145" w:lineRule="exact"/>
        <w:rPr>
          <w:rFonts w:ascii="Arial" w:cs="Arial" w:eastAsia="Arial" w:hAnsi="Arial"/>
          <w:sz w:val="15"/>
          <w:szCs w:val="15"/>
          <w:color w:val="auto"/>
        </w:rPr>
      </w:pPr>
    </w:p>
    <w:p>
      <w:pPr>
        <w:ind w:left="1120" w:hanging="319"/>
        <w:spacing w:after="0"/>
        <w:tabs>
          <w:tab w:leader="none" w:pos="11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lower transition services agreement expenses;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lower establishment costs, which were completed in 2022;</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lower deferred compensation and operational expenses;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lower net costs associated with insurance-related activities due to:</w:t>
      </w:r>
    </w:p>
    <w:p>
      <w:pPr>
        <w:spacing w:after="0" w:line="111" w:lineRule="exact"/>
        <w:rPr>
          <w:rFonts w:ascii="Arial" w:cs="Arial" w:eastAsia="Arial" w:hAnsi="Arial"/>
          <w:sz w:val="18"/>
          <w:szCs w:val="18"/>
          <w:color w:val="auto"/>
        </w:rPr>
      </w:pPr>
    </w:p>
    <w:p>
      <w:pPr>
        <w:ind w:left="800" w:right="6200" w:firstLine="1"/>
        <w:spacing w:after="0" w:line="368" w:lineRule="auto"/>
        <w:tabs>
          <w:tab w:leader="none" w:pos="1114"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 increase in the income annuity underwriting margin; partially offset by</w:t>
      </w:r>
    </w:p>
    <w:p>
      <w:pPr>
        <w:spacing w:after="0" w:line="1" w:lineRule="exact"/>
        <w:rPr>
          <w:rFonts w:ascii="Arial" w:cs="Arial" w:eastAsia="Arial" w:hAnsi="Arial"/>
          <w:sz w:val="18"/>
          <w:szCs w:val="18"/>
          <w:color w:val="auto"/>
        </w:rPr>
      </w:pPr>
    </w:p>
    <w:p>
      <w:pPr>
        <w:ind w:left="1120" w:hanging="319"/>
        <w:spacing w:after="0"/>
        <w:tabs>
          <w:tab w:leader="none" w:pos="11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higher paid claims, net of reinsurance, in our Run-off segment.</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14% in the current period compared to 20% in the prior period. Our effective tax rate differs from the statutory tax rate primarily due to the impacts of the dividends received deduction, tax credits and current period non-recurring items.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 and Corporate &amp; Other Results for the Three Months Ended March 31, 2023 and 2022 — Adjusted Earnings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Annuities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adjusted earnings for our Annuities segment were as follows:</w:t>
      </w:r>
    </w:p>
    <w:p>
      <w:pPr>
        <w:spacing w:after="0" w:line="247"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4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r>
      <w:tr>
        <w:trPr>
          <w:trHeight w:val="191"/>
        </w:trPr>
        <w:tc>
          <w:tcPr>
            <w:tcW w:w="8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6"/>
                <w:szCs w:val="16"/>
                <w:color w:val="auto"/>
              </w:rPr>
            </w:pPr>
          </w:p>
        </w:tc>
      </w:tr>
      <w:tr>
        <w:trPr>
          <w:trHeight w:val="21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w:t>
            </w:r>
          </w:p>
        </w:tc>
      </w:tr>
      <w:tr>
        <w:trPr>
          <w:trHeight w:val="210"/>
        </w:trPr>
        <w:tc>
          <w:tcPr>
            <w:tcW w:w="884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365</w:t>
            </w:r>
          </w:p>
        </w:tc>
      </w:tr>
      <w:tr>
        <w:trPr>
          <w:trHeight w:val="215"/>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09"/>
        </w:trPr>
        <w:tc>
          <w:tcPr>
            <w:tcW w:w="884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6"/>
              </w:rPr>
              <w:t>(129)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15"/>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(340)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w:t>
            </w:r>
          </w:p>
        </w:tc>
      </w:tr>
      <w:tr>
        <w:trPr>
          <w:trHeight w:val="203"/>
        </w:trPr>
        <w:tc>
          <w:tcPr>
            <w:tcW w:w="8840" w:type="dxa"/>
            <w:vAlign w:val="bottom"/>
          </w:tcPr>
          <w:p>
            <w:pPr>
              <w:ind w:left="180"/>
              <w:spacing w:after="0"/>
              <w:rPr>
                <w:sz w:val="20"/>
                <w:szCs w:val="20"/>
                <w:color w:val="auto"/>
              </w:rPr>
            </w:pPr>
            <w:r>
              <w:rPr>
                <w:rFonts w:ascii="Arial" w:cs="Arial" w:eastAsia="Arial" w:hAnsi="Arial"/>
                <w:sz w:val="16"/>
                <w:szCs w:val="16"/>
                <w:color w:val="auto"/>
              </w:rPr>
              <w:t>Pre-tax adjusted earnings</w:t>
            </w: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438</w:t>
            </w:r>
          </w:p>
        </w:tc>
      </w:tr>
      <w:tr>
        <w:trPr>
          <w:trHeight w:val="212"/>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08"/>
        </w:trPr>
        <w:tc>
          <w:tcPr>
            <w:tcW w:w="884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74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w:t>
            </w:r>
          </w:p>
        </w:tc>
      </w:tr>
      <w:tr>
        <w:trPr>
          <w:trHeight w:val="20"/>
        </w:trPr>
        <w:tc>
          <w:tcPr>
            <w:tcW w:w="88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 significant portion of our adjusted earnings is driven by separate account balances related to our variable annuity business. Most directly, these balances determine asset-based fee income and asset-based commissions. The changes in our variable annuities separate account balances are presented in Note 4 of the Notes to the Interim Condensed Consolidated Financial Statements.</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Three Months Ended March 31, 2023 Compared with the Three Months Ended March 31, 2022</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$314 million in the current period, a decrease of $40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unfavorable impacts were:</w:t>
      </w:r>
    </w:p>
    <w:p>
      <w:pPr>
        <w:spacing w:after="0" w:line="111" w:lineRule="exact"/>
        <w:rPr>
          <w:sz w:val="20"/>
          <w:szCs w:val="20"/>
          <w:color w:val="auto"/>
        </w:rPr>
      </w:pPr>
    </w:p>
    <w:p>
      <w:pPr>
        <w:ind w:left="800" w:hanging="317"/>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lower asset-based fees resulting from lower average separate account balances, a portion of which is offset in other expenses;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0" w:hanging="317"/>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lower net investment spread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higher interest credited to policyholders consistent with higher account balances;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lower returns on real estate limited partnerships and LLCs;</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average invested assets resulting from positive net flows in the general account;</w:t>
      </w:r>
    </w:p>
    <w:p>
      <w:pPr>
        <w:spacing w:after="0" w:line="111" w:lineRule="exact"/>
        <w:rPr>
          <w:rFonts w:ascii="Arial" w:cs="Arial" w:eastAsia="Arial" w:hAnsi="Arial"/>
          <w:sz w:val="18"/>
          <w:szCs w:val="18"/>
          <w:color w:val="auto"/>
        </w:rPr>
      </w:pPr>
    </w:p>
    <w:p>
      <w:pPr>
        <w:ind w:left="1120" w:hanging="319"/>
        <w:spacing w:after="0" w:line="264" w:lineRule="auto"/>
        <w:tabs>
          <w:tab w:leader="none" w:pos="11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investment yields on our fixed income portfolio, as proceeds from maturing investments and the growth in the investment portfolio were invested at higher yields than the portfolio average; and</w:t>
      </w:r>
    </w:p>
    <w:p>
      <w:pPr>
        <w:spacing w:after="0" w:line="74" w:lineRule="exact"/>
        <w:rPr>
          <w:rFonts w:ascii="Arial" w:cs="Arial" w:eastAsia="Arial" w:hAnsi="Arial"/>
          <w:sz w:val="18"/>
          <w:szCs w:val="18"/>
          <w:color w:val="auto"/>
        </w:rPr>
      </w:pPr>
    </w:p>
    <w:p>
      <w:pPr>
        <w:ind w:left="1120" w:hanging="319"/>
        <w:spacing w:after="0"/>
        <w:tabs>
          <w:tab w:leader="none" w:pos="11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higher returns from short-term investments.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favorable impacts were:</w:t>
      </w:r>
    </w:p>
    <w:p>
      <w:pPr>
        <w:spacing w:after="0" w:line="111" w:lineRule="exact"/>
        <w:rPr>
          <w:sz w:val="20"/>
          <w:szCs w:val="20"/>
          <w:color w:val="auto"/>
        </w:rPr>
      </w:pPr>
    </w:p>
    <w:p>
      <w:pPr>
        <w:ind w:left="800" w:hanging="317"/>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lower costs associated with insurance-related activities due to an increase in income annuity underwriting margins;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lower other expenses due to:</w:t>
      </w:r>
    </w:p>
    <w:p>
      <w:pPr>
        <w:spacing w:after="0" w:line="111" w:lineRule="exact"/>
        <w:rPr>
          <w:rFonts w:ascii="Arial" w:cs="Arial" w:eastAsia="Arial" w:hAnsi="Arial"/>
          <w:sz w:val="18"/>
          <w:szCs w:val="18"/>
          <w:color w:val="auto"/>
        </w:rPr>
      </w:pPr>
    </w:p>
    <w:p>
      <w:pPr>
        <w:ind w:left="1120" w:hanging="319"/>
        <w:spacing w:after="0" w:line="264" w:lineRule="auto"/>
        <w:tabs>
          <w:tab w:leader="none" w:pos="1116" w:val="left"/>
        </w:tabs>
        <w:numPr>
          <w:ilvl w:val="1"/>
          <w:numId w:val="44"/>
        </w:numPr>
        <w:rPr>
          <w:rFonts w:ascii="Arial" w:cs="Arial" w:eastAsia="Arial" w:hAnsi="Arial"/>
          <w:sz w:val="18"/>
          <w:szCs w:val="18"/>
          <w:color w:val="auto"/>
        </w:rPr>
      </w:pPr>
      <w:r>
        <w:rPr>
          <w:rFonts w:ascii="Arial" w:cs="Arial" w:eastAsia="Arial" w:hAnsi="Arial"/>
          <w:sz w:val="18"/>
          <w:szCs w:val="18"/>
          <w:color w:val="auto"/>
        </w:rPr>
        <w:t>lower asset-based variable annuity expenses resulting from lower average separate account balances, a portion of which is offset in fee income; and</w:t>
      </w:r>
    </w:p>
    <w:p>
      <w:pPr>
        <w:spacing w:after="0" w:line="74" w:lineRule="exact"/>
        <w:rPr>
          <w:rFonts w:ascii="Arial" w:cs="Arial" w:eastAsia="Arial" w:hAnsi="Arial"/>
          <w:sz w:val="18"/>
          <w:szCs w:val="18"/>
          <w:color w:val="auto"/>
        </w:rPr>
      </w:pPr>
    </w:p>
    <w:p>
      <w:pPr>
        <w:ind w:left="1120" w:hanging="319"/>
        <w:spacing w:after="0"/>
        <w:tabs>
          <w:tab w:leader="none" w:pos="11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lower transition services agreement expenses.</w:t>
      </w:r>
    </w:p>
    <w:p>
      <w:pPr>
        <w:spacing w:after="0" w:line="111" w:lineRule="exact"/>
        <w:rPr>
          <w:sz w:val="20"/>
          <w:szCs w:val="20"/>
          <w:color w:val="auto"/>
        </w:rPr>
      </w:pPr>
    </w:p>
    <w:p>
      <w:pPr>
        <w:ind w:left="160" w:firstLine="318"/>
        <w:spacing w:after="0" w:line="365" w:lineRule="auto"/>
        <w:rPr>
          <w:sz w:val="20"/>
          <w:szCs w:val="20"/>
          <w:color w:val="auto"/>
        </w:rPr>
      </w:pPr>
      <w:r>
        <w:rPr>
          <w:rFonts w:ascii="Arial" w:cs="Arial" w:eastAsia="Arial" w:hAnsi="Arial"/>
          <w:sz w:val="15"/>
          <w:szCs w:val="15"/>
          <w:color w:val="auto"/>
        </w:rPr>
        <w:t>The provision for income tax, expressed as a percentage of pre-tax adjusted earnings, resulted in an effective tax rate of 19% in both the current period and prior period. Our effective tax rate differs from the statutory tax rate primarily due to the impact of the dividends received deduction.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adjusted earnings for our Life segment were as follows:</w:t>
      </w:r>
    </w:p>
    <w:p>
      <w:pPr>
        <w:spacing w:after="0" w:line="247"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4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r>
      <w:tr>
        <w:trPr>
          <w:trHeight w:val="191"/>
        </w:trPr>
        <w:tc>
          <w:tcPr>
            <w:tcW w:w="8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(In millions)</w:t>
            </w:r>
          </w:p>
        </w:tc>
        <w:tc>
          <w:tcPr>
            <w:tcW w:w="780" w:type="dxa"/>
            <w:vAlign w:val="bottom"/>
          </w:tcPr>
          <w:p>
            <w:pPr>
              <w:spacing w:after="0"/>
              <w:rPr>
                <w:sz w:val="16"/>
                <w:szCs w:val="16"/>
                <w:color w:val="auto"/>
              </w:rPr>
            </w:pPr>
          </w:p>
        </w:tc>
      </w:tr>
      <w:tr>
        <w:trPr>
          <w:trHeight w:val="21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10"/>
        </w:trPr>
        <w:tc>
          <w:tcPr>
            <w:tcW w:w="884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14"/>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0"/>
        </w:trPr>
        <w:tc>
          <w:tcPr>
            <w:tcW w:w="884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5"/>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7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03"/>
        </w:trPr>
        <w:tc>
          <w:tcPr>
            <w:tcW w:w="8840" w:type="dxa"/>
            <w:vAlign w:val="bottom"/>
          </w:tcPr>
          <w:p>
            <w:pPr>
              <w:ind w:left="180"/>
              <w:spacing w:after="0"/>
              <w:rPr>
                <w:sz w:val="20"/>
                <w:szCs w:val="20"/>
                <w:color w:val="auto"/>
              </w:rPr>
            </w:pPr>
            <w:r>
              <w:rPr>
                <w:rFonts w:ascii="Arial" w:cs="Arial" w:eastAsia="Arial" w:hAnsi="Arial"/>
                <w:sz w:val="16"/>
                <w:szCs w:val="16"/>
                <w:color w:val="auto"/>
              </w:rPr>
              <w:t>Pre-tax adjusted earnings</w:t>
            </w:r>
          </w:p>
        </w:tc>
        <w:tc>
          <w:tcPr>
            <w:tcW w:w="76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12"/>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7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08"/>
        </w:trPr>
        <w:tc>
          <w:tcPr>
            <w:tcW w:w="884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760" w:type="dxa"/>
            <w:vAlign w:val="bottom"/>
            <w:tcBorders>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r>
      <w:tr>
        <w:trPr>
          <w:trHeight w:val="20"/>
        </w:trPr>
        <w:tc>
          <w:tcPr>
            <w:tcW w:w="88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Three Months Ended March 31, 2023 Compared with the Three Months Ended March 31, 2022</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$1 million in the current period, a decrease of $65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unfavorable impacts were:</w:t>
      </w:r>
    </w:p>
    <w:p>
      <w:pPr>
        <w:spacing w:after="0" w:line="111" w:lineRule="exact"/>
        <w:rPr>
          <w:sz w:val="20"/>
          <w:szCs w:val="20"/>
          <w:color w:val="auto"/>
        </w:rPr>
      </w:pPr>
    </w:p>
    <w:p>
      <w:pPr>
        <w:ind w:left="800" w:hanging="317"/>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lower net investment spread due to lower returns on other limited partnerships compared to the prior period;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higher other expenses due to:</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lower ceded cost of insurance expenses consistent with favorable equity market returns, which is offset in fee income; and</w:t>
      </w:r>
    </w:p>
    <w:p>
      <w:pPr>
        <w:spacing w:after="0" w:line="111" w:lineRule="exact"/>
        <w:rPr>
          <w:rFonts w:ascii="Arial" w:cs="Arial" w:eastAsia="Arial" w:hAnsi="Arial"/>
          <w:sz w:val="18"/>
          <w:szCs w:val="18"/>
          <w:color w:val="auto"/>
        </w:rPr>
      </w:pPr>
    </w:p>
    <w:p>
      <w:pPr>
        <w:ind w:left="1120" w:hanging="319"/>
        <w:spacing w:after="0"/>
        <w:tabs>
          <w:tab w:leader="none" w:pos="11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higher deferred compensation and operational expenses.</w:t>
      </w:r>
    </w:p>
    <w:p>
      <w:pPr>
        <w:spacing w:after="0" w:line="200" w:lineRule="exact"/>
        <w:rPr>
          <w:sz w:val="20"/>
          <w:szCs w:val="20"/>
          <w:color w:val="auto"/>
        </w:rPr>
      </w:pPr>
    </w:p>
    <w:p>
      <w:pPr>
        <w:spacing w:after="0" w:line="229" w:lineRule="exact"/>
        <w:rPr>
          <w:sz w:val="20"/>
          <w:szCs w:val="20"/>
          <w:color w:val="auto"/>
        </w:rPr>
      </w:pPr>
    </w:p>
    <w:p>
      <w:pPr>
        <w:ind w:left="800" w:hanging="317"/>
        <w:spacing w:after="0"/>
        <w:tabs>
          <w:tab w:leader="none" w:pos="8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higher fee income due to lower ceded cost of insurance fees consistent with favorable equity market returns, which is offset in other expenses.</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81"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 w:firstLine="318"/>
        <w:spacing w:after="0" w:line="365" w:lineRule="auto"/>
        <w:rPr>
          <w:sz w:val="20"/>
          <w:szCs w:val="20"/>
          <w:color w:val="auto"/>
        </w:rPr>
      </w:pPr>
      <w:r>
        <w:rPr>
          <w:rFonts w:ascii="Arial" w:cs="Arial" w:eastAsia="Arial" w:hAnsi="Arial"/>
          <w:sz w:val="15"/>
          <w:szCs w:val="15"/>
          <w:color w:val="auto"/>
        </w:rPr>
        <w:t>The provision for income tax, expressed as a percentage of pre-tax adjusted earnings, resulted in a lower effective tax rate in the current period compared to the prior period. Our effective tax rate differs from the statutory tax rate primarily due to the impact of the dividends received deduction.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Run-off</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adjusted earnings for our Run-off segment were as follows:</w:t>
      </w:r>
    </w:p>
    <w:p>
      <w:pPr>
        <w:spacing w:after="0" w:line="247"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4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r>
      <w:tr>
        <w:trPr>
          <w:trHeight w:val="191"/>
        </w:trPr>
        <w:tc>
          <w:tcPr>
            <w:tcW w:w="8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6"/>
                <w:szCs w:val="16"/>
                <w:color w:val="auto"/>
              </w:rPr>
            </w:pPr>
          </w:p>
        </w:tc>
      </w:tr>
      <w:tr>
        <w:trPr>
          <w:trHeight w:val="21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210"/>
        </w:trPr>
        <w:tc>
          <w:tcPr>
            <w:tcW w:w="884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214"/>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(408)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r>
      <w:tr>
        <w:trPr>
          <w:trHeight w:val="209"/>
        </w:trPr>
        <w:tc>
          <w:tcPr>
            <w:tcW w:w="884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74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03"/>
        </w:trPr>
        <w:tc>
          <w:tcPr>
            <w:tcW w:w="8840" w:type="dxa"/>
            <w:vAlign w:val="bottom"/>
          </w:tcPr>
          <w:p>
            <w:pPr>
              <w:ind w:left="180"/>
              <w:spacing w:after="0"/>
              <w:rPr>
                <w:sz w:val="20"/>
                <w:szCs w:val="20"/>
                <w:color w:val="auto"/>
              </w:rPr>
            </w:pPr>
            <w:r>
              <w:rPr>
                <w:rFonts w:ascii="Arial" w:cs="Arial" w:eastAsia="Arial" w:hAnsi="Arial"/>
                <w:sz w:val="16"/>
                <w:szCs w:val="16"/>
                <w:color w:val="auto"/>
              </w:rPr>
              <w:t>Pre-tax adjusted earnings</w:t>
            </w: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6"/>
              </w:rPr>
              <w:t>(134)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2"/>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7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8"/>
        </w:trPr>
        <w:tc>
          <w:tcPr>
            <w:tcW w:w="8840" w:type="dxa"/>
            <w:vAlign w:val="bottom"/>
          </w:tcPr>
          <w:p>
            <w:pPr>
              <w:ind w:left="180"/>
              <w:spacing w:after="0"/>
              <w:rPr>
                <w:sz w:val="20"/>
                <w:szCs w:val="20"/>
                <w:color w:val="auto"/>
              </w:rPr>
            </w:pPr>
            <w:r>
              <w:rPr>
                <w:rFonts w:ascii="Arial" w:cs="Arial" w:eastAsia="Arial" w:hAnsi="Arial"/>
                <w:sz w:val="16"/>
                <w:szCs w:val="16"/>
                <w:color w:val="auto"/>
              </w:rPr>
              <w:t>Adjusted earnings</w:t>
            </w:r>
          </w:p>
        </w:tc>
        <w:tc>
          <w:tcPr>
            <w:tcW w:w="740" w:type="dxa"/>
            <w:vAlign w:val="bottom"/>
            <w:tcBorders>
              <w:bottom w:val="single" w:sz="8" w:color="auto"/>
            </w:tcBorders>
          </w:tcPr>
          <w:p>
            <w:pPr>
              <w:jc w:val="right"/>
              <w:ind w:right="58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(106)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0"/>
        </w:trPr>
        <w:tc>
          <w:tcPr>
            <w:tcW w:w="88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Three Months Ended March 31, 2023 Compared with the Three Months Ended March 31, 2022</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a loss of $106 million in the current period, a decrease of $130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net unfavorable impacts were:</w:t>
      </w:r>
    </w:p>
    <w:p>
      <w:pPr>
        <w:spacing w:after="0" w:line="111" w:lineRule="exact"/>
        <w:rPr>
          <w:sz w:val="20"/>
          <w:szCs w:val="20"/>
          <w:color w:val="auto"/>
        </w:rPr>
      </w:pPr>
    </w:p>
    <w:p>
      <w:pPr>
        <w:ind w:left="800" w:hanging="317"/>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lower net investment spread due to lower returns on other limited partnerships compared to the prior period; and</w:t>
      </w:r>
    </w:p>
    <w:p>
      <w:pPr>
        <w:spacing w:after="0" w:line="111" w:lineRule="exact"/>
        <w:rPr>
          <w:rFonts w:ascii="Arial" w:cs="Arial" w:eastAsia="Arial" w:hAnsi="Arial"/>
          <w:sz w:val="18"/>
          <w:szCs w:val="18"/>
          <w:color w:val="auto"/>
        </w:rPr>
      </w:pPr>
    </w:p>
    <w:p>
      <w:pPr>
        <w:ind w:left="800" w:hanging="317"/>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higher net costs associated with insurance-related activities due to higher paid claims, net of reinsurance in our ULSG business.</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provision for income tax, expressed as a percentage of pre-tax adjusted earnings, resulted in an effective tax rate of 21% in the current period compared to 23% in the prior period. Our effective tax rate differs from the statutory tax rate primarily due to the impact of the dividends received deduction.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adjusted earnings for Corporate &amp; Other were as follows:</w:t>
      </w:r>
    </w:p>
    <w:p>
      <w:pPr>
        <w:spacing w:after="0" w:line="234"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4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r>
      <w:tr>
        <w:trPr>
          <w:trHeight w:val="191"/>
        </w:trPr>
        <w:tc>
          <w:tcPr>
            <w:tcW w:w="8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(In millions)</w:t>
            </w:r>
          </w:p>
        </w:tc>
        <w:tc>
          <w:tcPr>
            <w:tcW w:w="780" w:type="dxa"/>
            <w:vAlign w:val="bottom"/>
          </w:tcPr>
          <w:p>
            <w:pPr>
              <w:spacing w:after="0"/>
              <w:rPr>
                <w:sz w:val="16"/>
                <w:szCs w:val="16"/>
                <w:color w:val="auto"/>
              </w:rPr>
            </w:pPr>
          </w:p>
        </w:tc>
      </w:tr>
      <w:tr>
        <w:trPr>
          <w:trHeight w:val="21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840" w:type="dxa"/>
            <w:vAlign w:val="bottom"/>
          </w:tcPr>
          <w:p>
            <w:pPr>
              <w:ind w:left="20"/>
              <w:spacing w:after="0"/>
              <w:rPr>
                <w:sz w:val="20"/>
                <w:szCs w:val="20"/>
                <w:color w:val="auto"/>
              </w:rPr>
            </w:pPr>
            <w:r>
              <w:rPr>
                <w:rFonts w:ascii="Arial" w:cs="Arial" w:eastAsia="Arial" w:hAnsi="Arial"/>
                <w:sz w:val="16"/>
                <w:szCs w:val="16"/>
                <w:color w:val="auto"/>
              </w:rPr>
              <w:t>Net investment spread</w:t>
            </w: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5"/>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Insurance-related activities</w:t>
            </w:r>
          </w:p>
        </w:tc>
        <w:tc>
          <w:tcPr>
            <w:tcW w:w="7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9"/>
        </w:trPr>
        <w:tc>
          <w:tcPr>
            <w:tcW w:w="8840" w:type="dxa"/>
            <w:vAlign w:val="bottom"/>
          </w:tcPr>
          <w:p>
            <w:pPr>
              <w:ind w:left="20"/>
              <w:spacing w:after="0"/>
              <w:rPr>
                <w:sz w:val="20"/>
                <w:szCs w:val="20"/>
                <w:color w:val="auto"/>
              </w:rPr>
            </w:pPr>
            <w:r>
              <w:rPr>
                <w:rFonts w:ascii="Arial" w:cs="Arial" w:eastAsia="Arial" w:hAnsi="Arial"/>
                <w:sz w:val="16"/>
                <w:szCs w:val="16"/>
                <w:color w:val="auto"/>
              </w:rPr>
              <w:t>Amortization of DAC and VOBA</w:t>
            </w:r>
          </w:p>
        </w:tc>
        <w:tc>
          <w:tcPr>
            <w:tcW w:w="7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10"/>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(loss) attributable to noncontrolling interests and preferred stock dividends</w:t>
            </w: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08"/>
        </w:trPr>
        <w:tc>
          <w:tcPr>
            <w:tcW w:w="8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Pre-tax adjusted earnings, less net income (loss) attributable to noncontrolling interests and preferred stock dividends</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10"/>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 expense (benefit)</w:t>
            </w: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33"/>
        </w:trPr>
        <w:tc>
          <w:tcPr>
            <w:tcW w:w="8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Adjusted earnings</w:t>
            </w:r>
          </w:p>
        </w:tc>
        <w:tc>
          <w:tcPr>
            <w:tcW w:w="760" w:type="dxa"/>
            <w:vAlign w:val="bottom"/>
            <w:tcBorders>
              <w:bottom w:val="single" w:sz="8" w:color="auto"/>
            </w:tcBorders>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Three Months Ended March 31, 2023 Compared with the Three Months Ended March 31, 2022</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Adjusted earnings were a loss of $14 million in the current period, a lower loss of $50 million.</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Key favorable impacts were:</w:t>
      </w:r>
    </w:p>
    <w:p>
      <w:pPr>
        <w:spacing w:after="0" w:line="111" w:lineRule="exact"/>
        <w:rPr>
          <w:sz w:val="20"/>
          <w:szCs w:val="20"/>
          <w:color w:val="auto"/>
        </w:rPr>
      </w:pPr>
    </w:p>
    <w:p>
      <w:pPr>
        <w:ind w:left="640" w:hanging="157"/>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higher net investment spread due to:</w:t>
      </w:r>
    </w:p>
    <w:p>
      <w:pPr>
        <w:spacing w:after="0" w:line="111" w:lineRule="exact"/>
        <w:rPr>
          <w:rFonts w:ascii="Arial" w:cs="Arial" w:eastAsia="Arial" w:hAnsi="Arial"/>
          <w:sz w:val="18"/>
          <w:szCs w:val="18"/>
          <w:color w:val="auto"/>
        </w:rPr>
      </w:pPr>
    </w:p>
    <w:p>
      <w:pPr>
        <w:ind w:left="1120" w:hanging="319"/>
        <w:spacing w:after="0" w:line="264" w:lineRule="auto"/>
        <w:tabs>
          <w:tab w:leader="none" w:pos="1130" w:val="left"/>
        </w:tabs>
        <w:numPr>
          <w:ilvl w:val="1"/>
          <w:numId w:val="48"/>
        </w:numPr>
        <w:rPr>
          <w:rFonts w:ascii="Arial" w:cs="Arial" w:eastAsia="Arial" w:hAnsi="Arial"/>
          <w:sz w:val="18"/>
          <w:szCs w:val="18"/>
          <w:color w:val="auto"/>
        </w:rPr>
      </w:pPr>
      <w:r>
        <w:rPr>
          <w:rFonts w:ascii="Arial" w:cs="Arial" w:eastAsia="Arial" w:hAnsi="Arial"/>
          <w:sz w:val="18"/>
          <w:szCs w:val="18"/>
          <w:color w:val="auto"/>
        </w:rPr>
        <w:t>higher investment yields and average invested long-term assets from funding agreements issued in connection with our institutional spread margin business; and</w:t>
      </w:r>
    </w:p>
    <w:p>
      <w:pPr>
        <w:spacing w:after="0" w:line="74" w:lineRule="exact"/>
        <w:rPr>
          <w:rFonts w:ascii="Arial" w:cs="Arial" w:eastAsia="Arial" w:hAnsi="Arial"/>
          <w:sz w:val="18"/>
          <w:szCs w:val="18"/>
          <w:color w:val="auto"/>
        </w:rPr>
      </w:pPr>
    </w:p>
    <w:p>
      <w:pPr>
        <w:ind w:left="1120" w:hanging="319"/>
        <w:spacing w:after="0"/>
        <w:tabs>
          <w:tab w:leader="none" w:pos="11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higher returns from short-term investments; and</w:t>
      </w:r>
    </w:p>
    <w:p>
      <w:pPr>
        <w:spacing w:after="0" w:line="111" w:lineRule="exact"/>
        <w:rPr>
          <w:rFonts w:ascii="Arial" w:cs="Arial" w:eastAsia="Arial" w:hAnsi="Arial"/>
          <w:sz w:val="18"/>
          <w:szCs w:val="18"/>
          <w:color w:val="auto"/>
        </w:rPr>
      </w:pPr>
    </w:p>
    <w:p>
      <w:pPr>
        <w:ind w:left="640" w:hanging="157"/>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lower other expenses due to lower establishment costs, which were completed in 2022.</w:t>
      </w:r>
    </w:p>
    <w:p>
      <w:pPr>
        <w:spacing w:after="0" w:line="111"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The provision for income tax, expressed as a percentage of pre-tax adjusted earnings, resulted in a lower effective tax rate in the current period compared to the prior period. Our effective tax rate differs from the statutory tax rate primarily due to the impacts of the dividends received deduction, tax credits and current period non-recurring items. We believe the effective tax rate for Corporate &amp; Other is not generally meaningful, neither on a standalone basis nor for comparison to prior periods, since taxes for Corporate &amp; Other are derived from the difference between the overall consolidated effective tax rate and total taxes for the combined operating segments.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Annuity Guaranteed Benefits and Shield Annuity Liabilities for the Three Months Ended March 31, 2023 and 2022</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overall impact on income (loss) available to shareholders before provision for income tax from the performance of variable annuity guaranteed benefits and Shield annuity liabilities, which includes (i) changes in the fair value of liabilities and reinsurance, (ii) fees net of claims and (iii) the mark-to-market of hedges, was as follows:</w:t>
      </w:r>
    </w:p>
    <w:p>
      <w:pPr>
        <w:spacing w:after="0" w:line="218"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4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r>
      <w:tr>
        <w:trPr>
          <w:trHeight w:val="191"/>
        </w:trPr>
        <w:tc>
          <w:tcPr>
            <w:tcW w:w="8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6"/>
                <w:szCs w:val="16"/>
                <w:color w:val="auto"/>
              </w:rPr>
            </w:pPr>
          </w:p>
        </w:tc>
      </w:tr>
      <w:tr>
        <w:trPr>
          <w:trHeight w:val="21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 risk benefits mark-to-market</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w:t>
            </w:r>
          </w:p>
        </w:tc>
      </w:tr>
      <w:tr>
        <w:trPr>
          <w:trHeight w:val="209"/>
        </w:trPr>
        <w:tc>
          <w:tcPr>
            <w:tcW w:w="8840" w:type="dxa"/>
            <w:vAlign w:val="bottom"/>
          </w:tcPr>
          <w:p>
            <w:pPr>
              <w:ind w:left="20"/>
              <w:spacing w:after="0"/>
              <w:rPr>
                <w:sz w:val="20"/>
                <w:szCs w:val="20"/>
                <w:color w:val="auto"/>
              </w:rPr>
            </w:pPr>
            <w:r>
              <w:rPr>
                <w:rFonts w:ascii="Arial" w:cs="Arial" w:eastAsia="Arial" w:hAnsi="Arial"/>
                <w:sz w:val="16"/>
                <w:szCs w:val="16"/>
                <w:color w:val="auto"/>
              </w:rPr>
              <w:t>Annuity guaranteed benefit rider fees, net of claims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215"/>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Ceded reinsurance</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03"/>
        </w:trPr>
        <w:tc>
          <w:tcPr>
            <w:tcW w:w="8840" w:type="dxa"/>
            <w:vAlign w:val="bottom"/>
          </w:tcPr>
          <w:p>
            <w:pPr>
              <w:ind w:left="180"/>
              <w:spacing w:after="0"/>
              <w:rPr>
                <w:sz w:val="20"/>
                <w:szCs w:val="20"/>
                <w:color w:val="auto"/>
              </w:rPr>
            </w:pPr>
            <w:r>
              <w:rPr>
                <w:rFonts w:ascii="Arial" w:cs="Arial" w:eastAsia="Arial" w:hAnsi="Arial"/>
                <w:sz w:val="16"/>
                <w:szCs w:val="16"/>
                <w:color w:val="auto"/>
              </w:rPr>
              <w:t>Total changes attributable to annuity guaranteed benefits liabilities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1,579</w:t>
            </w:r>
          </w:p>
        </w:tc>
      </w:tr>
      <w:tr>
        <w:trPr>
          <w:trHeight w:val="215"/>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Variable annuity hedges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r>
      <w:tr>
        <w:trPr>
          <w:trHeight w:val="209"/>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Shield embedded derivatives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w:t>
            </w:r>
          </w:p>
        </w:tc>
      </w:tr>
      <w:tr>
        <w:trPr>
          <w:trHeight w:val="233"/>
        </w:trPr>
        <w:tc>
          <w:tcPr>
            <w:tcW w:w="8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annuity guaranteed benefits and Shield annuity liabilities</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1,964</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i w:val="1"/>
          <w:iCs w:val="1"/>
          <w:color w:val="auto"/>
        </w:rPr>
        <w:t xml:space="preserve">Market Risk Benefits Mark-to-Market. </w:t>
      </w:r>
      <w:r>
        <w:rPr>
          <w:rFonts w:ascii="Arial" w:cs="Arial" w:eastAsia="Arial" w:hAnsi="Arial"/>
          <w:sz w:val="17"/>
          <w:szCs w:val="17"/>
          <w:color w:val="auto"/>
        </w:rPr>
        <w:t>Annuity guaranteed rider benefits are accounted for as MRBs. Liabilities related to guarantee rider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 the current estimated fair value of the obligation to protect policyholders against the possibility that a downturn in the markets will reduce the specified benefits that can be claimed under the base annuity contract. Any periods of significant or sustained downturns in equity markets, increased equity volatility, or reduced interest rates could result in an increase in the valuation of these liabilities. An increase in these liabilities would result in a decrease to our net income (loss) available to shareholders, which could be significant.</w:t>
      </w:r>
    </w:p>
    <w:p>
      <w:pPr>
        <w:spacing w:after="0" w:line="7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Annuity Guaranteed Benefit Rider Fees, Net of Claims. </w:t>
      </w:r>
      <w:r>
        <w:rPr>
          <w:rFonts w:ascii="Arial" w:cs="Arial" w:eastAsia="Arial" w:hAnsi="Arial"/>
          <w:sz w:val="18"/>
          <w:szCs w:val="18"/>
          <w:color w:val="auto"/>
        </w:rPr>
        <w:t>We earn fees from the guarantee rider benefits, which are calculated based on the policyholder’s</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Base. Fees calculated based on the Benefit Base are more stable in market downturns, compared to fees based on the account value because the Benefit Base excludes the impact of a decline in the market value of the policyholder’s account value. We use the fees directly earned from the guarantee riders to fund the reserves, future claims and costs associated with the hedges of market risks inherent in these liabilities. The future fees are included in the estimated fair value of MRB liabilities, with changes recorded in MRBs.</w:t>
      </w:r>
    </w:p>
    <w:p>
      <w:pPr>
        <w:spacing w:after="0" w:line="8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Variable Annuity Hedges and Reinsurance. </w:t>
      </w:r>
      <w:r>
        <w:rPr>
          <w:rFonts w:ascii="Arial" w:cs="Arial" w:eastAsia="Arial" w:hAnsi="Arial"/>
          <w:sz w:val="18"/>
          <w:szCs w:val="18"/>
          <w:color w:val="auto"/>
        </w:rPr>
        <w:t>We enter into freestanding derivatives to hedge certain aspects of the annuity guaranteed benefits accounted</w:t>
      </w:r>
      <w:r>
        <w:rPr>
          <w:rFonts w:ascii="Arial" w:cs="Arial" w:eastAsia="Arial" w:hAnsi="Arial"/>
          <w:sz w:val="18"/>
          <w:szCs w:val="18"/>
          <w:i w:val="1"/>
          <w:iCs w:val="1"/>
          <w:color w:val="auto"/>
        </w:rPr>
        <w:t xml:space="preserve"> </w:t>
      </w:r>
      <w:r>
        <w:rPr>
          <w:rFonts w:ascii="Arial" w:cs="Arial" w:eastAsia="Arial" w:hAnsi="Arial"/>
          <w:sz w:val="18"/>
          <w:szCs w:val="18"/>
          <w:color w:val="auto"/>
        </w:rPr>
        <w:t>for as MRBs and index-linked crediting rates accounted for as embedded derivatives. Generally, the same market factors that impact the estimated fair value of the guarantee rider impact the value of the hedges, though in the opposite direction. However, the changes in value of MRBs and related hedges may not be symmetrical and the divergence could be significant due to certain factors, including unhedged risks within MRBs. We may also use reinsurance to manage our exposure related to MRBs.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 xml:space="preserve">Shield Embedded Derivatives. </w:t>
      </w:r>
      <w:r>
        <w:rPr>
          <w:rFonts w:ascii="Arial" w:cs="Arial" w:eastAsia="Arial" w:hAnsi="Arial"/>
          <w:sz w:val="18"/>
          <w:szCs w:val="18"/>
          <w:color w:val="auto"/>
        </w:rPr>
        <w:t>Shield Annuities provide the contract holder the ability to participate in the appreciation of certain financial markets up to a</w:t>
      </w:r>
      <w:r>
        <w:rPr>
          <w:rFonts w:ascii="Arial" w:cs="Arial" w:eastAsia="Arial" w:hAnsi="Arial"/>
          <w:sz w:val="18"/>
          <w:szCs w:val="18"/>
          <w:i w:val="1"/>
          <w:iCs w:val="1"/>
          <w:color w:val="auto"/>
        </w:rPr>
        <w:t xml:space="preserve"> </w:t>
      </w:r>
      <w:r>
        <w:rPr>
          <w:rFonts w:ascii="Arial" w:cs="Arial" w:eastAsia="Arial" w:hAnsi="Arial"/>
          <w:sz w:val="18"/>
          <w:szCs w:val="18"/>
          <w:color w:val="auto"/>
        </w:rPr>
        <w:t>stated level, while offering protection from a portion of declines in the applicable indices or benchmark. We believe that Shield Annuities provide us with a risk offset to liabilities related to guarantee rider benefits.</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See “Management’s Discussion and Analysis of Financial Condition and Results of Operations — Risk Management Strategies — Variable Annuity Exposure Risk Management” in our 2022 Annual Report for discussion of our management of our hedging strategy associated with our variable annuity business, which remains unchanged following the adoption of LDTI.</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Three Months Ended March 31, 2023 Compared with the Three Months Ended March 31, 2022</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Annuity guaranteed benefits and Shield annuity liabilities performance was unfavorable for the three months ended March 31, 2023, primarily driven</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by:</w:t>
      </w:r>
    </w:p>
    <w:p>
      <w:pPr>
        <w:spacing w:after="0" w:line="100" w:lineRule="exact"/>
        <w:rPr>
          <w:sz w:val="20"/>
          <w:szCs w:val="20"/>
          <w:color w:val="auto"/>
        </w:rPr>
      </w:pPr>
    </w:p>
    <w:p>
      <w:pPr>
        <w:ind w:left="800" w:hanging="317"/>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increases in annuity guaranteed benefits liabilities due to decreasing interest rates, partially offset by increasing equity markets;</w:t>
      </w:r>
    </w:p>
    <w:p>
      <w:pPr>
        <w:spacing w:after="0" w:line="111" w:lineRule="exact"/>
        <w:rPr>
          <w:rFonts w:ascii="Arial" w:cs="Arial" w:eastAsia="Arial" w:hAnsi="Arial"/>
          <w:sz w:val="18"/>
          <w:szCs w:val="18"/>
          <w:color w:val="auto"/>
        </w:rPr>
      </w:pPr>
    </w:p>
    <w:p>
      <w:pPr>
        <w:ind w:left="800" w:hanging="317"/>
        <w:spacing w:after="0" w:line="264" w:lineRule="auto"/>
        <w:tabs>
          <w:tab w:leader="none" w:pos="7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favorable changes in variable annuity hedges due to decreasing long-term interest rates, partially offset by the negative impact from increasing equity markets; and</w:t>
      </w:r>
    </w:p>
    <w:p>
      <w:pPr>
        <w:spacing w:after="0" w:line="74" w:lineRule="exact"/>
        <w:rPr>
          <w:rFonts w:ascii="Arial" w:cs="Arial" w:eastAsia="Arial" w:hAnsi="Arial"/>
          <w:sz w:val="18"/>
          <w:szCs w:val="18"/>
          <w:color w:val="auto"/>
        </w:rPr>
      </w:pPr>
    </w:p>
    <w:p>
      <w:pPr>
        <w:ind w:left="800" w:hanging="317"/>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unfavorable changes in Shield embedded derivatives due to increasing equity markets.</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Annuity guaranteed benefits and Shield annuity liabilities performance was favorable for the three months ended March 31, 2022, primarily driven by:</w:t>
      </w:r>
    </w:p>
    <w:p>
      <w:pPr>
        <w:spacing w:after="0" w:line="146" w:lineRule="exact"/>
        <w:rPr>
          <w:sz w:val="20"/>
          <w:szCs w:val="20"/>
          <w:color w:val="auto"/>
        </w:rPr>
      </w:pPr>
    </w:p>
    <w:p>
      <w:pPr>
        <w:ind w:left="800" w:hanging="317"/>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decreases in annuity guaranteed benefits liabilities due to increasing interest rates, partially offset by decreasing equity markets;</w:t>
      </w:r>
    </w:p>
    <w:p>
      <w:pPr>
        <w:spacing w:after="0" w:line="111" w:lineRule="exact"/>
        <w:rPr>
          <w:rFonts w:ascii="Arial" w:cs="Arial" w:eastAsia="Arial" w:hAnsi="Arial"/>
          <w:sz w:val="18"/>
          <w:szCs w:val="18"/>
          <w:color w:val="auto"/>
        </w:rPr>
      </w:pPr>
    </w:p>
    <w:p>
      <w:pPr>
        <w:ind w:left="800" w:hanging="317"/>
        <w:spacing w:after="0" w:line="264" w:lineRule="auto"/>
        <w:tabs>
          <w:tab w:leader="none" w:pos="7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unfavorable changes in variable annuity hedges due to increasing long-term interest rates, partially offset by the positive impact from decreasing equity markets; and</w:t>
      </w:r>
    </w:p>
    <w:p>
      <w:pPr>
        <w:spacing w:after="0" w:line="74" w:lineRule="exact"/>
        <w:rPr>
          <w:rFonts w:ascii="Arial" w:cs="Arial" w:eastAsia="Arial" w:hAnsi="Arial"/>
          <w:sz w:val="18"/>
          <w:szCs w:val="18"/>
          <w:color w:val="auto"/>
        </w:rPr>
      </w:pPr>
    </w:p>
    <w:p>
      <w:pPr>
        <w:ind w:left="800" w:hanging="317"/>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favorable changes in Shield embedded derivatives due to decreasing equity markets, partially offset by increasing interest rates.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Risk Management Strategy</w:t>
      </w:r>
    </w:p>
    <w:p>
      <w:pPr>
        <w:spacing w:after="0" w:line="11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manage the risks related to our investment portfolio through asset-type allocation as well as industry and issuer diversification. We also use risk limits to promote diversification by asset sector, avoid concentrations in any single issuer and limit overall aggregate credit and equity risk exposure. We manage real estate risk through geographic, property type and product type diversification and asset allocation. Interest rate risk is managed as part of our Asset Liability Management (“ALM”) strategies. We also utilize product design, such as the use of market value adjustment features and surrender charges to manage interest rate risk. These ALM strategies include maintaining an investment portfolio that targets a weighted average duration that reflects the duration of our estimated liability cash flow profile. For certain of our liability portfolios, it is not possible to invest assets for the full liability duration, thereby creating some asset/liability mismatch. We also use certain derivatives in the management of credit, interest rate, equity market and foreign currency exchange rate risks.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Agreements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Other than our derivatives trading, which we manage in-house, we have engaged a select group of experienced external asset management firms to manage the investment of the assets comprising our general account portfolio and certain separate account assets of our insurance subsidiaries, as well as assets of BHF and our reinsurance subsidiary, BRCD.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Environment</w:t>
      </w:r>
    </w:p>
    <w:p>
      <w:pPr>
        <w:spacing w:after="0" w:line="11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business and results of operations are materially affected by conditions in capital markets and the economy, generally. As a U.S. insurance company, we are affected by the monetary policy of the Federal Reserve Board (the “Federal Reserve”) in the U.S. The Federal Reserve may increase or decrease the federal funds rate in the future, which may have an impact on the pricing levels of risk-bearing investments and may adversely impact the level of product sales. We are also affected by the monetary policy of central banks around the world due to the diversification of our investment portfolio. See “— Industry Trends and Uncertainties — Financial and Economic Environment.”</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2023, the Federal Reserve increased the target range for the federal funds rate three times — from between 4.25% and 4.50% to between 4.50% and 4.75% on February 1, 2023; to between 4.75% and 5.00% on March 22, 2023; and to between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5.00% and 5.25% on May 3, 2023. These target range increases have contributed to a decrease in the net unrealized gains in our investment portfolio, and any additional target increases could similarly contribute to further decreases.</w:t>
      </w:r>
    </w:p>
    <w:p>
      <w:pPr>
        <w:spacing w:after="0" w:line="7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In the current period, as a result of rising interest rates, the unrealized losses on our fixed maturity securities exceeded the unrealized gains. If interest rates continue to rise, our unrealized gains would decrease, and our unrealized losses would increase, perhaps substantially.</w:t>
      </w:r>
    </w:p>
    <w:p>
      <w:pPr>
        <w:spacing w:after="0" w:line="5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2022 Annual Report.</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Selected Sector Investments</w:t>
      </w:r>
    </w:p>
    <w:p>
      <w:pPr>
        <w:spacing w:after="0" w:line="111" w:lineRule="exact"/>
        <w:rPr>
          <w:sz w:val="20"/>
          <w:szCs w:val="20"/>
          <w:color w:val="auto"/>
        </w:rPr>
      </w:pPr>
    </w:p>
    <w:p>
      <w:pPr>
        <w:jc w:val="both"/>
        <w:ind w:left="160" w:firstLine="318"/>
        <w:spacing w:after="0" w:line="267" w:lineRule="auto"/>
        <w:rPr>
          <w:sz w:val="20"/>
          <w:szCs w:val="20"/>
          <w:color w:val="auto"/>
        </w:rPr>
      </w:pPr>
      <w:r>
        <w:rPr>
          <w:rFonts w:ascii="Arial" w:cs="Arial" w:eastAsia="Arial" w:hAnsi="Arial"/>
          <w:sz w:val="17"/>
          <w:szCs w:val="17"/>
          <w:color w:val="auto"/>
        </w:rPr>
        <w:t>Recent elevated levels of market volatility have affected the performance of various asset classes. 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and “Risk Factors — Risks Related to Our Investment Portfolio — Ongoing military actions, the continued threat of terrorism, climate change as well as other catastrophic events may adversely affect the value of our investment portfolio and the level of claim losses we incur” included in our 2022 Annual Report.</w:t>
      </w:r>
    </w:p>
    <w:p>
      <w:pPr>
        <w:spacing w:after="0" w:line="73"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There has been an increased market focus on commercial real estate, including office properties, as a result of companies shifting to hybrid work arrangements and the resulting impact on the demand for office space.</w:t>
      </w:r>
    </w:p>
    <w:p>
      <w:pPr>
        <w:spacing w:after="0" w:line="75" w:lineRule="exact"/>
        <w:rPr>
          <w:sz w:val="20"/>
          <w:szCs w:val="20"/>
          <w:color w:val="auto"/>
        </w:rPr>
      </w:pPr>
    </w:p>
    <w:p>
      <w:pPr>
        <w:jc w:val="both"/>
        <w:ind w:left="160" w:firstLine="318"/>
        <w:spacing w:after="0" w:line="263" w:lineRule="auto"/>
        <w:rPr>
          <w:sz w:val="20"/>
          <w:szCs w:val="20"/>
          <w:color w:val="auto"/>
        </w:rPr>
      </w:pPr>
      <w:r>
        <w:rPr>
          <w:rFonts w:ascii="Arial" w:cs="Arial" w:eastAsia="Arial" w:hAnsi="Arial"/>
          <w:sz w:val="17"/>
          <w:szCs w:val="17"/>
          <w:color w:val="auto"/>
        </w:rPr>
        <w:t>We have direct commercial real estate exposure through mortgage loans and certain structured securities. Structured securities include residential mortgage-backed securities (“RMBS”), commercial mortgage-backed securities (“CMBS”) and asset-backed securities (“ABS”) (collectively, “Structured Securities”). In addition, we have direct and indirect exposure through certain financial industry corporate fixed maturity securities. 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2022 Annual Report, as well as “— Investments — Mortgage Loans” and Note 6 of the Notes to the Interim Condensed Consolidated Financial Statements for information on mortgage loans, including credit quality by portfolio segment and commercial mortgage loans by property type. Additionally, see “— Investments — Fixed Maturity Securities Available-for-sale — Structured Securities” for information on Structured Securities, including security type, risk profile and ratings profile as well as “— Investments — Fixed Maturity Securities Available-for-sale — U.S. and Foreign Corporate Fixed Maturity Securities” for our exposure to the finance industry.</w:t>
      </w:r>
    </w:p>
    <w:p>
      <w:pPr>
        <w:spacing w:after="0" w:line="82"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We monitor direct and indirect investment exposure across sectors and asset classes and adjust our level of investment exposure, as appropriate. At this time, we do not expect that our general account investments in these sectors and asset classes will have a material adverse effect on our results of operations or financial condition.</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Investment Portfolio Results</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The following summary yield table presents the yield and adjusted net investment income for our investment portfolio for the periods indicated. As described below, this table reflects certain differences from the presentation of net investment income presented in the GAAP statements of operations. This summary yield table presentation is consistent with how we measure our investment performance for management purposes, and we believe it enhances understanding of our investment portfolio results.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u w:val="single" w:color="auto"/>
          <w:color w:val="0000FF"/>
        </w:rPr>
        <w:t xml:space="preserve">Table of </w:t>
      </w:r>
      <w:r>
        <w:rPr>
          <w:rFonts w:ascii="Arial" w:cs="Arial" w:eastAsia="Arial" w:hAnsi="Arial"/>
          <w:sz w:val="15"/>
          <w:szCs w:val="15"/>
          <w:b w:val="1"/>
          <w:bCs w:val="1"/>
          <w:u w:val="single" w:color="auto"/>
          <w:color w:val="0000FF"/>
        </w:rPr>
        <w:t>Contents</w:t>
      </w:r>
    </w:p>
    <w:p>
      <w:pPr>
        <w:sectPr>
          <w:pgSz w:w="11900" w:h="16838" w:orient="portrait"/>
          <w:cols w:equalWidth="0" w:num="1">
            <w:col w:w="11240"/>
          </w:cols>
          <w:pgMar w:left="320" w:top="2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Investment income (1)</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Investment fees and expenses (2)</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net investment income (3)</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260" w:type="dxa"/>
            <w:vAlign w:val="bottom"/>
            <w:tcBorders>
              <w:top w:val="single" w:sz="8" w:color="auto"/>
              <w:bottom w:val="single" w:sz="8" w:color="auto"/>
            </w:tcBorders>
            <w:gridSpan w:val="3"/>
          </w:tcPr>
          <w:p>
            <w:pPr>
              <w:jc w:val="right"/>
              <w:ind w:right="41"/>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bottom w:val="single" w:sz="8" w:color="auto"/>
            </w:tcBorders>
            <w:gridSpan w:val="3"/>
          </w:tcPr>
          <w:p>
            <w:pPr>
              <w:jc w:val="right"/>
              <w:ind w:right="61"/>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top w:val="single" w:sz="8" w:color="auto"/>
              <w:bottom w:val="single" w:sz="8" w:color="auto"/>
            </w:tcBorders>
          </w:tcPr>
          <w:p>
            <w:pPr>
              <w:spacing w:after="0"/>
              <w:rPr>
                <w:sz w:val="17"/>
                <w:szCs w:val="17"/>
                <w:color w:val="auto"/>
              </w:rPr>
            </w:pPr>
          </w:p>
        </w:tc>
      </w:tr>
      <w:tr>
        <w:trPr>
          <w:trHeight w:val="192"/>
        </w:trPr>
        <w:tc>
          <w:tcPr>
            <w:tcW w:w="11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Yield %</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Yield %</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w w:val="98"/>
              </w:rPr>
              <w:t>Amount</w:t>
            </w:r>
          </w:p>
        </w:tc>
      </w:tr>
      <w:tr>
        <w:trPr>
          <w:trHeight w:val="184"/>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40" w:type="dxa"/>
            <w:vAlign w:val="bottom"/>
            <w:gridSpan w:val="4"/>
          </w:tcPr>
          <w:p>
            <w:pPr>
              <w:ind w:left="18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22"/>
        </w:trPr>
        <w:tc>
          <w:tcPr>
            <w:tcW w:w="1000" w:type="dxa"/>
            <w:vAlign w:val="bottom"/>
          </w:tcPr>
          <w:p>
            <w:pPr>
              <w:jc w:val="right"/>
              <w:spacing w:after="0"/>
              <w:rPr>
                <w:sz w:val="20"/>
                <w:szCs w:val="20"/>
                <w:color w:val="auto"/>
              </w:rPr>
            </w:pPr>
            <w:r>
              <w:rPr>
                <w:rFonts w:ascii="Arial" w:cs="Arial" w:eastAsia="Arial" w:hAnsi="Arial"/>
                <w:sz w:val="16"/>
                <w:szCs w:val="16"/>
                <w:color w:val="auto"/>
              </w:rPr>
              <w:t>3.96 %</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1,136</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4.50 %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1,195</w:t>
            </w:r>
          </w:p>
        </w:tc>
      </w:tr>
      <w:tr>
        <w:trPr>
          <w:trHeight w:val="214"/>
        </w:trPr>
        <w:tc>
          <w:tcPr>
            <w:tcW w:w="100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(0.15)</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r>
      <w:tr>
        <w:trPr>
          <w:trHeight w:val="205"/>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3.81 %</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w:t>
            </w:r>
          </w:p>
        </w:tc>
        <w:tc>
          <w:tcPr>
            <w:tcW w:w="12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4.36 %</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w:t>
            </w:r>
          </w:p>
        </w:tc>
      </w:tr>
      <w:tr>
        <w:trPr>
          <w:trHeight w:val="22"/>
        </w:trPr>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-4542155</wp:posOffset>
            </wp:positionH>
            <wp:positionV relativeFrom="paragraph">
              <wp:posOffset>-445135</wp:posOffset>
            </wp:positionV>
            <wp:extent cx="7134860" cy="134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-4542155</wp:posOffset>
            </wp:positionH>
            <wp:positionV relativeFrom="paragraph">
              <wp:posOffset>-175895</wp:posOffset>
            </wp:positionV>
            <wp:extent cx="7134860" cy="1600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345" w:lineRule="exact"/>
        <w:rPr>
          <w:sz w:val="20"/>
          <w:szCs w:val="20"/>
          <w:color w:val="auto"/>
        </w:rPr>
      </w:pPr>
    </w:p>
    <w:p>
      <w:pPr>
        <w:sectPr>
          <w:pgSz w:w="11900" w:h="16838" w:orient="portrait"/>
          <w:cols w:equalWidth="0" w:num="2">
            <w:col w:w="6440" w:space="720"/>
            <w:col w:w="4080"/>
          </w:cols>
          <w:pgMar w:left="320" w:top="227" w:right="339" w:bottom="1440" w:gutter="0" w:footer="0" w:header="0"/>
          <w:type w:val="continuous"/>
        </w:sectPr>
      </w:pPr>
    </w:p>
    <w:p>
      <w:pPr>
        <w:jc w:val="both"/>
        <w:ind w:left="320" w:hanging="314"/>
        <w:spacing w:after="0" w:line="252" w:lineRule="auto"/>
        <w:tabs>
          <w:tab w:leader="none" w:pos="314"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Investment income yields are calculated as investment income as a percentage of average quarterly asset carrying values. Investment income excludes recognized gains and losses and reflects the adjustments discussed in table note (3) below to arrive at adjusted net investment income. Asset carrying values exclude unrealized gains (losses), collateral received in connection with our securities lending program, freestanding derivative assets and collateral received from derivative counterparties.</w:t>
      </w:r>
    </w:p>
    <w:p>
      <w:pPr>
        <w:spacing w:after="0" w:line="84" w:lineRule="exact"/>
        <w:rPr>
          <w:rFonts w:ascii="Arial" w:cs="Arial" w:eastAsia="Arial" w:hAnsi="Arial"/>
          <w:sz w:val="18"/>
          <w:szCs w:val="18"/>
          <w:color w:val="auto"/>
        </w:rPr>
      </w:pPr>
    </w:p>
    <w:p>
      <w:pPr>
        <w:jc w:val="both"/>
        <w:ind w:left="320" w:hanging="314"/>
        <w:spacing w:after="0" w:line="365" w:lineRule="auto"/>
        <w:tabs>
          <w:tab w:leader="none" w:pos="314" w:val="left"/>
        </w:tabs>
        <w:numPr>
          <w:ilvl w:val="0"/>
          <w:numId w:val="51"/>
        </w:numPr>
        <w:rPr>
          <w:rFonts w:ascii="Arial" w:cs="Arial" w:eastAsia="Arial" w:hAnsi="Arial"/>
          <w:sz w:val="15"/>
          <w:szCs w:val="15"/>
          <w:color w:val="auto"/>
        </w:rPr>
      </w:pPr>
      <w:r>
        <w:rPr>
          <w:rFonts w:ascii="Arial" w:cs="Arial" w:eastAsia="Arial" w:hAnsi="Arial"/>
          <w:sz w:val="15"/>
          <w:szCs w:val="15"/>
          <w:color w:val="auto"/>
        </w:rPr>
        <w:t>Investment fee and expense yields are calculated as a percentage of average quarterly asset estimated fair values. Asset estimated fair values exclude collateral received in connection with our securities lending program, freestanding derivative assets and collateral received from derivative counterparties.</w:t>
      </w:r>
    </w:p>
    <w:p>
      <w:pPr>
        <w:spacing w:after="0" w:line="5" w:lineRule="exact"/>
        <w:rPr>
          <w:rFonts w:ascii="Arial" w:cs="Arial" w:eastAsia="Arial" w:hAnsi="Arial"/>
          <w:sz w:val="15"/>
          <w:szCs w:val="15"/>
          <w:color w:val="auto"/>
        </w:rPr>
      </w:pPr>
    </w:p>
    <w:p>
      <w:pPr>
        <w:ind w:left="320" w:hanging="314"/>
        <w:spacing w:after="0" w:line="264" w:lineRule="auto"/>
        <w:tabs>
          <w:tab w:leader="none" w:pos="314"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Adjusted net investment income presented in the yield table varies from the most directly comparable GAAP measure due to certain reclassifications, as presented below.</w:t>
      </w:r>
    </w:p>
    <w:p>
      <w:pPr>
        <w:spacing w:after="0" w:line="210"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4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2022</w:t>
            </w:r>
          </w:p>
        </w:tc>
      </w:tr>
      <w:tr>
        <w:trPr>
          <w:trHeight w:val="191"/>
        </w:trPr>
        <w:tc>
          <w:tcPr>
            <w:tcW w:w="8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16"/>
                <w:szCs w:val="16"/>
                <w:color w:val="auto"/>
              </w:rPr>
            </w:pPr>
          </w:p>
        </w:tc>
      </w:tr>
      <w:tr>
        <w:trPr>
          <w:trHeight w:val="219"/>
        </w:trPr>
        <w:tc>
          <w:tcPr>
            <w:tcW w:w="8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income</w:t>
            </w:r>
          </w:p>
        </w:tc>
        <w:tc>
          <w:tcPr>
            <w:tcW w:w="720" w:type="dxa"/>
            <w:vAlign w:val="bottom"/>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1,059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w:t>
            </w:r>
          </w:p>
        </w:tc>
      </w:tr>
      <w:tr>
        <w:trPr>
          <w:trHeight w:val="210"/>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Investment hedge adjustments</w:t>
            </w: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33"/>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investment income — in the above yield table</w:t>
            </w:r>
          </w:p>
        </w:tc>
        <w:tc>
          <w:tcPr>
            <w:tcW w:w="720" w:type="dxa"/>
            <w:vAlign w:val="bottom"/>
            <w:tcBorders>
              <w:bottom w:val="single" w:sz="8" w:color="auto"/>
            </w:tcBorders>
            <w:shd w:val="clear" w:color="auto" w:fill="CCEEFF"/>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1,097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1,157</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8"/>
          <w:szCs w:val="18"/>
          <w:color w:val="auto"/>
        </w:rPr>
        <w:t>See “— Results of Operations — Consolidated Results for the Three Months Ended March 31, 2023 and 2022” for an analysis of the period-over-period changes in net investment income.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Securities Available-for-sale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Fixed maturity securities held by type (public or private)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60" w:type="dxa"/>
            <w:vAlign w:val="bottom"/>
            <w:gridSpan w:val="3"/>
          </w:tcPr>
          <w:p>
            <w:pPr>
              <w:ind w:left="900"/>
              <w:spacing w:after="0"/>
              <w:rPr>
                <w:sz w:val="20"/>
                <w:szCs w:val="20"/>
                <w:color w:val="auto"/>
              </w:rPr>
            </w:pPr>
            <w:r>
              <w:rPr>
                <w:rFonts w:ascii="Arial" w:cs="Arial" w:eastAsia="Arial" w:hAnsi="Arial"/>
                <w:sz w:val="14"/>
                <w:szCs w:val="14"/>
                <w:b w:val="1"/>
                <w:bCs w:val="1"/>
                <w:color w:val="auto"/>
              </w:rPr>
              <w:t>March 31, 2023</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20" w:type="dxa"/>
            <w:vAlign w:val="bottom"/>
            <w:gridSpan w:val="3"/>
          </w:tcPr>
          <w:p>
            <w:pPr>
              <w:ind w:left="820"/>
              <w:spacing w:after="0"/>
              <w:rPr>
                <w:sz w:val="20"/>
                <w:szCs w:val="20"/>
                <w:color w:val="auto"/>
              </w:rPr>
            </w:pPr>
            <w:r>
              <w:rPr>
                <w:rFonts w:ascii="Arial" w:cs="Arial" w:eastAsia="Arial" w:hAnsi="Arial"/>
                <w:sz w:val="14"/>
                <w:szCs w:val="14"/>
                <w:b w:val="1"/>
                <w:bCs w:val="1"/>
                <w:color w:val="auto"/>
                <w:w w:val="93"/>
              </w:rPr>
              <w:t>December 31, 2022</w:t>
            </w: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60" w:type="dxa"/>
            <w:vAlign w:val="bottom"/>
            <w:gridSpan w:val="3"/>
          </w:tcPr>
          <w:p>
            <w:pPr>
              <w:spacing w:after="0"/>
              <w:rPr>
                <w:sz w:val="2"/>
                <w:szCs w:val="2"/>
                <w:color w:val="auto"/>
              </w:rPr>
            </w:pPr>
          </w:p>
        </w:tc>
        <w:tc>
          <w:tcPr>
            <w:tcW w:w="1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44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960" w:type="dxa"/>
            <w:vAlign w:val="bottom"/>
            <w:tcBorders>
              <w:top w:val="single" w:sz="8" w:color="auto"/>
            </w:tcBorders>
            <w:gridSpan w:val="3"/>
          </w:tcPr>
          <w:p>
            <w:pPr>
              <w:ind w:left="200"/>
              <w:spacing w:after="0" w:line="130" w:lineRule="exact"/>
              <w:rPr>
                <w:sz w:val="20"/>
                <w:szCs w:val="20"/>
                <w:color w:val="auto"/>
              </w:rPr>
            </w:pPr>
            <w:r>
              <w:rPr>
                <w:rFonts w:ascii="Arial" w:cs="Arial" w:eastAsia="Arial" w:hAnsi="Arial"/>
                <w:sz w:val="14"/>
                <w:szCs w:val="14"/>
                <w:b w:val="1"/>
                <w:bCs w:val="1"/>
                <w:color w:val="auto"/>
              </w:rPr>
              <w:t>Estimated</w:t>
            </w:r>
          </w:p>
        </w:tc>
        <w:tc>
          <w:tcPr>
            <w:tcW w:w="1080" w:type="dxa"/>
            <w:vAlign w:val="bottom"/>
            <w:tcBorders>
              <w:top w:val="single" w:sz="8" w:color="auto"/>
            </w:tcBorders>
          </w:tcPr>
          <w:p>
            <w:pPr>
              <w:ind w:left="120"/>
              <w:spacing w:after="0" w:line="130"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020" w:type="dxa"/>
            <w:vAlign w:val="bottom"/>
            <w:tcBorders>
              <w:top w:val="single" w:sz="8" w:color="auto"/>
            </w:tcBorders>
            <w:gridSpan w:val="3"/>
          </w:tcPr>
          <w:p>
            <w:pPr>
              <w:ind w:left="220"/>
              <w:spacing w:after="0" w:line="130" w:lineRule="exact"/>
              <w:rPr>
                <w:sz w:val="20"/>
                <w:szCs w:val="20"/>
                <w:color w:val="auto"/>
              </w:rPr>
            </w:pPr>
            <w:r>
              <w:rPr>
                <w:rFonts w:ascii="Arial" w:cs="Arial" w:eastAsia="Arial" w:hAnsi="Arial"/>
                <w:sz w:val="14"/>
                <w:szCs w:val="14"/>
                <w:b w:val="1"/>
                <w:bCs w:val="1"/>
                <w:color w:val="auto"/>
              </w:rPr>
              <w:t>Estimated</w:t>
            </w:r>
          </w:p>
        </w:tc>
        <w:tc>
          <w:tcPr>
            <w:tcW w:w="1040" w:type="dxa"/>
            <w:vAlign w:val="bottom"/>
            <w:tcBorders>
              <w:top w:val="single" w:sz="8" w:color="auto"/>
            </w:tcBorders>
          </w:tcPr>
          <w:p>
            <w:pPr>
              <w:jc w:val="right"/>
              <w:ind w:right="584"/>
              <w:spacing w:after="0" w:line="130"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9"/>
        </w:trPr>
        <w:tc>
          <w:tcPr>
            <w:tcW w:w="4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Fair Value</w:t>
            </w:r>
          </w:p>
        </w:tc>
        <w:tc>
          <w:tcPr>
            <w:tcW w:w="11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Fair Value</w:t>
            </w:r>
          </w:p>
        </w:tc>
        <w:tc>
          <w:tcPr>
            <w:tcW w:w="104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500" w:type="dxa"/>
            <w:vAlign w:val="bottom"/>
            <w:gridSpan w:val="6"/>
          </w:tcPr>
          <w:p>
            <w:pPr>
              <w:ind w:left="540"/>
              <w:spacing w:after="0"/>
              <w:rPr>
                <w:sz w:val="20"/>
                <w:szCs w:val="20"/>
                <w:color w:val="auto"/>
              </w:rPr>
            </w:pPr>
            <w:r>
              <w:rPr>
                <w:rFonts w:ascii="Arial" w:cs="Arial" w:eastAsia="Arial" w:hAnsi="Arial"/>
                <w:sz w:val="14"/>
                <w:szCs w:val="14"/>
                <w:b w:val="1"/>
                <w:bCs w:val="1"/>
                <w:color w:val="auto"/>
              </w:rPr>
              <w:t>(Dollars in millions)</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Publicly-traded</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63,791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62,199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82.3 %</w:t>
            </w:r>
          </w:p>
        </w:tc>
        <w:tc>
          <w:tcPr>
            <w:tcW w:w="0" w:type="dxa"/>
            <w:vAlign w:val="bottom"/>
          </w:tcPr>
          <w:p>
            <w:pPr>
              <w:spacing w:after="0"/>
              <w:rPr>
                <w:sz w:val="1"/>
                <w:szCs w:val="1"/>
                <w:color w:val="auto"/>
              </w:rPr>
            </w:pPr>
          </w:p>
        </w:tc>
      </w:tr>
      <w:tr>
        <w:trPr>
          <w:trHeight w:val="210"/>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Privately-placed</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13,894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13,378</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33"/>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fixed maturity securities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77,685</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75,577</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6"/>
                <w:szCs w:val="16"/>
                <w:color w:val="auto"/>
              </w:rPr>
              <w:t>Percentage of cash and invested assets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4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jc w:val="right"/>
              <w:spacing w:after="0" w:line="180" w:lineRule="exact"/>
              <w:rPr>
                <w:sz w:val="20"/>
                <w:szCs w:val="20"/>
                <w:color w:val="auto"/>
              </w:rPr>
            </w:pPr>
            <w:r>
              <w:rPr>
                <w:rFonts w:ascii="Arial" w:cs="Arial" w:eastAsia="Arial" w:hAnsi="Arial"/>
                <w:sz w:val="16"/>
                <w:szCs w:val="16"/>
                <w:color w:val="auto"/>
              </w:rPr>
              <w:t>67.6 %</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spacing w:after="0" w:line="180" w:lineRule="exact"/>
              <w:rPr>
                <w:sz w:val="20"/>
                <w:szCs w:val="20"/>
                <w:color w:val="auto"/>
              </w:rPr>
            </w:pPr>
            <w:r>
              <w:rPr>
                <w:rFonts w:ascii="Arial" w:cs="Arial" w:eastAsia="Arial" w:hAnsi="Arial"/>
                <w:sz w:val="16"/>
                <w:szCs w:val="16"/>
                <w:color w:val="auto"/>
              </w:rPr>
              <w:t>67.1 %</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See Note 8 of the Notes to the Interim Condensed Consolidated Financial Statements for further information on our valuation controls and procedures including our formal process to challenge any prices received from independent pricing services that are not considered representative of estimated fair value.</w:t>
      </w:r>
    </w:p>
    <w:p>
      <w:pPr>
        <w:spacing w:after="0" w:line="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Notes 1 and 6 of the Notes to the Interim Condensed Consolidated Financial Statements for further information about fixed maturity securities by sector, contractual maturities, continuous gross unrealized losses and the allowance for credit losses.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Fixed Maturity Securities Credit Quality — Ratings</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See “Management’s Discussion and Analysis of Financial Condition and Results of Operations — Investments — Fixed Maturity Securities Available-for-sale — Fixed Maturity Securities Credit Quality — Ratings” included in our 2022 Annual Report for a discussion of the credit quality ratings assigned by Nationally Recognized Statistical Rating</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160"/>
        <w:spacing w:after="0" w:line="365" w:lineRule="auto"/>
        <w:rPr>
          <w:sz w:val="20"/>
          <w:szCs w:val="20"/>
          <w:color w:val="auto"/>
        </w:rPr>
      </w:pPr>
      <w:r>
        <w:rPr>
          <w:rFonts w:ascii="Arial" w:cs="Arial" w:eastAsia="Arial" w:hAnsi="Arial"/>
          <w:sz w:val="15"/>
          <w:szCs w:val="15"/>
          <w:color w:val="auto"/>
        </w:rPr>
        <w:t>Organizations (“NRSRO”), credit quality designations assigned by and methodologies used by the Securities Valuation Office of the National Association of Insurance Commissioners (“NAIC”) for fixed maturity securities and the methodologies adopted by the NAIC for certain Structured Securities.</w:t>
      </w:r>
    </w:p>
    <w:p>
      <w:pPr>
        <w:spacing w:after="0" w:line="5"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following table presents total fixed maturity securities by NRSRO rating and the applicable NAIC designation from the NAIC published comparison of NRSRO ratings to NAIC designations, except for certain Structured Securities, which are presented using the NAIC methodologies, as well as the percentage, based on estimated fair value that each NAIC designation is comprised of at: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ind w:left="60"/>
              <w:spacing w:after="0"/>
              <w:rPr>
                <w:sz w:val="20"/>
                <w:szCs w:val="20"/>
                <w:color w:val="auto"/>
              </w:rPr>
            </w:pPr>
            <w:r>
              <w:rPr>
                <w:rFonts w:ascii="Arial" w:cs="Arial" w:eastAsia="Arial" w:hAnsi="Arial"/>
                <w:sz w:val="11"/>
                <w:szCs w:val="11"/>
                <w:b w:val="1"/>
                <w:bCs w:val="1"/>
                <w:color w:val="auto"/>
              </w:rPr>
              <w:t>March 31, 2023</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gridSpan w:val="4"/>
          </w:tcPr>
          <w:p>
            <w:pPr>
              <w:jc w:val="right"/>
              <w:ind w:right="160"/>
              <w:spacing w:after="0"/>
              <w:rPr>
                <w:sz w:val="20"/>
                <w:szCs w:val="20"/>
                <w:color w:val="auto"/>
              </w:rPr>
            </w:pPr>
            <w:r>
              <w:rPr>
                <w:rFonts w:ascii="Arial" w:cs="Arial" w:eastAsia="Arial" w:hAnsi="Arial"/>
                <w:sz w:val="11"/>
                <w:szCs w:val="11"/>
                <w:b w:val="1"/>
                <w:bCs w:val="1"/>
                <w:color w:val="auto"/>
                <w:w w:val="94"/>
              </w:rPr>
              <w:t>December 31, 2022</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NAIC</w:t>
            </w: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
        </w:trPr>
        <w:tc>
          <w:tcPr>
            <w:tcW w:w="860" w:type="dxa"/>
            <w:vAlign w:val="bottom"/>
            <w:gridSpan w:val="2"/>
            <w:vMerge w:val="continue"/>
          </w:tcPr>
          <w:p>
            <w:pPr>
              <w:spacing w:after="0"/>
              <w:rPr>
                <w:sz w:val="8"/>
                <w:szCs w:val="8"/>
                <w:color w:val="auto"/>
              </w:rPr>
            </w:pPr>
          </w:p>
        </w:tc>
        <w:tc>
          <w:tcPr>
            <w:tcW w:w="128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NRSRO Rating</w:t>
            </w:r>
          </w:p>
        </w:tc>
        <w:tc>
          <w:tcPr>
            <w:tcW w:w="120" w:type="dxa"/>
            <w:vAlign w:val="bottom"/>
          </w:tcPr>
          <w:p>
            <w:pPr>
              <w:spacing w:after="0"/>
              <w:rPr>
                <w:sz w:val="8"/>
                <w:szCs w:val="8"/>
                <w:color w:val="auto"/>
              </w:rPr>
            </w:pPr>
          </w:p>
        </w:tc>
        <w:tc>
          <w:tcPr>
            <w:tcW w:w="760" w:type="dxa"/>
            <w:vAlign w:val="bottom"/>
            <w:gridSpan w:val="2"/>
          </w:tcPr>
          <w:p>
            <w:pPr>
              <w:jc w:val="center"/>
              <w:ind w:right="220"/>
              <w:spacing w:after="0" w:line="100" w:lineRule="exact"/>
              <w:rPr>
                <w:sz w:val="20"/>
                <w:szCs w:val="20"/>
                <w:color w:val="auto"/>
              </w:rPr>
            </w:pPr>
            <w:r>
              <w:rPr>
                <w:rFonts w:ascii="Arial" w:cs="Arial" w:eastAsia="Arial" w:hAnsi="Arial"/>
                <w:sz w:val="11"/>
                <w:szCs w:val="11"/>
                <w:b w:val="1"/>
                <w:bCs w:val="1"/>
                <w:color w:val="auto"/>
                <w:w w:val="92"/>
              </w:rPr>
              <w:t>Amortized</w:t>
            </w:r>
          </w:p>
        </w:tc>
        <w:tc>
          <w:tcPr>
            <w:tcW w:w="100" w:type="dxa"/>
            <w:vAlign w:val="bottom"/>
          </w:tcPr>
          <w:p>
            <w:pPr>
              <w:spacing w:after="0"/>
              <w:rPr>
                <w:sz w:val="8"/>
                <w:szCs w:val="8"/>
                <w:color w:val="auto"/>
              </w:rPr>
            </w:pPr>
          </w:p>
        </w:tc>
        <w:tc>
          <w:tcPr>
            <w:tcW w:w="840" w:type="dxa"/>
            <w:vAlign w:val="bottom"/>
            <w:gridSpan w:val="2"/>
          </w:tcPr>
          <w:p>
            <w:pPr>
              <w:spacing w:after="0" w:line="100" w:lineRule="exact"/>
              <w:rPr>
                <w:sz w:val="20"/>
                <w:szCs w:val="20"/>
                <w:color w:val="auto"/>
              </w:rPr>
            </w:pPr>
            <w:r>
              <w:rPr>
                <w:rFonts w:ascii="Arial" w:cs="Arial" w:eastAsia="Arial" w:hAnsi="Arial"/>
                <w:sz w:val="11"/>
                <w:szCs w:val="11"/>
                <w:b w:val="1"/>
                <w:bCs w:val="1"/>
                <w:color w:val="auto"/>
              </w:rPr>
              <w:t>Allowance for</w:t>
            </w:r>
          </w:p>
        </w:tc>
        <w:tc>
          <w:tcPr>
            <w:tcW w:w="120" w:type="dxa"/>
            <w:vAlign w:val="bottom"/>
          </w:tcPr>
          <w:p>
            <w:pPr>
              <w:spacing w:after="0"/>
              <w:rPr>
                <w:sz w:val="8"/>
                <w:szCs w:val="8"/>
                <w:color w:val="auto"/>
              </w:rPr>
            </w:pPr>
          </w:p>
        </w:tc>
        <w:tc>
          <w:tcPr>
            <w:tcW w:w="860" w:type="dxa"/>
            <w:vAlign w:val="bottom"/>
            <w:gridSpan w:val="2"/>
          </w:tcPr>
          <w:p>
            <w:pPr>
              <w:jc w:val="center"/>
              <w:ind w:right="220"/>
              <w:spacing w:after="0" w:line="100" w:lineRule="exact"/>
              <w:rPr>
                <w:sz w:val="20"/>
                <w:szCs w:val="20"/>
                <w:color w:val="auto"/>
              </w:rPr>
            </w:pPr>
            <w:r>
              <w:rPr>
                <w:rFonts w:ascii="Arial" w:cs="Arial" w:eastAsia="Arial" w:hAnsi="Arial"/>
                <w:sz w:val="11"/>
                <w:szCs w:val="11"/>
                <w:b w:val="1"/>
                <w:bCs w:val="1"/>
                <w:color w:val="auto"/>
                <w:w w:val="86"/>
              </w:rPr>
              <w:t>Unrealized</w:t>
            </w:r>
          </w:p>
        </w:tc>
        <w:tc>
          <w:tcPr>
            <w:tcW w:w="900" w:type="dxa"/>
            <w:vAlign w:val="bottom"/>
            <w:gridSpan w:val="3"/>
          </w:tcPr>
          <w:p>
            <w:pPr>
              <w:jc w:val="center"/>
              <w:ind w:right="100"/>
              <w:spacing w:after="0" w:line="100" w:lineRule="exact"/>
              <w:rPr>
                <w:sz w:val="20"/>
                <w:szCs w:val="20"/>
                <w:color w:val="auto"/>
              </w:rPr>
            </w:pPr>
            <w:r>
              <w:rPr>
                <w:rFonts w:ascii="Arial" w:cs="Arial" w:eastAsia="Arial" w:hAnsi="Arial"/>
                <w:sz w:val="11"/>
                <w:szCs w:val="11"/>
                <w:b w:val="1"/>
                <w:bCs w:val="1"/>
                <w:color w:val="auto"/>
                <w:w w:val="89"/>
              </w:rPr>
              <w:t>Estimated Fair</w:t>
            </w:r>
          </w:p>
        </w:tc>
        <w:tc>
          <w:tcPr>
            <w:tcW w:w="640" w:type="dxa"/>
            <w:vAlign w:val="bottom"/>
          </w:tcPr>
          <w:p>
            <w:pPr>
              <w:jc w:val="right"/>
              <w:ind w:right="100"/>
              <w:spacing w:after="0" w:line="100" w:lineRule="exact"/>
              <w:rPr>
                <w:sz w:val="20"/>
                <w:szCs w:val="20"/>
                <w:color w:val="auto"/>
              </w:rPr>
            </w:pPr>
            <w:r>
              <w:rPr>
                <w:rFonts w:ascii="Arial" w:cs="Arial" w:eastAsia="Arial" w:hAnsi="Arial"/>
                <w:sz w:val="11"/>
                <w:szCs w:val="11"/>
                <w:b w:val="1"/>
                <w:bCs w:val="1"/>
                <w:color w:val="auto"/>
              </w:rPr>
              <w:t>% of</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tcPr>
          <w:p>
            <w:pPr>
              <w:jc w:val="center"/>
              <w:ind w:right="220"/>
              <w:spacing w:after="0" w:line="100" w:lineRule="exact"/>
              <w:rPr>
                <w:sz w:val="20"/>
                <w:szCs w:val="20"/>
                <w:color w:val="auto"/>
              </w:rPr>
            </w:pPr>
            <w:r>
              <w:rPr>
                <w:rFonts w:ascii="Arial" w:cs="Arial" w:eastAsia="Arial" w:hAnsi="Arial"/>
                <w:sz w:val="11"/>
                <w:szCs w:val="11"/>
                <w:b w:val="1"/>
                <w:bCs w:val="1"/>
                <w:color w:val="auto"/>
                <w:w w:val="89"/>
              </w:rPr>
              <w:t>Amortized</w:t>
            </w:r>
          </w:p>
        </w:tc>
        <w:tc>
          <w:tcPr>
            <w:tcW w:w="100" w:type="dxa"/>
            <w:vAlign w:val="bottom"/>
          </w:tcPr>
          <w:p>
            <w:pPr>
              <w:spacing w:after="0"/>
              <w:rPr>
                <w:sz w:val="8"/>
                <w:szCs w:val="8"/>
                <w:color w:val="auto"/>
              </w:rPr>
            </w:pPr>
          </w:p>
        </w:tc>
        <w:tc>
          <w:tcPr>
            <w:tcW w:w="740" w:type="dxa"/>
            <w:vAlign w:val="bottom"/>
          </w:tcPr>
          <w:p>
            <w:pPr>
              <w:jc w:val="right"/>
              <w:ind w:right="40"/>
              <w:spacing w:after="0" w:line="100" w:lineRule="exact"/>
              <w:rPr>
                <w:sz w:val="20"/>
                <w:szCs w:val="20"/>
                <w:color w:val="auto"/>
              </w:rPr>
            </w:pPr>
            <w:r>
              <w:rPr>
                <w:rFonts w:ascii="Arial" w:cs="Arial" w:eastAsia="Arial" w:hAnsi="Arial"/>
                <w:sz w:val="11"/>
                <w:szCs w:val="11"/>
                <w:b w:val="1"/>
                <w:bCs w:val="1"/>
                <w:color w:val="auto"/>
                <w:w w:val="85"/>
              </w:rPr>
              <w:t>Allowance for</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tcPr>
          <w:p>
            <w:pPr>
              <w:jc w:val="center"/>
              <w:ind w:right="260"/>
              <w:spacing w:after="0" w:line="100" w:lineRule="exact"/>
              <w:rPr>
                <w:sz w:val="20"/>
                <w:szCs w:val="20"/>
                <w:color w:val="auto"/>
              </w:rPr>
            </w:pPr>
            <w:r>
              <w:rPr>
                <w:rFonts w:ascii="Arial" w:cs="Arial" w:eastAsia="Arial" w:hAnsi="Arial"/>
                <w:sz w:val="11"/>
                <w:szCs w:val="11"/>
                <w:b w:val="1"/>
                <w:bCs w:val="1"/>
                <w:color w:val="auto"/>
                <w:w w:val="89"/>
              </w:rPr>
              <w:t>Unrealized</w:t>
            </w:r>
          </w:p>
        </w:tc>
        <w:tc>
          <w:tcPr>
            <w:tcW w:w="880" w:type="dxa"/>
            <w:vAlign w:val="bottom"/>
            <w:gridSpan w:val="3"/>
          </w:tcPr>
          <w:p>
            <w:pPr>
              <w:jc w:val="center"/>
              <w:ind w:right="120"/>
              <w:spacing w:after="0" w:line="100" w:lineRule="exact"/>
              <w:rPr>
                <w:sz w:val="20"/>
                <w:szCs w:val="20"/>
                <w:color w:val="auto"/>
              </w:rPr>
            </w:pPr>
            <w:r>
              <w:rPr>
                <w:rFonts w:ascii="Arial" w:cs="Arial" w:eastAsia="Arial" w:hAnsi="Arial"/>
                <w:sz w:val="11"/>
                <w:szCs w:val="11"/>
                <w:b w:val="1"/>
                <w:bCs w:val="1"/>
                <w:color w:val="auto"/>
                <w:w w:val="89"/>
              </w:rPr>
              <w:t>Estimated Fair</w:t>
            </w:r>
          </w:p>
        </w:tc>
        <w:tc>
          <w:tcPr>
            <w:tcW w:w="640" w:type="dxa"/>
            <w:vAlign w:val="bottom"/>
          </w:tcPr>
          <w:p>
            <w:pPr>
              <w:jc w:val="right"/>
              <w:ind w:right="100"/>
              <w:spacing w:after="0" w:line="100" w:lineRule="exact"/>
              <w:rPr>
                <w:sz w:val="20"/>
                <w:szCs w:val="20"/>
                <w:color w:val="auto"/>
              </w:rPr>
            </w:pPr>
            <w:r>
              <w:rPr>
                <w:rFonts w:ascii="Arial" w:cs="Arial" w:eastAsia="Arial" w:hAnsi="Arial"/>
                <w:sz w:val="11"/>
                <w:szCs w:val="11"/>
                <w:b w:val="1"/>
                <w:bCs w:val="1"/>
                <w:color w:val="auto"/>
              </w:rPr>
              <w:t>% of</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8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5"/>
              </w:rPr>
              <w:t>Designation</w:t>
            </w: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Cost</w:t>
            </w:r>
          </w:p>
        </w:tc>
        <w:tc>
          <w:tcPr>
            <w:tcW w:w="10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Credit Losses</w:t>
            </w:r>
          </w:p>
        </w:tc>
        <w:tc>
          <w:tcPr>
            <w:tcW w:w="12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Gain (Loss)</w:t>
            </w:r>
          </w:p>
        </w:tc>
        <w:tc>
          <w:tcPr>
            <w:tcW w:w="180" w:type="dxa"/>
            <w:vAlign w:val="bottom"/>
          </w:tcPr>
          <w:p>
            <w:pPr>
              <w:spacing w:after="0"/>
              <w:rPr>
                <w:sz w:val="12"/>
                <w:szCs w:val="12"/>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1"/>
              </w:rPr>
              <w:t>Value</w:t>
            </w:r>
          </w:p>
        </w:tc>
        <w:tc>
          <w:tcPr>
            <w:tcW w:w="640" w:type="dxa"/>
            <w:vAlign w:val="bottom"/>
          </w:tcPr>
          <w:p>
            <w:pPr>
              <w:jc w:val="right"/>
              <w:ind w:right="80"/>
              <w:spacing w:after="0"/>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1"/>
              </w:rPr>
              <w:t>Cost</w:t>
            </w:r>
          </w:p>
        </w:tc>
        <w:tc>
          <w:tcPr>
            <w:tcW w:w="100" w:type="dxa"/>
            <w:vAlign w:val="bottom"/>
          </w:tcPr>
          <w:p>
            <w:pPr>
              <w:spacing w:after="0"/>
              <w:rPr>
                <w:sz w:val="12"/>
                <w:szCs w:val="12"/>
                <w:color w:val="auto"/>
              </w:rPr>
            </w:pPr>
          </w:p>
        </w:tc>
        <w:tc>
          <w:tcPr>
            <w:tcW w:w="740" w:type="dxa"/>
            <w:vAlign w:val="bottom"/>
          </w:tcPr>
          <w:p>
            <w:pPr>
              <w:jc w:val="right"/>
              <w:ind w:right="60"/>
              <w:spacing w:after="0"/>
              <w:rPr>
                <w:sz w:val="20"/>
                <w:szCs w:val="20"/>
                <w:color w:val="auto"/>
              </w:rPr>
            </w:pPr>
            <w:r>
              <w:rPr>
                <w:rFonts w:ascii="Arial" w:cs="Arial" w:eastAsia="Arial" w:hAnsi="Arial"/>
                <w:sz w:val="11"/>
                <w:szCs w:val="11"/>
                <w:b w:val="1"/>
                <w:bCs w:val="1"/>
                <w:color w:val="auto"/>
                <w:w w:val="82"/>
              </w:rPr>
              <w:t>Credit Losses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Gain (Loss)</w:t>
            </w:r>
          </w:p>
        </w:tc>
        <w:tc>
          <w:tcPr>
            <w:tcW w:w="160" w:type="dxa"/>
            <w:vAlign w:val="bottom"/>
          </w:tcPr>
          <w:p>
            <w:pPr>
              <w:spacing w:after="0"/>
              <w:rPr>
                <w:sz w:val="12"/>
                <w:szCs w:val="12"/>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Value</w:t>
            </w:r>
          </w:p>
        </w:tc>
        <w:tc>
          <w:tcPr>
            <w:tcW w:w="640" w:type="dxa"/>
            <w:vAlign w:val="bottom"/>
          </w:tcPr>
          <w:p>
            <w:pPr>
              <w:jc w:val="right"/>
              <w:ind w:right="80"/>
              <w:spacing w:after="0"/>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6"/>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6"/>
          </w:tcPr>
          <w:p>
            <w:pPr>
              <w:ind w:left="400"/>
              <w:spacing w:after="0"/>
              <w:rPr>
                <w:sz w:val="20"/>
                <w:szCs w:val="20"/>
                <w:color w:val="auto"/>
              </w:rPr>
            </w:pPr>
            <w:r>
              <w:rPr>
                <w:rFonts w:ascii="Arial" w:cs="Arial" w:eastAsia="Arial" w:hAnsi="Arial"/>
                <w:sz w:val="11"/>
                <w:szCs w:val="11"/>
                <w:b w:val="1"/>
                <w:bCs w:val="1"/>
                <w:color w:val="auto"/>
              </w:rPr>
              <w:t>(Dollars in millions)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1</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Aaa/Aa/A</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54,419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(3,730)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50,686</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65.2 %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53,935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(4,870)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49,063</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64.9 %</w:t>
            </w:r>
          </w:p>
        </w:tc>
        <w:tc>
          <w:tcPr>
            <w:tcW w:w="0" w:type="dxa"/>
            <w:vAlign w:val="bottom"/>
          </w:tcPr>
          <w:p>
            <w:pPr>
              <w:spacing w:after="0"/>
              <w:rPr>
                <w:sz w:val="1"/>
                <w:szCs w:val="1"/>
                <w:color w:val="auto"/>
              </w:rPr>
            </w:pPr>
          </w:p>
        </w:tc>
      </w:tr>
      <w:tr>
        <w:trPr>
          <w:trHeight w:val="166"/>
        </w:trPr>
        <w:tc>
          <w:tcPr>
            <w:tcW w:w="760" w:type="dxa"/>
            <w:vAlign w:val="bottom"/>
          </w:tcPr>
          <w:p>
            <w:pPr>
              <w:jc w:val="center"/>
              <w:spacing w:after="0"/>
              <w:rPr>
                <w:sz w:val="20"/>
                <w:szCs w:val="20"/>
                <w:color w:val="auto"/>
              </w:rPr>
            </w:pPr>
            <w:r>
              <w:rPr>
                <w:rFonts w:ascii="Arial" w:cs="Arial" w:eastAsia="Arial" w:hAnsi="Arial"/>
                <w:sz w:val="12"/>
                <w:szCs w:val="12"/>
                <w:color w:val="auto"/>
                <w:w w:val="89"/>
              </w:rPr>
              <w:t>2</w:t>
            </w: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2"/>
                <w:szCs w:val="12"/>
                <w:color w:val="auto"/>
              </w:rPr>
              <w:t>Baa</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27,199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(2,979)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24,220</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31.2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27,269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(3,546)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23,723</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31.4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140" w:type="dxa"/>
            <w:vAlign w:val="bottom"/>
            <w:tcBorders>
              <w:top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color w:val="auto"/>
              </w:rPr>
              <w:t>Subtotal investment grade</w:t>
            </w: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81,618</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(6,709)</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74,906</w:t>
            </w:r>
          </w:p>
        </w:tc>
        <w:tc>
          <w:tcPr>
            <w:tcW w:w="1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96.4</w:t>
            </w:r>
          </w:p>
        </w:tc>
        <w:tc>
          <w:tcPr>
            <w:tcW w:w="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81,204</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(8,416)</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72,786</w:t>
            </w:r>
          </w:p>
        </w:tc>
        <w:tc>
          <w:tcPr>
            <w:tcW w:w="10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96.3</w:t>
            </w:r>
          </w:p>
        </w:tc>
        <w:tc>
          <w:tcPr>
            <w:tcW w:w="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760" w:type="dxa"/>
            <w:vAlign w:val="bottom"/>
          </w:tcPr>
          <w:p>
            <w:pPr>
              <w:jc w:val="center"/>
              <w:spacing w:after="0"/>
              <w:rPr>
                <w:sz w:val="20"/>
                <w:szCs w:val="20"/>
                <w:color w:val="auto"/>
              </w:rPr>
            </w:pPr>
            <w:r>
              <w:rPr>
                <w:rFonts w:ascii="Arial" w:cs="Arial" w:eastAsia="Arial" w:hAnsi="Arial"/>
                <w:sz w:val="12"/>
                <w:szCs w:val="12"/>
                <w:color w:val="auto"/>
                <w:w w:val="89"/>
              </w:rPr>
              <w:t>3</w:t>
            </w: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2"/>
                <w:szCs w:val="12"/>
                <w:color w:val="auto"/>
              </w:rPr>
              <w:t>Ba</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2,295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(193)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2,102</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2,343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(232)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2,111</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4</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B</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579</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588</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0.8</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60" w:type="dxa"/>
            <w:vAlign w:val="bottom"/>
          </w:tcPr>
          <w:p>
            <w:pPr>
              <w:jc w:val="center"/>
              <w:spacing w:after="0"/>
              <w:rPr>
                <w:sz w:val="20"/>
                <w:szCs w:val="20"/>
                <w:color w:val="auto"/>
              </w:rPr>
            </w:pPr>
            <w:r>
              <w:rPr>
                <w:rFonts w:ascii="Arial" w:cs="Arial" w:eastAsia="Arial" w:hAnsi="Arial"/>
                <w:sz w:val="12"/>
                <w:szCs w:val="12"/>
                <w:color w:val="auto"/>
                <w:w w:val="89"/>
              </w:rPr>
              <w:t>5</w:t>
            </w:r>
          </w:p>
        </w:tc>
        <w:tc>
          <w:tcPr>
            <w:tcW w:w="10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2"/>
                <w:szCs w:val="12"/>
                <w:color w:val="auto"/>
              </w:rPr>
              <w:t>Caa and lower</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85</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0.1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92</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0.1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6</w:t>
            </w:r>
          </w:p>
        </w:tc>
        <w:tc>
          <w:tcPr>
            <w:tcW w:w="1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 or near default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140" w:type="dxa"/>
            <w:vAlign w:val="bottom"/>
            <w:tcBorders>
              <w:bottom w:val="single" w:sz="8" w:color="CCEEFF"/>
            </w:tcBorders>
            <w:gridSpan w:val="4"/>
          </w:tcPr>
          <w:p>
            <w:pPr>
              <w:ind w:left="20"/>
              <w:spacing w:after="0"/>
              <w:rPr>
                <w:sz w:val="20"/>
                <w:szCs w:val="20"/>
                <w:color w:val="auto"/>
              </w:rPr>
            </w:pPr>
            <w:r>
              <w:rPr>
                <w:rFonts w:ascii="Arial" w:cs="Arial" w:eastAsia="Arial" w:hAnsi="Arial"/>
                <w:sz w:val="12"/>
                <w:szCs w:val="12"/>
                <w:color w:val="auto"/>
              </w:rPr>
              <w:t>Subtotal below investment grade</w:t>
            </w: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3,075</w:t>
            </w: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(294)</w:t>
            </w:r>
          </w:p>
        </w:tc>
        <w:tc>
          <w:tcPr>
            <w:tcW w:w="1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2,779</w:t>
            </w:r>
          </w:p>
        </w:tc>
        <w:tc>
          <w:tcPr>
            <w:tcW w:w="12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3,140</w:t>
            </w: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w:t>
            </w:r>
          </w:p>
        </w:tc>
        <w:tc>
          <w:tcPr>
            <w:tcW w:w="1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(344)</w:t>
            </w:r>
          </w:p>
        </w:tc>
        <w:tc>
          <w:tcPr>
            <w:tcW w:w="1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2,791</w:t>
            </w:r>
          </w:p>
        </w:tc>
        <w:tc>
          <w:tcPr>
            <w:tcW w:w="10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w:t>
            </w:r>
          </w:p>
        </w:tc>
        <w:tc>
          <w:tcPr>
            <w:tcW w:w="14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1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2"/>
                <w:szCs w:val="12"/>
                <w:color w:val="auto"/>
              </w:rPr>
              <w:t>Total fixed maturity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84,693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(7,003)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77,685</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84,344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(8,760)</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75,577</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The following tables present total fixed maturity securities, based on estimated fair value, by sector classification and by NRSRO rating and the applicable NAIC designations from the NAIC published comparison of NRSRO ratings to NAIC designations, except for certain Structured Securities, which are presented using the NAIC methodologies as described above: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0" w:type="dxa"/>
            <w:vAlign w:val="bottom"/>
            <w:gridSpan w:val="14"/>
          </w:tcPr>
          <w:p>
            <w:pPr>
              <w:jc w:val="center"/>
              <w:ind w:right="320"/>
              <w:spacing w:after="0"/>
              <w:rPr>
                <w:sz w:val="20"/>
                <w:szCs w:val="20"/>
                <w:color w:val="auto"/>
              </w:rPr>
            </w:pPr>
            <w:r>
              <w:rPr>
                <w:rFonts w:ascii="Arial" w:cs="Arial" w:eastAsia="Arial" w:hAnsi="Arial"/>
                <w:sz w:val="14"/>
                <w:szCs w:val="14"/>
                <w:b w:val="1"/>
                <w:bCs w:val="1"/>
                <w:color w:val="auto"/>
                <w:w w:val="94"/>
              </w:rPr>
              <w:t>Fixed Maturity Securities — by Sector &amp; Credit Quality Rating</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NAIC Designation</w:t>
            </w: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37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76"/>
              </w:rPr>
              <w:t>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76"/>
              </w:rPr>
              <w:t>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76"/>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9"/>
        </w:trPr>
        <w:tc>
          <w:tcPr>
            <w:tcW w:w="3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NRSRO Rating</w:t>
            </w:r>
          </w:p>
        </w:tc>
        <w:tc>
          <w:tcPr>
            <w:tcW w:w="14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Aaa/Aa/A</w:t>
            </w:r>
          </w:p>
        </w:tc>
        <w:tc>
          <w:tcPr>
            <w:tcW w:w="240" w:type="dxa"/>
            <w:vAlign w:val="bottom"/>
          </w:tcPr>
          <w:p>
            <w:pPr>
              <w:spacing w:after="0"/>
              <w:rPr>
                <w:sz w:val="13"/>
                <w:szCs w:val="13"/>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Baa</w:t>
            </w:r>
          </w:p>
        </w:tc>
        <w:tc>
          <w:tcPr>
            <w:tcW w:w="260" w:type="dxa"/>
            <w:vAlign w:val="bottom"/>
          </w:tcPr>
          <w:p>
            <w:pPr>
              <w:spacing w:after="0"/>
              <w:rPr>
                <w:sz w:val="13"/>
                <w:szCs w:val="13"/>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Ba</w:t>
            </w:r>
          </w:p>
        </w:tc>
        <w:tc>
          <w:tcPr>
            <w:tcW w:w="12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B</w:t>
            </w:r>
          </w:p>
        </w:tc>
        <w:tc>
          <w:tcPr>
            <w:tcW w:w="160" w:type="dxa"/>
            <w:vAlign w:val="bottom"/>
          </w:tcPr>
          <w:p>
            <w:pPr>
              <w:spacing w:after="0"/>
              <w:rPr>
                <w:sz w:val="13"/>
                <w:szCs w:val="13"/>
                <w:color w:val="auto"/>
              </w:rPr>
            </w:pPr>
          </w:p>
        </w:tc>
        <w:tc>
          <w:tcPr>
            <w:tcW w:w="920" w:type="dxa"/>
            <w:vAlign w:val="bottom"/>
            <w:gridSpan w:val="2"/>
          </w:tcPr>
          <w:p>
            <w:pPr>
              <w:jc w:val="center"/>
              <w:ind w:right="300"/>
              <w:spacing w:after="0" w:line="159" w:lineRule="exact"/>
              <w:rPr>
                <w:sz w:val="20"/>
                <w:szCs w:val="20"/>
                <w:color w:val="auto"/>
              </w:rPr>
            </w:pPr>
            <w:r>
              <w:rPr>
                <w:rFonts w:ascii="Arial" w:cs="Arial" w:eastAsia="Arial" w:hAnsi="Arial"/>
                <w:sz w:val="14"/>
                <w:szCs w:val="14"/>
                <w:b w:val="1"/>
                <w:bCs w:val="1"/>
                <w:color w:val="auto"/>
                <w:w w:val="91"/>
              </w:rPr>
              <w:t>Caa and</w:t>
            </w:r>
          </w:p>
        </w:tc>
        <w:tc>
          <w:tcPr>
            <w:tcW w:w="140" w:type="dxa"/>
            <w:vAlign w:val="bottom"/>
          </w:tcPr>
          <w:p>
            <w:pPr>
              <w:spacing w:after="0"/>
              <w:rPr>
                <w:sz w:val="13"/>
                <w:szCs w:val="13"/>
                <w:color w:val="auto"/>
              </w:rPr>
            </w:pPr>
          </w:p>
        </w:tc>
        <w:tc>
          <w:tcPr>
            <w:tcW w:w="960" w:type="dxa"/>
            <w:vAlign w:val="bottom"/>
            <w:gridSpan w:val="2"/>
          </w:tcPr>
          <w:p>
            <w:pPr>
              <w:jc w:val="center"/>
              <w:ind w:right="260"/>
              <w:spacing w:after="0" w:line="159" w:lineRule="exact"/>
              <w:rPr>
                <w:sz w:val="20"/>
                <w:szCs w:val="20"/>
                <w:color w:val="auto"/>
              </w:rPr>
            </w:pPr>
            <w:r>
              <w:rPr>
                <w:rFonts w:ascii="Arial" w:cs="Arial" w:eastAsia="Arial" w:hAnsi="Arial"/>
                <w:sz w:val="14"/>
                <w:szCs w:val="14"/>
                <w:b w:val="1"/>
                <w:bCs w:val="1"/>
                <w:color w:val="auto"/>
                <w:w w:val="94"/>
              </w:rPr>
              <w:t>In or Near</w:t>
            </w:r>
          </w:p>
        </w:tc>
        <w:tc>
          <w:tcPr>
            <w:tcW w:w="140" w:type="dxa"/>
            <w:vAlign w:val="bottom"/>
          </w:tcPr>
          <w:p>
            <w:pPr>
              <w:spacing w:after="0"/>
              <w:rPr>
                <w:sz w:val="13"/>
                <w:szCs w:val="13"/>
                <w:color w:val="auto"/>
              </w:rPr>
            </w:pPr>
          </w:p>
        </w:tc>
        <w:tc>
          <w:tcPr>
            <w:tcW w:w="860" w:type="dxa"/>
            <w:vAlign w:val="bottom"/>
          </w:tcPr>
          <w:p>
            <w:pPr>
              <w:jc w:val="center"/>
              <w:ind w:right="42"/>
              <w:spacing w:after="0" w:line="15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37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Lower</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Default</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1"/>
        </w:trPr>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2023</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6"/>
                <w:szCs w:val="16"/>
                <w:color w:val="auto"/>
              </w:rPr>
              <w:t>U.S. corporate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15,345</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16,051</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1,655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33,612</w:t>
            </w:r>
          </w:p>
        </w:tc>
        <w:tc>
          <w:tcPr>
            <w:tcW w:w="0" w:type="dxa"/>
            <w:vAlign w:val="bottom"/>
          </w:tcPr>
          <w:p>
            <w:pPr>
              <w:spacing w:after="0"/>
              <w:rPr>
                <w:sz w:val="1"/>
                <w:szCs w:val="1"/>
                <w:color w:val="auto"/>
              </w:rPr>
            </w:pPr>
          </w:p>
        </w:tc>
      </w:tr>
      <w:tr>
        <w:trPr>
          <w:trHeight w:val="215"/>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corporate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10,883</w:t>
            </w:r>
          </w:p>
        </w:tc>
        <w:tc>
          <w:tcPr>
            <w:tcW w:w="0" w:type="dxa"/>
            <w:vAlign w:val="bottom"/>
          </w:tcPr>
          <w:p>
            <w:pPr>
              <w:spacing w:after="0"/>
              <w:rPr>
                <w:sz w:val="1"/>
                <w:szCs w:val="1"/>
                <w:color w:val="auto"/>
              </w:rPr>
            </w:pPr>
          </w:p>
        </w:tc>
      </w:tr>
      <w:tr>
        <w:trPr>
          <w:trHeight w:val="209"/>
        </w:trPr>
        <w:tc>
          <w:tcPr>
            <w:tcW w:w="3720" w:type="dxa"/>
            <w:vAlign w:val="bottom"/>
          </w:tcPr>
          <w:p>
            <w:pPr>
              <w:ind w:left="20"/>
              <w:spacing w:after="0"/>
              <w:rPr>
                <w:sz w:val="20"/>
                <w:szCs w:val="20"/>
                <w:color w:val="auto"/>
              </w:rPr>
            </w:pPr>
            <w:r>
              <w:rPr>
                <w:rFonts w:ascii="Arial" w:cs="Arial" w:eastAsia="Arial" w:hAnsi="Arial"/>
                <w:sz w:val="16"/>
                <w:szCs w:val="16"/>
                <w:color w:val="auto"/>
              </w:rPr>
              <w:t>U.S. government and agency</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8,168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8,287</w:t>
            </w:r>
          </w:p>
        </w:tc>
        <w:tc>
          <w:tcPr>
            <w:tcW w:w="0" w:type="dxa"/>
            <w:vAlign w:val="bottom"/>
          </w:tcPr>
          <w:p>
            <w:pPr>
              <w:spacing w:after="0"/>
              <w:rPr>
                <w:sz w:val="1"/>
                <w:szCs w:val="1"/>
                <w:color w:val="auto"/>
              </w:rPr>
            </w:pPr>
          </w:p>
        </w:tc>
      </w:tr>
      <w:tr>
        <w:trPr>
          <w:trHeight w:val="215"/>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RMBS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7,590</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6"/>
                <w:szCs w:val="16"/>
                <w:color w:val="auto"/>
              </w:rPr>
              <w:t>CMBS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6,674</w:t>
            </w:r>
          </w:p>
        </w:tc>
        <w:tc>
          <w:tcPr>
            <w:tcW w:w="0" w:type="dxa"/>
            <w:vAlign w:val="bottom"/>
          </w:tcPr>
          <w:p>
            <w:pPr>
              <w:spacing w:after="0"/>
              <w:rPr>
                <w:sz w:val="1"/>
                <w:szCs w:val="1"/>
                <w:color w:val="auto"/>
              </w:rPr>
            </w:pPr>
          </w:p>
        </w:tc>
      </w:tr>
      <w:tr>
        <w:trPr>
          <w:trHeight w:val="215"/>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5,596</w:t>
            </w:r>
          </w:p>
        </w:tc>
        <w:tc>
          <w:tcPr>
            <w:tcW w:w="0" w:type="dxa"/>
            <w:vAlign w:val="bottom"/>
          </w:tcPr>
          <w:p>
            <w:pPr>
              <w:spacing w:after="0"/>
              <w:rPr>
                <w:sz w:val="1"/>
                <w:szCs w:val="1"/>
                <w:color w:val="auto"/>
              </w:rPr>
            </w:pPr>
          </w:p>
        </w:tc>
      </w:tr>
      <w:tr>
        <w:trPr>
          <w:trHeight w:val="209"/>
        </w:trPr>
        <w:tc>
          <w:tcPr>
            <w:tcW w:w="3720" w:type="dxa"/>
            <w:vAlign w:val="bottom"/>
          </w:tcPr>
          <w:p>
            <w:pPr>
              <w:ind w:left="20"/>
              <w:spacing w:after="0"/>
              <w:rPr>
                <w:sz w:val="20"/>
                <w:szCs w:val="20"/>
                <w:color w:val="auto"/>
              </w:rPr>
            </w:pPr>
            <w:r>
              <w:rPr>
                <w:rFonts w:ascii="Arial" w:cs="Arial" w:eastAsia="Arial" w:hAnsi="Arial"/>
                <w:sz w:val="16"/>
                <w:szCs w:val="16"/>
                <w:color w:val="auto"/>
              </w:rPr>
              <w:t>State and political subdivision</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3,949</w:t>
            </w: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government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0" w:type="dxa"/>
            <w:vAlign w:val="bottom"/>
          </w:tcPr>
          <w:p>
            <w:pPr>
              <w:spacing w:after="0"/>
              <w:rPr>
                <w:sz w:val="1"/>
                <w:szCs w:val="1"/>
                <w:color w:val="auto"/>
              </w:rPr>
            </w:pPr>
          </w:p>
        </w:tc>
      </w:tr>
      <w:tr>
        <w:trPr>
          <w:trHeight w:val="208"/>
        </w:trPr>
        <w:tc>
          <w:tcPr>
            <w:tcW w:w="3720" w:type="dxa"/>
            <w:vAlign w:val="bottom"/>
          </w:tcPr>
          <w:p>
            <w:pPr>
              <w:ind w:left="180"/>
              <w:spacing w:after="0"/>
              <w:rPr>
                <w:sz w:val="20"/>
                <w:szCs w:val="20"/>
                <w:color w:val="auto"/>
              </w:rPr>
            </w:pPr>
            <w:r>
              <w:rPr>
                <w:rFonts w:ascii="Arial" w:cs="Arial" w:eastAsia="Arial" w:hAnsi="Arial"/>
                <w:sz w:val="16"/>
                <w:szCs w:val="16"/>
                <w:color w:val="auto"/>
              </w:rPr>
              <w:t>Total fixed maturity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50,686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24,220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77,685</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72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December 31, 2022</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6"/>
                <w:szCs w:val="16"/>
                <w:color w:val="auto"/>
              </w:rPr>
              <w:t>U.S. corporate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14,697</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15,683</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1,671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32,607</w:t>
            </w:r>
          </w:p>
        </w:tc>
        <w:tc>
          <w:tcPr>
            <w:tcW w:w="0" w:type="dxa"/>
            <w:vAlign w:val="bottom"/>
          </w:tcPr>
          <w:p>
            <w:pPr>
              <w:spacing w:after="0"/>
              <w:rPr>
                <w:sz w:val="1"/>
                <w:szCs w:val="1"/>
                <w:color w:val="auto"/>
              </w:rPr>
            </w:pPr>
          </w:p>
        </w:tc>
      </w:tr>
      <w:tr>
        <w:trPr>
          <w:trHeight w:val="215"/>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corporate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10,576</w:t>
            </w:r>
          </w:p>
        </w:tc>
        <w:tc>
          <w:tcPr>
            <w:tcW w:w="0" w:type="dxa"/>
            <w:vAlign w:val="bottom"/>
          </w:tcPr>
          <w:p>
            <w:pPr>
              <w:spacing w:after="0"/>
              <w:rPr>
                <w:sz w:val="1"/>
                <w:szCs w:val="1"/>
                <w:color w:val="auto"/>
              </w:rPr>
            </w:pPr>
          </w:p>
        </w:tc>
      </w:tr>
      <w:tr>
        <w:trPr>
          <w:trHeight w:val="209"/>
        </w:trPr>
        <w:tc>
          <w:tcPr>
            <w:tcW w:w="3720" w:type="dxa"/>
            <w:vAlign w:val="bottom"/>
          </w:tcPr>
          <w:p>
            <w:pPr>
              <w:ind w:left="20"/>
              <w:spacing w:after="0"/>
              <w:rPr>
                <w:sz w:val="20"/>
                <w:szCs w:val="20"/>
                <w:color w:val="auto"/>
              </w:rPr>
            </w:pPr>
            <w:r>
              <w:rPr>
                <w:rFonts w:ascii="Arial" w:cs="Arial" w:eastAsia="Arial" w:hAnsi="Arial"/>
                <w:sz w:val="16"/>
                <w:szCs w:val="16"/>
                <w:color w:val="auto"/>
              </w:rPr>
              <w:t>U.S. government and agency</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8,016</w:t>
            </w:r>
          </w:p>
        </w:tc>
        <w:tc>
          <w:tcPr>
            <w:tcW w:w="0" w:type="dxa"/>
            <w:vAlign w:val="bottom"/>
          </w:tcPr>
          <w:p>
            <w:pPr>
              <w:spacing w:after="0"/>
              <w:rPr>
                <w:sz w:val="1"/>
                <w:szCs w:val="1"/>
                <w:color w:val="auto"/>
              </w:rPr>
            </w:pPr>
          </w:p>
        </w:tc>
      </w:tr>
      <w:tr>
        <w:trPr>
          <w:trHeight w:val="215"/>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RMBS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7,528</w:t>
            </w:r>
          </w:p>
        </w:tc>
        <w:tc>
          <w:tcPr>
            <w:tcW w:w="0" w:type="dxa"/>
            <w:vAlign w:val="bottom"/>
          </w:tcPr>
          <w:p>
            <w:pPr>
              <w:spacing w:after="0"/>
              <w:rPr>
                <w:sz w:val="1"/>
                <w:szCs w:val="1"/>
                <w:color w:val="auto"/>
              </w:rPr>
            </w:pPr>
          </w:p>
        </w:tc>
      </w:tr>
      <w:tr>
        <w:trPr>
          <w:trHeight w:val="210"/>
        </w:trPr>
        <w:tc>
          <w:tcPr>
            <w:tcW w:w="3720" w:type="dxa"/>
            <w:vAlign w:val="bottom"/>
          </w:tcPr>
          <w:p>
            <w:pPr>
              <w:ind w:left="20"/>
              <w:spacing w:after="0"/>
              <w:rPr>
                <w:sz w:val="20"/>
                <w:szCs w:val="20"/>
                <w:color w:val="auto"/>
              </w:rPr>
            </w:pPr>
            <w:r>
              <w:rPr>
                <w:rFonts w:ascii="Arial" w:cs="Arial" w:eastAsia="Arial" w:hAnsi="Arial"/>
                <w:sz w:val="16"/>
                <w:szCs w:val="16"/>
                <w:color w:val="auto"/>
              </w:rPr>
              <w:t>CMBS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6,611</w:t>
            </w:r>
          </w:p>
        </w:tc>
        <w:tc>
          <w:tcPr>
            <w:tcW w:w="0" w:type="dxa"/>
            <w:vAlign w:val="bottom"/>
          </w:tcPr>
          <w:p>
            <w:pPr>
              <w:spacing w:after="0"/>
              <w:rPr>
                <w:sz w:val="1"/>
                <w:szCs w:val="1"/>
                <w:color w:val="auto"/>
              </w:rPr>
            </w:pPr>
          </w:p>
        </w:tc>
      </w:tr>
      <w:tr>
        <w:trPr>
          <w:trHeight w:val="215"/>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ABS</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5,359</w:t>
            </w:r>
          </w:p>
        </w:tc>
        <w:tc>
          <w:tcPr>
            <w:tcW w:w="0" w:type="dxa"/>
            <w:vAlign w:val="bottom"/>
          </w:tcPr>
          <w:p>
            <w:pPr>
              <w:spacing w:after="0"/>
              <w:rPr>
                <w:sz w:val="1"/>
                <w:szCs w:val="1"/>
                <w:color w:val="auto"/>
              </w:rPr>
            </w:pPr>
          </w:p>
        </w:tc>
      </w:tr>
      <w:tr>
        <w:trPr>
          <w:trHeight w:val="209"/>
        </w:trPr>
        <w:tc>
          <w:tcPr>
            <w:tcW w:w="3720" w:type="dxa"/>
            <w:vAlign w:val="bottom"/>
          </w:tcPr>
          <w:p>
            <w:pPr>
              <w:ind w:left="20"/>
              <w:spacing w:after="0"/>
              <w:rPr>
                <w:sz w:val="20"/>
                <w:szCs w:val="20"/>
                <w:color w:val="auto"/>
              </w:rPr>
            </w:pPr>
            <w:r>
              <w:rPr>
                <w:rFonts w:ascii="Arial" w:cs="Arial" w:eastAsia="Arial" w:hAnsi="Arial"/>
                <w:sz w:val="16"/>
                <w:szCs w:val="16"/>
                <w:color w:val="auto"/>
              </w:rPr>
              <w:t>State and political subdivision</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3,799</w:t>
            </w:r>
          </w:p>
        </w:tc>
        <w:tc>
          <w:tcPr>
            <w:tcW w:w="0" w:type="dxa"/>
            <w:vAlign w:val="bottom"/>
          </w:tcPr>
          <w:p>
            <w:pPr>
              <w:spacing w:after="0"/>
              <w:rPr>
                <w:sz w:val="1"/>
                <w:szCs w:val="1"/>
                <w:color w:val="auto"/>
              </w:rPr>
            </w:pPr>
          </w:p>
        </w:tc>
      </w:tr>
      <w:tr>
        <w:trPr>
          <w:trHeight w:val="212"/>
        </w:trPr>
        <w:tc>
          <w:tcPr>
            <w:tcW w:w="3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government</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1,081</w:t>
            </w:r>
          </w:p>
        </w:tc>
        <w:tc>
          <w:tcPr>
            <w:tcW w:w="0" w:type="dxa"/>
            <w:vAlign w:val="bottom"/>
          </w:tcPr>
          <w:p>
            <w:pPr>
              <w:spacing w:after="0"/>
              <w:rPr>
                <w:sz w:val="1"/>
                <w:szCs w:val="1"/>
                <w:color w:val="auto"/>
              </w:rPr>
            </w:pPr>
          </w:p>
        </w:tc>
      </w:tr>
      <w:tr>
        <w:trPr>
          <w:trHeight w:val="208"/>
        </w:trPr>
        <w:tc>
          <w:tcPr>
            <w:tcW w:w="3720" w:type="dxa"/>
            <w:vAlign w:val="bottom"/>
          </w:tcPr>
          <w:p>
            <w:pPr>
              <w:ind w:left="180"/>
              <w:spacing w:after="0"/>
              <w:rPr>
                <w:sz w:val="20"/>
                <w:szCs w:val="20"/>
                <w:color w:val="auto"/>
              </w:rPr>
            </w:pPr>
            <w:r>
              <w:rPr>
                <w:rFonts w:ascii="Arial" w:cs="Arial" w:eastAsia="Arial" w:hAnsi="Arial"/>
                <w:sz w:val="16"/>
                <w:szCs w:val="16"/>
                <w:color w:val="auto"/>
              </w:rPr>
              <w:t>Total fixed maturity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49,063</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23,723</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2,111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
              <w:spacing w:after="0"/>
              <w:rPr>
                <w:sz w:val="20"/>
                <w:szCs w:val="20"/>
                <w:color w:val="auto"/>
              </w:rPr>
            </w:pPr>
            <w:r>
              <w:rPr>
                <w:rFonts w:ascii="Arial" w:cs="Arial" w:eastAsia="Arial" w:hAnsi="Arial"/>
                <w:sz w:val="16"/>
                <w:szCs w:val="16"/>
                <w:color w:val="auto"/>
              </w:rPr>
              <w:t>588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75,577</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U.S. and Foreign Corporate Fixed Maturity Securities</w:t>
      </w:r>
    </w:p>
    <w:p>
      <w:pPr>
        <w:spacing w:after="0" w:line="111" w:lineRule="exact"/>
        <w:rPr>
          <w:sz w:val="20"/>
          <w:szCs w:val="20"/>
          <w:color w:val="auto"/>
        </w:rPr>
      </w:pPr>
    </w:p>
    <w:p>
      <w:pPr>
        <w:jc w:val="both"/>
        <w:ind w:left="160" w:firstLine="318"/>
        <w:spacing w:after="0" w:line="277" w:lineRule="auto"/>
        <w:rPr>
          <w:sz w:val="20"/>
          <w:szCs w:val="20"/>
          <w:color w:val="auto"/>
        </w:rPr>
      </w:pPr>
      <w:r>
        <w:rPr>
          <w:rFonts w:ascii="Arial" w:cs="Arial" w:eastAsia="Arial" w:hAnsi="Arial"/>
          <w:sz w:val="17"/>
          <w:szCs w:val="17"/>
          <w:color w:val="auto"/>
        </w:rPr>
        <w:t>We maintain a diversified portfolio of corporate fixed maturity securities across industries and issuers. Our portfolio does not have any exposure to any single issuer in excess of 1% of total investments and the top ten holdings in aggregate comprise 1% of total investments at both March 31, 2023 and December 31, 2022. Our U.S. and foreign corporate fixed maturity securities holdings by industry were as follows at: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3"/>
          </w:tcPr>
          <w:p>
            <w:pPr>
              <w:ind w:left="880"/>
              <w:spacing w:after="0"/>
              <w:rPr>
                <w:sz w:val="20"/>
                <w:szCs w:val="20"/>
                <w:color w:val="auto"/>
              </w:rPr>
            </w:pPr>
            <w:r>
              <w:rPr>
                <w:rFonts w:ascii="Arial" w:cs="Arial" w:eastAsia="Arial" w:hAnsi="Arial"/>
                <w:sz w:val="14"/>
                <w:szCs w:val="14"/>
                <w:b w:val="1"/>
                <w:bCs w:val="1"/>
                <w:color w:val="auto"/>
              </w:rPr>
              <w:t>March 31, 2023</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gridSpan w:val="3"/>
          </w:tcPr>
          <w:p>
            <w:pPr>
              <w:ind w:left="780"/>
              <w:spacing w:after="0"/>
              <w:rPr>
                <w:sz w:val="20"/>
                <w:szCs w:val="20"/>
                <w:color w:val="auto"/>
              </w:rPr>
            </w:pPr>
            <w:r>
              <w:rPr>
                <w:rFonts w:ascii="Arial" w:cs="Arial" w:eastAsia="Arial" w:hAnsi="Arial"/>
                <w:sz w:val="14"/>
                <w:szCs w:val="14"/>
                <w:b w:val="1"/>
                <w:bCs w:val="1"/>
                <w:color w:val="auto"/>
                <w:w w:val="91"/>
              </w:rPr>
              <w:t>December 31, 2022</w:t>
            </w:r>
          </w:p>
        </w:tc>
        <w:tc>
          <w:tcPr>
            <w:tcW w:w="1020" w:type="dxa"/>
            <w:vAlign w:val="bottom"/>
          </w:tcPr>
          <w:p>
            <w:pPr>
              <w:spacing w:after="0"/>
              <w:rPr>
                <w:sz w:val="15"/>
                <w:szCs w:val="15"/>
                <w:color w:val="auto"/>
              </w:rPr>
            </w:pPr>
          </w:p>
        </w:tc>
      </w:tr>
      <w:tr>
        <w:trPr>
          <w:trHeight w:val="24"/>
        </w:trPr>
        <w:tc>
          <w:tcPr>
            <w:tcW w:w="4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20" w:type="dxa"/>
            <w:vAlign w:val="bottom"/>
            <w:gridSpan w:val="3"/>
          </w:tcPr>
          <w:p>
            <w:pPr>
              <w:spacing w:after="0"/>
              <w:rPr>
                <w:sz w:val="2"/>
                <w:szCs w:val="2"/>
                <w:color w:val="auto"/>
              </w:rPr>
            </w:pPr>
          </w:p>
        </w:tc>
        <w:tc>
          <w:tcPr>
            <w:tcW w:w="11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gridSpan w:val="3"/>
          </w:tcPr>
          <w:p>
            <w:pPr>
              <w:spacing w:after="0"/>
              <w:rPr>
                <w:sz w:val="2"/>
                <w:szCs w:val="2"/>
                <w:color w:val="auto"/>
              </w:rPr>
            </w:pPr>
          </w:p>
        </w:tc>
        <w:tc>
          <w:tcPr>
            <w:tcW w:w="1020" w:type="dxa"/>
            <w:vAlign w:val="bottom"/>
          </w:tcPr>
          <w:p>
            <w:pPr>
              <w:spacing w:after="0"/>
              <w:rPr>
                <w:sz w:val="2"/>
                <w:szCs w:val="2"/>
                <w:color w:val="auto"/>
              </w:rPr>
            </w:pPr>
          </w:p>
        </w:tc>
      </w:tr>
      <w:tr>
        <w:trPr>
          <w:trHeight w:val="130"/>
        </w:trPr>
        <w:tc>
          <w:tcPr>
            <w:tcW w:w="46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920" w:type="dxa"/>
            <w:vAlign w:val="bottom"/>
            <w:tcBorders>
              <w:top w:val="single" w:sz="8" w:color="auto"/>
            </w:tcBorders>
            <w:gridSpan w:val="3"/>
          </w:tcPr>
          <w:p>
            <w:pPr>
              <w:ind w:left="180"/>
              <w:spacing w:after="0" w:line="130" w:lineRule="exact"/>
              <w:rPr>
                <w:sz w:val="20"/>
                <w:szCs w:val="20"/>
                <w:color w:val="auto"/>
              </w:rPr>
            </w:pPr>
            <w:r>
              <w:rPr>
                <w:rFonts w:ascii="Arial" w:cs="Arial" w:eastAsia="Arial" w:hAnsi="Arial"/>
                <w:sz w:val="14"/>
                <w:szCs w:val="14"/>
                <w:b w:val="1"/>
                <w:bCs w:val="1"/>
                <w:color w:val="auto"/>
              </w:rPr>
              <w:t>Estimated</w:t>
            </w:r>
          </w:p>
        </w:tc>
        <w:tc>
          <w:tcPr>
            <w:tcW w:w="1060" w:type="dxa"/>
            <w:vAlign w:val="bottom"/>
            <w:tcBorders>
              <w:top w:val="single" w:sz="8" w:color="auto"/>
            </w:tcBorders>
          </w:tcPr>
          <w:p>
            <w:pPr>
              <w:ind w:left="80"/>
              <w:spacing w:after="0" w:line="130"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960" w:type="dxa"/>
            <w:vAlign w:val="bottom"/>
            <w:tcBorders>
              <w:top w:val="single" w:sz="8" w:color="auto"/>
            </w:tcBorders>
            <w:gridSpan w:val="3"/>
          </w:tcPr>
          <w:p>
            <w:pPr>
              <w:ind w:left="180"/>
              <w:spacing w:after="0" w:line="130" w:lineRule="exact"/>
              <w:rPr>
                <w:sz w:val="20"/>
                <w:szCs w:val="20"/>
                <w:color w:val="auto"/>
              </w:rPr>
            </w:pPr>
            <w:r>
              <w:rPr>
                <w:rFonts w:ascii="Arial" w:cs="Arial" w:eastAsia="Arial" w:hAnsi="Arial"/>
                <w:sz w:val="14"/>
                <w:szCs w:val="14"/>
                <w:b w:val="1"/>
                <w:bCs w:val="1"/>
                <w:color w:val="auto"/>
              </w:rPr>
              <w:t>Estimated</w:t>
            </w:r>
          </w:p>
        </w:tc>
        <w:tc>
          <w:tcPr>
            <w:tcW w:w="1020" w:type="dxa"/>
            <w:vAlign w:val="bottom"/>
            <w:tcBorders>
              <w:top w:val="single" w:sz="8" w:color="auto"/>
            </w:tcBorders>
          </w:tcPr>
          <w:p>
            <w:pPr>
              <w:jc w:val="right"/>
              <w:ind w:right="603"/>
              <w:spacing w:after="0" w:line="130" w:lineRule="exact"/>
              <w:rPr>
                <w:sz w:val="20"/>
                <w:szCs w:val="20"/>
                <w:color w:val="auto"/>
              </w:rPr>
            </w:pPr>
            <w:r>
              <w:rPr>
                <w:rFonts w:ascii="Arial" w:cs="Arial" w:eastAsia="Arial" w:hAnsi="Arial"/>
                <w:sz w:val="14"/>
                <w:szCs w:val="14"/>
                <w:b w:val="1"/>
                <w:bCs w:val="1"/>
                <w:color w:val="auto"/>
              </w:rPr>
              <w:t>% of</w:t>
            </w:r>
          </w:p>
        </w:tc>
      </w:tr>
      <w:tr>
        <w:trPr>
          <w:trHeight w:val="189"/>
        </w:trPr>
        <w:tc>
          <w:tcPr>
            <w:tcW w:w="4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Fair Value</w:t>
            </w: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Fair Value</w:t>
            </w:r>
          </w:p>
        </w:tc>
        <w:tc>
          <w:tcPr>
            <w:tcW w:w="102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w w:val="95"/>
              </w:rPr>
              <w:t>Total</w:t>
            </w:r>
          </w:p>
        </w:tc>
      </w:tr>
      <w:tr>
        <w:trPr>
          <w:trHeight w:val="190"/>
        </w:trPr>
        <w:tc>
          <w:tcPr>
            <w:tcW w:w="4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380" w:type="dxa"/>
            <w:vAlign w:val="bottom"/>
            <w:gridSpan w:val="6"/>
          </w:tcPr>
          <w:p>
            <w:pPr>
              <w:ind w:left="500"/>
              <w:spacing w:after="0"/>
              <w:rPr>
                <w:sz w:val="20"/>
                <w:szCs w:val="20"/>
                <w:color w:val="auto"/>
              </w:rPr>
            </w:pPr>
            <w:r>
              <w:rPr>
                <w:rFonts w:ascii="Arial" w:cs="Arial" w:eastAsia="Arial" w:hAnsi="Arial"/>
                <w:sz w:val="14"/>
                <w:szCs w:val="14"/>
                <w:b w:val="1"/>
                <w:bCs w:val="1"/>
                <w:color w:val="auto"/>
              </w:rPr>
              <w:t>(Dollars in millions)</w:t>
            </w:r>
          </w:p>
        </w:tc>
        <w:tc>
          <w:tcPr>
            <w:tcW w:w="1020" w:type="dxa"/>
            <w:vAlign w:val="bottom"/>
          </w:tcPr>
          <w:p>
            <w:pPr>
              <w:spacing w:after="0"/>
              <w:rPr>
                <w:sz w:val="16"/>
                <w:szCs w:val="16"/>
                <w:color w:val="auto"/>
              </w:rPr>
            </w:pPr>
          </w:p>
        </w:tc>
      </w:tr>
      <w:tr>
        <w:trPr>
          <w:trHeight w:val="219"/>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Industrial</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30.7 %</w:t>
            </w:r>
          </w:p>
        </w:tc>
      </w:tr>
      <w:tr>
        <w:trPr>
          <w:trHeight w:val="209"/>
        </w:trPr>
        <w:tc>
          <w:tcPr>
            <w:tcW w:w="4640" w:type="dxa"/>
            <w:vAlign w:val="bottom"/>
          </w:tcPr>
          <w:p>
            <w:pPr>
              <w:ind w:left="20"/>
              <w:spacing w:after="0"/>
              <w:rPr>
                <w:sz w:val="20"/>
                <w:szCs w:val="20"/>
                <w:color w:val="auto"/>
              </w:rPr>
            </w:pPr>
            <w:r>
              <w:rPr>
                <w:rFonts w:ascii="Arial" w:cs="Arial" w:eastAsia="Arial" w:hAnsi="Arial"/>
                <w:sz w:val="16"/>
                <w:szCs w:val="16"/>
                <w:color w:val="auto"/>
              </w:rPr>
              <w:t>Finance</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12,116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ind w:right="123"/>
              <w:spacing w:after="0"/>
              <w:rPr>
                <w:sz w:val="20"/>
                <w:szCs w:val="20"/>
                <w:color w:val="auto"/>
              </w:rPr>
            </w:pPr>
            <w:r>
              <w:rPr>
                <w:rFonts w:ascii="Arial" w:cs="Arial" w:eastAsia="Arial" w:hAnsi="Arial"/>
                <w:sz w:val="16"/>
                <w:szCs w:val="16"/>
                <w:color w:val="auto"/>
              </w:rPr>
              <w:t>27.2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11,988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ind w:right="123"/>
              <w:spacing w:after="0"/>
              <w:rPr>
                <w:sz w:val="20"/>
                <w:szCs w:val="20"/>
                <w:color w:val="auto"/>
              </w:rPr>
            </w:pPr>
            <w:r>
              <w:rPr>
                <w:rFonts w:ascii="Arial" w:cs="Arial" w:eastAsia="Arial" w:hAnsi="Arial"/>
                <w:sz w:val="16"/>
                <w:szCs w:val="16"/>
                <w:color w:val="auto"/>
              </w:rPr>
              <w:t>27.8</w:t>
            </w:r>
          </w:p>
        </w:tc>
      </w:tr>
      <w:tr>
        <w:trPr>
          <w:trHeight w:val="214"/>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22.2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21.9</w:t>
            </w:r>
          </w:p>
        </w:tc>
      </w:tr>
      <w:tr>
        <w:trPr>
          <w:trHeight w:val="210"/>
        </w:trPr>
        <w:tc>
          <w:tcPr>
            <w:tcW w:w="4640" w:type="dxa"/>
            <w:vAlign w:val="bottom"/>
          </w:tcPr>
          <w:p>
            <w:pPr>
              <w:ind w:left="20"/>
              <w:spacing w:after="0"/>
              <w:rPr>
                <w:sz w:val="20"/>
                <w:szCs w:val="20"/>
                <w:color w:val="auto"/>
              </w:rPr>
            </w:pPr>
            <w:r>
              <w:rPr>
                <w:rFonts w:ascii="Arial" w:cs="Arial" w:eastAsia="Arial" w:hAnsi="Arial"/>
                <w:sz w:val="16"/>
                <w:szCs w:val="16"/>
                <w:color w:val="auto"/>
              </w:rPr>
              <w:t>Utility</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6,010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ind w:right="123"/>
              <w:spacing w:after="0"/>
              <w:rPr>
                <w:sz w:val="20"/>
                <w:szCs w:val="20"/>
                <w:color w:val="auto"/>
              </w:rPr>
            </w:pPr>
            <w:r>
              <w:rPr>
                <w:rFonts w:ascii="Arial" w:cs="Arial" w:eastAsia="Arial" w:hAnsi="Arial"/>
                <w:sz w:val="16"/>
                <w:szCs w:val="16"/>
                <w:color w:val="auto"/>
              </w:rPr>
              <w:t>13.5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5,767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jc w:val="right"/>
              <w:ind w:right="123"/>
              <w:spacing w:after="0"/>
              <w:rPr>
                <w:sz w:val="20"/>
                <w:szCs w:val="20"/>
                <w:color w:val="auto"/>
              </w:rPr>
            </w:pPr>
            <w:r>
              <w:rPr>
                <w:rFonts w:ascii="Arial" w:cs="Arial" w:eastAsia="Arial" w:hAnsi="Arial"/>
                <w:sz w:val="16"/>
                <w:szCs w:val="16"/>
                <w:color w:val="auto"/>
              </w:rPr>
              <w:t>13.4</w:t>
            </w:r>
          </w:p>
        </w:tc>
      </w:tr>
      <w:tr>
        <w:trPr>
          <w:trHeight w:val="212"/>
        </w:trPr>
        <w:tc>
          <w:tcPr>
            <w:tcW w:w="4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2,746</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6.2</w:t>
            </w: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2,679</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6.2</w:t>
            </w:r>
          </w:p>
        </w:tc>
      </w:tr>
      <w:tr>
        <w:trPr>
          <w:trHeight w:val="380"/>
        </w:trPr>
        <w:tc>
          <w:tcPr>
            <w:tcW w:w="4640" w:type="dxa"/>
            <w:vAlign w:val="bottom"/>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44,495</w:t>
            </w:r>
          </w:p>
        </w:tc>
        <w:tc>
          <w:tcPr>
            <w:tcW w:w="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24"/>
                <w:szCs w:val="24"/>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43,183</w:t>
            </w:r>
          </w:p>
        </w:tc>
        <w:tc>
          <w:tcPr>
            <w:tcW w:w="1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Structured Securities</w:t>
      </w:r>
    </w:p>
    <w:p>
      <w:pPr>
        <w:spacing w:after="0" w:line="111" w:lineRule="exact"/>
        <w:rPr>
          <w:sz w:val="20"/>
          <w:szCs w:val="20"/>
          <w:color w:val="auto"/>
        </w:rPr>
      </w:pPr>
    </w:p>
    <w:p>
      <w:pPr>
        <w:ind w:left="160" w:right="20" w:firstLine="318"/>
        <w:spacing w:after="0" w:line="264" w:lineRule="auto"/>
        <w:rPr>
          <w:sz w:val="20"/>
          <w:szCs w:val="20"/>
          <w:color w:val="auto"/>
        </w:rPr>
      </w:pPr>
      <w:r>
        <w:rPr>
          <w:rFonts w:ascii="Arial" w:cs="Arial" w:eastAsia="Arial" w:hAnsi="Arial"/>
          <w:sz w:val="18"/>
          <w:szCs w:val="18"/>
          <w:color w:val="auto"/>
        </w:rPr>
        <w:t>We held $19.9 billion and $19.5 billion of Structured Securities, at estimated fair value, at March 31, 2023 and December 31, 2022, respectively, as presented in the RMBS, CMBS and ABS sections below.</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RMBS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RMBS holdings are diversified by security type, risk profile and ratings profile, which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ind w:left="260"/>
              <w:spacing w:after="0"/>
              <w:rPr>
                <w:sz w:val="20"/>
                <w:szCs w:val="20"/>
                <w:color w:val="auto"/>
              </w:rPr>
            </w:pPr>
            <w:r>
              <w:rPr>
                <w:rFonts w:ascii="Arial" w:cs="Arial" w:eastAsia="Arial" w:hAnsi="Arial"/>
                <w:sz w:val="14"/>
                <w:szCs w:val="14"/>
                <w:b w:val="1"/>
                <w:bCs w:val="1"/>
                <w:color w:val="auto"/>
                <w:w w:val="94"/>
              </w:rPr>
              <w:t>March 31, 2023</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3"/>
          </w:tcPr>
          <w:p>
            <w:pPr>
              <w:jc w:val="right"/>
              <w:ind w:right="6"/>
              <w:spacing w:after="0"/>
              <w:rPr>
                <w:sz w:val="20"/>
                <w:szCs w:val="20"/>
                <w:color w:val="auto"/>
              </w:rPr>
            </w:pPr>
            <w:r>
              <w:rPr>
                <w:rFonts w:ascii="Arial" w:cs="Arial" w:eastAsia="Arial" w:hAnsi="Arial"/>
                <w:sz w:val="14"/>
                <w:szCs w:val="14"/>
                <w:b w:val="1"/>
                <w:bCs w:val="1"/>
                <w:color w:val="auto"/>
                <w:w w:val="99"/>
              </w:rPr>
              <w:t>December 31, 2022</w:t>
            </w:r>
          </w:p>
        </w:tc>
        <w:tc>
          <w:tcPr>
            <w:tcW w:w="1160" w:type="dxa"/>
            <w:vAlign w:val="bottom"/>
          </w:tcPr>
          <w:p>
            <w:pPr>
              <w:spacing w:after="0"/>
              <w:rPr>
                <w:sz w:val="15"/>
                <w:szCs w:val="15"/>
                <w:color w:val="auto"/>
              </w:rPr>
            </w:pPr>
          </w:p>
        </w:tc>
      </w:tr>
      <w:tr>
        <w:trPr>
          <w:trHeight w:val="24"/>
        </w:trPr>
        <w:tc>
          <w:tcPr>
            <w:tcW w:w="3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26"/>
        </w:trPr>
        <w:tc>
          <w:tcPr>
            <w:tcW w:w="39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ind w:left="40"/>
              <w:spacing w:after="0" w:line="126" w:lineRule="exact"/>
              <w:rPr>
                <w:sz w:val="20"/>
                <w:szCs w:val="20"/>
                <w:color w:val="auto"/>
              </w:rPr>
            </w:pPr>
            <w:r>
              <w:rPr>
                <w:rFonts w:ascii="Arial" w:cs="Arial" w:eastAsia="Arial" w:hAnsi="Arial"/>
                <w:sz w:val="14"/>
                <w:szCs w:val="14"/>
                <w:b w:val="1"/>
                <w:bCs w:val="1"/>
                <w:color w:val="auto"/>
              </w:rPr>
              <w:t>Estimated</w:t>
            </w:r>
          </w:p>
        </w:tc>
        <w:tc>
          <w:tcPr>
            <w:tcW w:w="1220" w:type="dxa"/>
            <w:vAlign w:val="bottom"/>
            <w:tcBorders>
              <w:top w:val="single" w:sz="8" w:color="auto"/>
            </w:tcBorders>
            <w:gridSpan w:val="2"/>
          </w:tcPr>
          <w:p>
            <w:pPr>
              <w:ind w:left="420"/>
              <w:spacing w:after="0" w:line="126" w:lineRule="exact"/>
              <w:rPr>
                <w:sz w:val="20"/>
                <w:szCs w:val="20"/>
                <w:color w:val="auto"/>
              </w:rPr>
            </w:pPr>
            <w:r>
              <w:rPr>
                <w:rFonts w:ascii="Arial" w:cs="Arial" w:eastAsia="Arial" w:hAnsi="Arial"/>
                <w:sz w:val="14"/>
                <w:szCs w:val="14"/>
                <w:b w:val="1"/>
                <w:bCs w:val="1"/>
                <w:color w:val="auto"/>
              </w:rPr>
              <w:t>% of</w:t>
            </w: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ind w:left="60"/>
              <w:spacing w:after="0" w:line="126" w:lineRule="exact"/>
              <w:rPr>
                <w:sz w:val="20"/>
                <w:szCs w:val="20"/>
                <w:color w:val="auto"/>
              </w:rPr>
            </w:pPr>
            <w:r>
              <w:rPr>
                <w:rFonts w:ascii="Arial" w:cs="Arial" w:eastAsia="Arial" w:hAnsi="Arial"/>
                <w:sz w:val="14"/>
                <w:szCs w:val="14"/>
                <w:b w:val="1"/>
                <w:bCs w:val="1"/>
                <w:color w:val="auto"/>
              </w:rPr>
              <w:t>Net Unrealized</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ind w:left="40"/>
              <w:spacing w:after="0" w:line="126" w:lineRule="exact"/>
              <w:rPr>
                <w:sz w:val="20"/>
                <w:szCs w:val="20"/>
                <w:color w:val="auto"/>
              </w:rPr>
            </w:pPr>
            <w:r>
              <w:rPr>
                <w:rFonts w:ascii="Arial" w:cs="Arial" w:eastAsia="Arial" w:hAnsi="Arial"/>
                <w:sz w:val="14"/>
                <w:szCs w:val="14"/>
                <w:b w:val="1"/>
                <w:bCs w:val="1"/>
                <w:color w:val="auto"/>
              </w:rPr>
              <w:t>Estimated</w:t>
            </w:r>
          </w:p>
        </w:tc>
        <w:tc>
          <w:tcPr>
            <w:tcW w:w="1220" w:type="dxa"/>
            <w:vAlign w:val="bottom"/>
            <w:tcBorders>
              <w:top w:val="single" w:sz="8" w:color="auto"/>
            </w:tcBorders>
            <w:gridSpan w:val="2"/>
          </w:tcPr>
          <w:p>
            <w:pPr>
              <w:ind w:left="400"/>
              <w:spacing w:after="0" w:line="126" w:lineRule="exact"/>
              <w:rPr>
                <w:sz w:val="20"/>
                <w:szCs w:val="20"/>
                <w:color w:val="auto"/>
              </w:rPr>
            </w:pPr>
            <w:r>
              <w:rPr>
                <w:rFonts w:ascii="Arial" w:cs="Arial" w:eastAsia="Arial" w:hAnsi="Arial"/>
                <w:sz w:val="14"/>
                <w:szCs w:val="14"/>
                <w:b w:val="1"/>
                <w:bCs w:val="1"/>
                <w:color w:val="auto"/>
              </w:rPr>
              <w:t>% of</w:t>
            </w: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122"/>
              <w:spacing w:after="0" w:line="126" w:lineRule="exact"/>
              <w:rPr>
                <w:sz w:val="20"/>
                <w:szCs w:val="20"/>
                <w:color w:val="auto"/>
              </w:rPr>
            </w:pPr>
            <w:r>
              <w:rPr>
                <w:rFonts w:ascii="Arial" w:cs="Arial" w:eastAsia="Arial" w:hAnsi="Arial"/>
                <w:sz w:val="14"/>
                <w:szCs w:val="14"/>
                <w:b w:val="1"/>
                <w:bCs w:val="1"/>
                <w:color w:val="auto"/>
                <w:w w:val="96"/>
              </w:rPr>
              <w:t>Net Unrealized</w:t>
            </w:r>
          </w:p>
        </w:tc>
      </w:tr>
      <w:tr>
        <w:trPr>
          <w:trHeight w:val="192"/>
        </w:trPr>
        <w:tc>
          <w:tcPr>
            <w:tcW w:w="3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2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Gains (Losses)</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22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1"/>
              </w:rPr>
              <w:t>Gains (Losses)</w:t>
            </w:r>
          </w:p>
        </w:tc>
      </w:tr>
      <w:tr>
        <w:trPr>
          <w:trHeight w:val="191"/>
        </w:trPr>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5"/>
          </w:tcPr>
          <w:p>
            <w:pPr>
              <w:ind w:left="640"/>
              <w:spacing w:after="0"/>
              <w:rPr>
                <w:sz w:val="20"/>
                <w:szCs w:val="20"/>
                <w:color w:val="auto"/>
              </w:rPr>
            </w:pPr>
            <w:r>
              <w:rPr>
                <w:rFonts w:ascii="Arial" w:cs="Arial" w:eastAsia="Arial" w:hAnsi="Arial"/>
                <w:sz w:val="14"/>
                <w:szCs w:val="14"/>
                <w:b w:val="1"/>
                <w:bCs w:val="1"/>
                <w:color w:val="auto"/>
              </w:rPr>
              <w:t>(Dollars in millions)</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Security type:</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0"/>
        </w:trPr>
        <w:tc>
          <w:tcPr>
            <w:tcW w:w="3900" w:type="dxa"/>
            <w:vAlign w:val="bottom"/>
          </w:tcPr>
          <w:p>
            <w:pPr>
              <w:ind w:left="20"/>
              <w:spacing w:after="0"/>
              <w:rPr>
                <w:sz w:val="20"/>
                <w:szCs w:val="20"/>
                <w:color w:val="auto"/>
              </w:rPr>
            </w:pPr>
            <w:r>
              <w:rPr>
                <w:rFonts w:ascii="Arial" w:cs="Arial" w:eastAsia="Arial" w:hAnsi="Arial"/>
                <w:sz w:val="16"/>
                <w:szCs w:val="16"/>
                <w:color w:val="auto"/>
              </w:rPr>
              <w:t>Pass-through securities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3,879</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51.1 %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(515)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3,846</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51.1 %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(590)</w:t>
            </w:r>
          </w:p>
        </w:tc>
      </w:tr>
      <w:tr>
        <w:trPr>
          <w:trHeight w:val="212"/>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Collateralized mortgage obligations</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3,711</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48.9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3,682</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48.9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r>
      <w:tr>
        <w:trPr>
          <w:trHeight w:val="208"/>
        </w:trPr>
        <w:tc>
          <w:tcPr>
            <w:tcW w:w="3900" w:type="dxa"/>
            <w:vAlign w:val="bottom"/>
          </w:tcPr>
          <w:p>
            <w:pPr>
              <w:ind w:left="180"/>
              <w:spacing w:after="0"/>
              <w:rPr>
                <w:sz w:val="20"/>
                <w:szCs w:val="20"/>
                <w:color w:val="auto"/>
              </w:rPr>
            </w:pPr>
            <w:r>
              <w:rPr>
                <w:rFonts w:ascii="Arial" w:cs="Arial" w:eastAsia="Arial" w:hAnsi="Arial"/>
                <w:sz w:val="16"/>
                <w:szCs w:val="16"/>
                <w:color w:val="auto"/>
              </w:rPr>
              <w:t>Total RMBS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7,590</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7,528</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8"/>
        </w:trPr>
        <w:tc>
          <w:tcPr>
            <w:tcW w:w="39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Risk profile:</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0"/>
        </w:trPr>
        <w:tc>
          <w:tcPr>
            <w:tcW w:w="3900" w:type="dxa"/>
            <w:vAlign w:val="bottom"/>
          </w:tcPr>
          <w:p>
            <w:pPr>
              <w:ind w:left="20"/>
              <w:spacing w:after="0"/>
              <w:rPr>
                <w:sz w:val="20"/>
                <w:szCs w:val="20"/>
                <w:color w:val="auto"/>
              </w:rPr>
            </w:pPr>
            <w:r>
              <w:rPr>
                <w:rFonts w:ascii="Arial" w:cs="Arial" w:eastAsia="Arial" w:hAnsi="Arial"/>
                <w:sz w:val="16"/>
                <w:szCs w:val="16"/>
                <w:color w:val="auto"/>
              </w:rPr>
              <w:t>Agency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6,199</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81.7 %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(711)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6,137</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81.5 %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(842)</w:t>
            </w:r>
          </w:p>
        </w:tc>
      </w:tr>
      <w:tr>
        <w:trPr>
          <w:trHeight w:val="215"/>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Prime</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0"/>
        </w:trPr>
        <w:tc>
          <w:tcPr>
            <w:tcW w:w="3900" w:type="dxa"/>
            <w:vAlign w:val="bottom"/>
          </w:tcPr>
          <w:p>
            <w:pPr>
              <w:ind w:left="20"/>
              <w:spacing w:after="0"/>
              <w:rPr>
                <w:sz w:val="20"/>
                <w:szCs w:val="20"/>
                <w:color w:val="auto"/>
              </w:rPr>
            </w:pPr>
            <w:r>
              <w:rPr>
                <w:rFonts w:ascii="Arial" w:cs="Arial" w:eastAsia="Arial" w:hAnsi="Arial"/>
                <w:sz w:val="16"/>
                <w:szCs w:val="16"/>
                <w:color w:val="auto"/>
              </w:rPr>
              <w:t>Alt-A</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8"/>
                <w:szCs w:val="18"/>
                <w:color w:val="auto"/>
              </w:rPr>
            </w:pPr>
          </w:p>
        </w:tc>
        <w:tc>
          <w:tcPr>
            <w:tcW w:w="1100" w:type="dxa"/>
            <w:vAlign w:val="bottom"/>
          </w:tcPr>
          <w:p>
            <w:pPr>
              <w:jc w:val="right"/>
              <w:ind w:right="123"/>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788</w:t>
            </w:r>
          </w:p>
        </w:tc>
        <w:tc>
          <w:tcPr>
            <w:tcW w:w="120" w:type="dxa"/>
            <w:vAlign w:val="bottom"/>
          </w:tcPr>
          <w:p>
            <w:pPr>
              <w:spacing w:after="0"/>
              <w:rPr>
                <w:sz w:val="18"/>
                <w:szCs w:val="18"/>
                <w:color w:val="auto"/>
              </w:rPr>
            </w:pPr>
          </w:p>
        </w:tc>
        <w:tc>
          <w:tcPr>
            <w:tcW w:w="1100" w:type="dxa"/>
            <w:vAlign w:val="bottom"/>
          </w:tcPr>
          <w:p>
            <w:pPr>
              <w:jc w:val="right"/>
              <w:ind w:right="123"/>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12"/>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Sub-prime</w:t>
            </w: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8"/>
        </w:trPr>
        <w:tc>
          <w:tcPr>
            <w:tcW w:w="3900" w:type="dxa"/>
            <w:vAlign w:val="bottom"/>
          </w:tcPr>
          <w:p>
            <w:pPr>
              <w:ind w:left="180"/>
              <w:spacing w:after="0"/>
              <w:rPr>
                <w:sz w:val="20"/>
                <w:szCs w:val="20"/>
                <w:color w:val="auto"/>
              </w:rPr>
            </w:pPr>
            <w:r>
              <w:rPr>
                <w:rFonts w:ascii="Arial" w:cs="Arial" w:eastAsia="Arial" w:hAnsi="Arial"/>
                <w:sz w:val="16"/>
                <w:szCs w:val="16"/>
                <w:color w:val="auto"/>
              </w:rPr>
              <w:t>Total RMBS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7,590</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7,528</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8"/>
        </w:trPr>
        <w:tc>
          <w:tcPr>
            <w:tcW w:w="39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Ratings profile:</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0"/>
        </w:trPr>
        <w:tc>
          <w:tcPr>
            <w:tcW w:w="3900" w:type="dxa"/>
            <w:vAlign w:val="bottom"/>
          </w:tcPr>
          <w:p>
            <w:pPr>
              <w:ind w:left="180"/>
              <w:spacing w:after="0"/>
              <w:rPr>
                <w:sz w:val="20"/>
                <w:szCs w:val="20"/>
                <w:color w:val="auto"/>
              </w:rPr>
            </w:pPr>
            <w:r>
              <w:rPr>
                <w:rFonts w:ascii="Arial" w:cs="Arial" w:eastAsia="Arial" w:hAnsi="Arial"/>
                <w:sz w:val="16"/>
                <w:szCs w:val="16"/>
                <w:color w:val="auto"/>
              </w:rPr>
              <w:t>Rated Aaa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6,706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88.4 %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6,643</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88.2 %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3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Designated NAIC 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7,490</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bl>
    <w:p>
      <w:pPr>
        <w:spacing w:after="0" w:line="226"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Historically, our exposure to sub-prime RMBS holdings has been managed by focusing primarily on senior tranche securities, stress-testing the portfolio with severe loss assumptions and closely monitoring the performance of the portfolio. Our sub-prime RMBS portfolio consists predominantly of securities that were purchased after 2012 at significant discounts to par value and discounts to the expected principal recovery value of these securities. The vast majority of these securities are investment grade under the NAIC designations (e.g., NAIC 1 and NAIC 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CMBS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CMBS holdings are diversified by vintage year, which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20" w:type="dxa"/>
            <w:vAlign w:val="bottom"/>
            <w:gridSpan w:val="5"/>
          </w:tcPr>
          <w:p>
            <w:pPr>
              <w:ind w:left="1120"/>
              <w:spacing w:after="0"/>
              <w:rPr>
                <w:sz w:val="20"/>
                <w:szCs w:val="20"/>
                <w:color w:val="auto"/>
              </w:rPr>
            </w:pPr>
            <w:r>
              <w:rPr>
                <w:rFonts w:ascii="Arial" w:cs="Arial" w:eastAsia="Arial" w:hAnsi="Arial"/>
                <w:sz w:val="14"/>
                <w:szCs w:val="14"/>
                <w:b w:val="1"/>
                <w:bCs w:val="1"/>
                <w:color w:val="auto"/>
              </w:rPr>
              <w:t>March 31, 2023</w:t>
            </w:r>
          </w:p>
        </w:tc>
        <w:tc>
          <w:tcPr>
            <w:tcW w:w="360" w:type="dxa"/>
            <w:vAlign w:val="bottom"/>
          </w:tcPr>
          <w:p>
            <w:pPr>
              <w:spacing w:after="0"/>
              <w:rPr>
                <w:sz w:val="15"/>
                <w:szCs w:val="15"/>
                <w:color w:val="auto"/>
              </w:rPr>
            </w:pPr>
          </w:p>
        </w:tc>
        <w:tc>
          <w:tcPr>
            <w:tcW w:w="3300" w:type="dxa"/>
            <w:vAlign w:val="bottom"/>
            <w:gridSpan w:val="4"/>
          </w:tcPr>
          <w:p>
            <w:pPr>
              <w:jc w:val="right"/>
              <w:ind w:right="1181"/>
              <w:spacing w:after="0"/>
              <w:rPr>
                <w:sz w:val="20"/>
                <w:szCs w:val="20"/>
                <w:color w:val="auto"/>
              </w:rPr>
            </w:pPr>
            <w:r>
              <w:rPr>
                <w:rFonts w:ascii="Arial" w:cs="Arial" w:eastAsia="Arial" w:hAnsi="Arial"/>
                <w:sz w:val="14"/>
                <w:szCs w:val="14"/>
                <w:b w:val="1"/>
                <w:bCs w:val="1"/>
                <w:color w:val="auto"/>
              </w:rPr>
              <w:t>December 31, 2022</w:t>
            </w:r>
          </w:p>
        </w:tc>
      </w:tr>
      <w:tr>
        <w:trPr>
          <w:trHeight w:val="24"/>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185"/>
        </w:trPr>
        <w:tc>
          <w:tcPr>
            <w:tcW w:w="380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640" w:type="dxa"/>
            <w:vAlign w:val="bottom"/>
            <w:tcBorders>
              <w:top w:val="single" w:sz="8" w:color="auto"/>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7"/>
              </w:rPr>
              <w:t>Estimated Fair Value</w:t>
            </w:r>
          </w:p>
        </w:tc>
        <w:tc>
          <w:tcPr>
            <w:tcW w:w="120" w:type="dxa"/>
            <w:vAlign w:val="bottom"/>
            <w:tcBorders>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Borders>
              <w:top w:val="single" w:sz="8" w:color="auto"/>
              <w:bottom w:val="single" w:sz="8" w:color="auto"/>
            </w:tcBorders>
          </w:tcPr>
          <w:p>
            <w:pPr>
              <w:spacing w:after="0"/>
              <w:rPr>
                <w:sz w:val="16"/>
                <w:szCs w:val="16"/>
                <w:color w:val="auto"/>
              </w:rPr>
            </w:pPr>
          </w:p>
        </w:tc>
        <w:tc>
          <w:tcPr>
            <w:tcW w:w="162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7"/>
              </w:rPr>
              <w:t>Estimated Fair Value</w:t>
            </w:r>
          </w:p>
        </w:tc>
      </w:tr>
      <w:tr>
        <w:trPr>
          <w:trHeight w:val="191"/>
        </w:trPr>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19"/>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2003 - 2011</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10"/>
        </w:trPr>
        <w:tc>
          <w:tcPr>
            <w:tcW w:w="3800" w:type="dxa"/>
            <w:vAlign w:val="bottom"/>
          </w:tcPr>
          <w:p>
            <w:pPr>
              <w:ind w:left="20"/>
              <w:spacing w:after="0"/>
              <w:rPr>
                <w:sz w:val="20"/>
                <w:szCs w:val="20"/>
                <w:color w:val="auto"/>
              </w:rPr>
            </w:pPr>
            <w:r>
              <w:rPr>
                <w:rFonts w:ascii="Arial" w:cs="Arial" w:eastAsia="Arial" w:hAnsi="Arial"/>
                <w:sz w:val="16"/>
                <w:szCs w:val="16"/>
                <w:color w:val="auto"/>
              </w:rPr>
              <w:t>2012</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4"/>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2013</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210"/>
        </w:trPr>
        <w:tc>
          <w:tcPr>
            <w:tcW w:w="3800" w:type="dxa"/>
            <w:vAlign w:val="bottom"/>
          </w:tcPr>
          <w:p>
            <w:pPr>
              <w:ind w:left="20"/>
              <w:spacing w:after="0"/>
              <w:rPr>
                <w:sz w:val="20"/>
                <w:szCs w:val="20"/>
                <w:color w:val="auto"/>
              </w:rPr>
            </w:pPr>
            <w:r>
              <w:rPr>
                <w:rFonts w:ascii="Arial" w:cs="Arial" w:eastAsia="Arial" w:hAnsi="Arial"/>
                <w:sz w:val="16"/>
                <w:szCs w:val="16"/>
                <w:color w:val="auto"/>
              </w:rPr>
              <w:t>2014</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294</w:t>
            </w:r>
          </w:p>
        </w:tc>
      </w:tr>
      <w:tr>
        <w:trPr>
          <w:trHeight w:val="214"/>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2015</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w:t>
            </w:r>
          </w:p>
        </w:tc>
      </w:tr>
      <w:tr>
        <w:trPr>
          <w:trHeight w:val="209"/>
        </w:trPr>
        <w:tc>
          <w:tcPr>
            <w:tcW w:w="3800" w:type="dxa"/>
            <w:vAlign w:val="bottom"/>
          </w:tcPr>
          <w:p>
            <w:pPr>
              <w:ind w:left="20"/>
              <w:spacing w:after="0"/>
              <w:rPr>
                <w:sz w:val="20"/>
                <w:szCs w:val="20"/>
                <w:color w:val="auto"/>
              </w:rPr>
            </w:pPr>
            <w:r>
              <w:rPr>
                <w:rFonts w:ascii="Arial" w:cs="Arial" w:eastAsia="Arial" w:hAnsi="Arial"/>
                <w:sz w:val="16"/>
                <w:szCs w:val="16"/>
                <w:color w:val="auto"/>
              </w:rPr>
              <w:t>2016</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421</w:t>
            </w:r>
          </w:p>
        </w:tc>
      </w:tr>
      <w:tr>
        <w:trPr>
          <w:trHeight w:val="215"/>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2017</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w:t>
            </w:r>
          </w:p>
        </w:tc>
      </w:tr>
      <w:tr>
        <w:trPr>
          <w:trHeight w:val="209"/>
        </w:trPr>
        <w:tc>
          <w:tcPr>
            <w:tcW w:w="3800" w:type="dxa"/>
            <w:vAlign w:val="bottom"/>
          </w:tcPr>
          <w:p>
            <w:pPr>
              <w:ind w:left="20"/>
              <w:spacing w:after="0"/>
              <w:rPr>
                <w:sz w:val="20"/>
                <w:szCs w:val="20"/>
                <w:color w:val="auto"/>
              </w:rPr>
            </w:pPr>
            <w:r>
              <w:rPr>
                <w:rFonts w:ascii="Arial" w:cs="Arial" w:eastAsia="Arial" w:hAnsi="Arial"/>
                <w:sz w:val="16"/>
                <w:szCs w:val="16"/>
                <w:color w:val="auto"/>
              </w:rPr>
              <w:t>2018</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1,538</w:t>
            </w:r>
          </w:p>
        </w:tc>
      </w:tr>
      <w:tr>
        <w:trPr>
          <w:trHeight w:val="214"/>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w:t>
            </w:r>
          </w:p>
        </w:tc>
      </w:tr>
      <w:tr>
        <w:trPr>
          <w:trHeight w:val="210"/>
        </w:trPr>
        <w:tc>
          <w:tcPr>
            <w:tcW w:w="3800" w:type="dxa"/>
            <w:vAlign w:val="bottom"/>
          </w:tcPr>
          <w:p>
            <w:pPr>
              <w:ind w:left="20"/>
              <w:spacing w:after="0"/>
              <w:rPr>
                <w:sz w:val="20"/>
                <w:szCs w:val="20"/>
                <w:color w:val="auto"/>
              </w:rPr>
            </w:pPr>
            <w:r>
              <w:rPr>
                <w:rFonts w:ascii="Arial" w:cs="Arial" w:eastAsia="Arial" w:hAnsi="Arial"/>
                <w:sz w:val="16"/>
                <w:szCs w:val="16"/>
                <w:color w:val="auto"/>
              </w:rPr>
              <w:t>2020</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426</w:t>
            </w:r>
          </w:p>
        </w:tc>
      </w:tr>
      <w:tr>
        <w:trPr>
          <w:trHeight w:val="214"/>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w:t>
            </w:r>
          </w:p>
        </w:tc>
      </w:tr>
      <w:tr>
        <w:trPr>
          <w:trHeight w:val="209"/>
        </w:trPr>
        <w:tc>
          <w:tcPr>
            <w:tcW w:w="3800" w:type="dxa"/>
            <w:vAlign w:val="bottom"/>
          </w:tcPr>
          <w:p>
            <w:pPr>
              <w:ind w:left="20"/>
              <w:spacing w:after="0"/>
              <w:rPr>
                <w:sz w:val="20"/>
                <w:szCs w:val="20"/>
                <w:color w:val="auto"/>
              </w:rPr>
            </w:pPr>
            <w:r>
              <w:rPr>
                <w:rFonts w:ascii="Arial" w:cs="Arial" w:eastAsia="Arial" w:hAnsi="Arial"/>
                <w:sz w:val="16"/>
                <w:szCs w:val="16"/>
                <w:color w:val="auto"/>
              </w:rPr>
              <w:t>2022</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442</w:t>
            </w:r>
          </w:p>
        </w:tc>
      </w:tr>
      <w:tr>
        <w:trPr>
          <w:trHeight w:val="212"/>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3800" w:type="dxa"/>
            <w:vAlign w:val="bottom"/>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7,343</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6,674</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7,324</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6,611</w:t>
            </w:r>
          </w:p>
        </w:tc>
      </w:tr>
      <w:tr>
        <w:trPr>
          <w:trHeight w:val="20"/>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The estimated fair value of CMBS rated Aaa using rating agency ratings was $4.7 billion, or 70.9% of total CMBS, and designated NAIC 1 was $6.3 billion, or 94.5% of total CMBS, at March 31, 2023. The estimated fair value of CMBS Aaa rating agency ratings was $4.6 billion, or 70.0% of total CMBS, and designated NAIC 1 was $6.2 billion, or 94.4% of total CMBS, at December 31, 2022.</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ABS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5"/>
          <w:szCs w:val="15"/>
          <w:color w:val="auto"/>
        </w:rPr>
        <w:t>Our ABS holdings are diversified by both collateral type and issuer. Our ABS holdings by collateral type and ratings profile were as follows at: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 2023</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w w:val="91"/>
              </w:rPr>
              <w:t>December 31, 2022</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
        </w:trPr>
        <w:tc>
          <w:tcPr>
            <w:tcW w:w="3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3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26"/>
        </w:trPr>
        <w:tc>
          <w:tcPr>
            <w:tcW w:w="35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ind w:left="80"/>
              <w:spacing w:after="0" w:line="126" w:lineRule="exact"/>
              <w:rPr>
                <w:sz w:val="20"/>
                <w:szCs w:val="20"/>
                <w:color w:val="auto"/>
              </w:rPr>
            </w:pPr>
            <w:r>
              <w:rPr>
                <w:rFonts w:ascii="Arial" w:cs="Arial" w:eastAsia="Arial" w:hAnsi="Arial"/>
                <w:sz w:val="14"/>
                <w:szCs w:val="14"/>
                <w:b w:val="1"/>
                <w:bCs w:val="1"/>
                <w:color w:val="auto"/>
              </w:rPr>
              <w:t>Estimated</w:t>
            </w:r>
          </w:p>
        </w:tc>
        <w:tc>
          <w:tcPr>
            <w:tcW w:w="1320" w:type="dxa"/>
            <w:vAlign w:val="bottom"/>
            <w:tcBorders>
              <w:top w:val="single" w:sz="8" w:color="auto"/>
            </w:tcBorders>
            <w:gridSpan w:val="2"/>
          </w:tcPr>
          <w:p>
            <w:pPr>
              <w:ind w:left="460"/>
              <w:spacing w:after="0" w:line="126" w:lineRule="exact"/>
              <w:rPr>
                <w:sz w:val="20"/>
                <w:szCs w:val="20"/>
                <w:color w:val="auto"/>
              </w:rPr>
            </w:pPr>
            <w:r>
              <w:rPr>
                <w:rFonts w:ascii="Arial" w:cs="Arial" w:eastAsia="Arial" w:hAnsi="Arial"/>
                <w:sz w:val="14"/>
                <w:szCs w:val="14"/>
                <w:b w:val="1"/>
                <w:bCs w:val="1"/>
                <w:color w:val="auto"/>
              </w:rPr>
              <w:t>% of</w:t>
            </w: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ind w:left="40"/>
              <w:spacing w:after="0" w:line="126" w:lineRule="exact"/>
              <w:rPr>
                <w:sz w:val="20"/>
                <w:szCs w:val="20"/>
                <w:color w:val="auto"/>
              </w:rPr>
            </w:pPr>
            <w:r>
              <w:rPr>
                <w:rFonts w:ascii="Arial" w:cs="Arial" w:eastAsia="Arial" w:hAnsi="Arial"/>
                <w:sz w:val="14"/>
                <w:szCs w:val="14"/>
                <w:b w:val="1"/>
                <w:bCs w:val="1"/>
                <w:color w:val="auto"/>
              </w:rPr>
              <w:t>Net Unrealized</w:t>
            </w: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ind w:left="80"/>
              <w:spacing w:after="0" w:line="126" w:lineRule="exact"/>
              <w:rPr>
                <w:sz w:val="20"/>
                <w:szCs w:val="20"/>
                <w:color w:val="auto"/>
              </w:rPr>
            </w:pPr>
            <w:r>
              <w:rPr>
                <w:rFonts w:ascii="Arial" w:cs="Arial" w:eastAsia="Arial" w:hAnsi="Arial"/>
                <w:sz w:val="14"/>
                <w:szCs w:val="14"/>
                <w:b w:val="1"/>
                <w:bCs w:val="1"/>
                <w:color w:val="auto"/>
              </w:rPr>
              <w:t>Estimated</w:t>
            </w:r>
          </w:p>
        </w:tc>
        <w:tc>
          <w:tcPr>
            <w:tcW w:w="1340" w:type="dxa"/>
            <w:vAlign w:val="bottom"/>
            <w:tcBorders>
              <w:top w:val="single" w:sz="8" w:color="auto"/>
            </w:tcBorders>
            <w:gridSpan w:val="2"/>
          </w:tcPr>
          <w:p>
            <w:pPr>
              <w:ind w:left="460"/>
              <w:spacing w:after="0" w:line="126" w:lineRule="exact"/>
              <w:rPr>
                <w:sz w:val="20"/>
                <w:szCs w:val="20"/>
                <w:color w:val="auto"/>
              </w:rPr>
            </w:pPr>
            <w:r>
              <w:rPr>
                <w:rFonts w:ascii="Arial" w:cs="Arial" w:eastAsia="Arial" w:hAnsi="Arial"/>
                <w:sz w:val="14"/>
                <w:szCs w:val="14"/>
                <w:b w:val="1"/>
                <w:bCs w:val="1"/>
                <w:color w:val="auto"/>
              </w:rPr>
              <w:t>% of</w:t>
            </w: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122"/>
              <w:spacing w:after="0" w:line="126" w:lineRule="exact"/>
              <w:rPr>
                <w:sz w:val="20"/>
                <w:szCs w:val="20"/>
                <w:color w:val="auto"/>
              </w:rPr>
            </w:pPr>
            <w:r>
              <w:rPr>
                <w:rFonts w:ascii="Arial" w:cs="Arial" w:eastAsia="Arial" w:hAnsi="Arial"/>
                <w:sz w:val="14"/>
                <w:szCs w:val="14"/>
                <w:b w:val="1"/>
                <w:bCs w:val="1"/>
                <w:color w:val="auto"/>
                <w:w w:val="96"/>
              </w:rPr>
              <w:t>Net Unrealized</w:t>
            </w:r>
          </w:p>
        </w:tc>
      </w:tr>
      <w:tr>
        <w:trPr>
          <w:trHeight w:val="192"/>
        </w:trPr>
        <w:tc>
          <w:tcPr>
            <w:tcW w:w="3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132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Gains (Losses)</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34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1"/>
              </w:rPr>
              <w:t>Gains (Losses)</w:t>
            </w:r>
          </w:p>
        </w:tc>
      </w:tr>
      <w:tr>
        <w:trPr>
          <w:trHeight w:val="191"/>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5"/>
          </w:tcPr>
          <w:p>
            <w:pPr>
              <w:ind w:left="600"/>
              <w:spacing w:after="0"/>
              <w:rPr>
                <w:sz w:val="20"/>
                <w:szCs w:val="20"/>
                <w:color w:val="auto"/>
              </w:rPr>
            </w:pPr>
            <w:r>
              <w:rPr>
                <w:rFonts w:ascii="Arial" w:cs="Arial" w:eastAsia="Arial" w:hAnsi="Arial"/>
                <w:sz w:val="14"/>
                <w:szCs w:val="14"/>
                <w:b w:val="1"/>
                <w:bCs w:val="1"/>
                <w:color w:val="auto"/>
              </w:rPr>
              <w:t>(Dollars in millions)</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Collateral type:</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0"/>
        </w:trPr>
        <w:tc>
          <w:tcPr>
            <w:tcW w:w="3500" w:type="dxa"/>
            <w:vAlign w:val="bottom"/>
          </w:tcPr>
          <w:p>
            <w:pPr>
              <w:ind w:left="20"/>
              <w:spacing w:after="0"/>
              <w:rPr>
                <w:sz w:val="20"/>
                <w:szCs w:val="20"/>
                <w:color w:val="auto"/>
              </w:rPr>
            </w:pPr>
            <w:r>
              <w:rPr>
                <w:rFonts w:ascii="Arial" w:cs="Arial" w:eastAsia="Arial" w:hAnsi="Arial"/>
                <w:sz w:val="16"/>
                <w:szCs w:val="16"/>
                <w:color w:val="auto"/>
              </w:rPr>
              <w:t>Collateralized obligations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3,351</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59.9 %</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3,239</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60.5 %</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214"/>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Consumer loans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0"/>
        </w:trPr>
        <w:tc>
          <w:tcPr>
            <w:tcW w:w="3500" w:type="dxa"/>
            <w:vAlign w:val="bottom"/>
          </w:tcPr>
          <w:p>
            <w:pPr>
              <w:ind w:left="20"/>
              <w:spacing w:after="0"/>
              <w:rPr>
                <w:sz w:val="20"/>
                <w:szCs w:val="20"/>
                <w:color w:val="auto"/>
              </w:rPr>
            </w:pPr>
            <w:r>
              <w:rPr>
                <w:rFonts w:ascii="Arial" w:cs="Arial" w:eastAsia="Arial" w:hAnsi="Arial"/>
                <w:sz w:val="16"/>
                <w:szCs w:val="16"/>
                <w:color w:val="auto"/>
              </w:rPr>
              <w:t>Student loans</w:t>
            </w:r>
          </w:p>
        </w:tc>
        <w:tc>
          <w:tcPr>
            <w:tcW w:w="1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8"/>
                <w:szCs w:val="18"/>
                <w:color w:val="auto"/>
              </w:rPr>
            </w:pPr>
          </w:p>
        </w:tc>
        <w:tc>
          <w:tcPr>
            <w:tcW w:w="1220" w:type="dxa"/>
            <w:vAlign w:val="bottom"/>
          </w:tcPr>
          <w:p>
            <w:pPr>
              <w:jc w:val="right"/>
              <w:ind w:right="123"/>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8"/>
                <w:szCs w:val="18"/>
                <w:color w:val="auto"/>
              </w:rPr>
            </w:pPr>
          </w:p>
        </w:tc>
        <w:tc>
          <w:tcPr>
            <w:tcW w:w="1220" w:type="dxa"/>
            <w:vAlign w:val="bottom"/>
          </w:tcPr>
          <w:p>
            <w:pPr>
              <w:jc w:val="right"/>
              <w:ind w:right="123"/>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5"/>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Automobile loans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9"/>
        </w:trPr>
        <w:tc>
          <w:tcPr>
            <w:tcW w:w="3500" w:type="dxa"/>
            <w:vAlign w:val="bottom"/>
          </w:tcPr>
          <w:p>
            <w:pPr>
              <w:ind w:left="20"/>
              <w:spacing w:after="0"/>
              <w:rPr>
                <w:sz w:val="20"/>
                <w:szCs w:val="20"/>
                <w:color w:val="auto"/>
              </w:rPr>
            </w:pPr>
            <w:r>
              <w:rPr>
                <w:rFonts w:ascii="Arial" w:cs="Arial" w:eastAsia="Arial" w:hAnsi="Arial"/>
                <w:sz w:val="16"/>
                <w:szCs w:val="16"/>
                <w:color w:val="auto"/>
              </w:rPr>
              <w:t>Credit card loans</w:t>
            </w:r>
          </w:p>
        </w:tc>
        <w:tc>
          <w:tcPr>
            <w:tcW w:w="160" w:type="dxa"/>
            <w:vAlign w:val="bottom"/>
          </w:tcPr>
          <w:p>
            <w:pPr>
              <w:spacing w:after="0"/>
              <w:rPr>
                <w:sz w:val="18"/>
                <w:szCs w:val="18"/>
                <w:color w:val="auto"/>
              </w:rPr>
            </w:pP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1220" w:type="dxa"/>
            <w:vAlign w:val="bottom"/>
          </w:tcPr>
          <w:p>
            <w:pPr>
              <w:jc w:val="right"/>
              <w:ind w:right="123"/>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1220" w:type="dxa"/>
            <w:vAlign w:val="bottom"/>
          </w:tcPr>
          <w:p>
            <w:pPr>
              <w:jc w:val="right"/>
              <w:ind w:right="123"/>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2"/>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loans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1,002</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933</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08"/>
        </w:trPr>
        <w:tc>
          <w:tcPr>
            <w:tcW w:w="3500" w:type="dxa"/>
            <w:vAlign w:val="bottom"/>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5,596</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5,359</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78"/>
        </w:trPr>
        <w:tc>
          <w:tcPr>
            <w:tcW w:w="3500" w:type="dxa"/>
            <w:vAlign w:val="bottom"/>
            <w:shd w:val="clear" w:color="auto" w:fill="CCEEFF"/>
          </w:tcPr>
          <w:p>
            <w:pPr>
              <w:ind w:left="20"/>
              <w:spacing w:after="0" w:line="178" w:lineRule="exact"/>
              <w:rPr>
                <w:sz w:val="20"/>
                <w:szCs w:val="20"/>
                <w:color w:val="auto"/>
              </w:rPr>
            </w:pPr>
            <w:r>
              <w:rPr>
                <w:rFonts w:ascii="Arial" w:cs="Arial" w:eastAsia="Arial" w:hAnsi="Arial"/>
                <w:sz w:val="16"/>
                <w:szCs w:val="16"/>
                <w:color w:val="auto"/>
              </w:rPr>
              <w:t>Ratings profile:</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0"/>
        </w:trPr>
        <w:tc>
          <w:tcPr>
            <w:tcW w:w="3500" w:type="dxa"/>
            <w:vAlign w:val="bottom"/>
          </w:tcPr>
          <w:p>
            <w:pPr>
              <w:ind w:left="180"/>
              <w:spacing w:after="0"/>
              <w:rPr>
                <w:sz w:val="20"/>
                <w:szCs w:val="20"/>
                <w:color w:val="auto"/>
              </w:rPr>
            </w:pPr>
            <w:r>
              <w:rPr>
                <w:rFonts w:ascii="Arial" w:cs="Arial" w:eastAsia="Arial" w:hAnsi="Arial"/>
                <w:sz w:val="16"/>
                <w:szCs w:val="16"/>
                <w:color w:val="auto"/>
              </w:rPr>
              <w:t>Rated Aaa</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2,553</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2,300</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42.9 %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5"/>
        </w:trPr>
        <w:tc>
          <w:tcPr>
            <w:tcW w:w="3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Designated NAIC 1</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4,898</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4,648</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 for Fixed Maturity Securities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Note 6 of the Notes to the Interim Condensed Consolidated Financial Statements for information about the evaluation of fixed maturity securities for an allowance for credit losses or write-offs due to uncollectibility.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1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participate in a securities lending program whereby securities are loaned to third parties, primarily brokerage firms and commercial banks. We obtain collateral, usually cash, in an amount generally equal to 102% of the estimated fair value of the securities loaned, which is obtained at the inception of a loan and maintained at a level greater than or equal to 100% for the duration of the loan. The estimated fair value of the securities loaned is monitored on a daily basis with additional collateral obtained as necessary throughout the duration of the loan. Securities loaned under such transactions may be sold or re-pledged by the transferee. We are liable to return to our counterparties the cash collateral under our control. Security collateral received from counterparties may not be sold or re-pledged, unless the counterparty is in default, and is not reflected in the financial statements. These transactions are treated as financing arrangements and the associated cash collateral liability is recorded at the amount of the cash received.</w:t>
      </w:r>
    </w:p>
    <w:p>
      <w:pPr>
        <w:spacing w:after="0" w:line="51"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See “— Liquidity and Capital Resources — The Company — Primary Uses of Liquidity and Capital — Securities Lending” and Note 6 of the Notes to the Interim Condensed Consolidated Financial Statements for information regarding our securities lending program.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mortgage loans are principally collateralized by commercial, agricultural and residential properties. Information regarding mortgage loans by portfolio segment is summarized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gridSpan w:val="3"/>
          </w:tcPr>
          <w:p>
            <w:pPr>
              <w:jc w:val="right"/>
              <w:ind w:right="25"/>
              <w:spacing w:after="0"/>
              <w:rPr>
                <w:sz w:val="20"/>
                <w:szCs w:val="20"/>
                <w:color w:val="auto"/>
              </w:rPr>
            </w:pPr>
            <w:r>
              <w:rPr>
                <w:rFonts w:ascii="Arial" w:cs="Arial" w:eastAsia="Arial" w:hAnsi="Arial"/>
                <w:sz w:val="14"/>
                <w:szCs w:val="14"/>
                <w:b w:val="1"/>
                <w:bCs w:val="1"/>
                <w:color w:val="auto"/>
              </w:rPr>
              <w:t>March 31, 2023</w:t>
            </w: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2022</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
        </w:trPr>
        <w:tc>
          <w:tcPr>
            <w:tcW w:w="2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30"/>
        </w:trPr>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3"/>
              </w:rPr>
              <w:t>Amortized</w:t>
            </w:r>
          </w:p>
        </w:tc>
        <w:tc>
          <w:tcPr>
            <w:tcW w:w="1160" w:type="dxa"/>
            <w:vAlign w:val="bottom"/>
            <w:gridSpan w:val="2"/>
          </w:tcPr>
          <w:p>
            <w:pPr>
              <w:ind w:left="380"/>
              <w:spacing w:after="0" w:line="130" w:lineRule="exact"/>
              <w:rPr>
                <w:sz w:val="20"/>
                <w:szCs w:val="20"/>
                <w:color w:val="auto"/>
              </w:rPr>
            </w:pPr>
            <w:r>
              <w:rPr>
                <w:rFonts w:ascii="Arial" w:cs="Arial" w:eastAsia="Arial" w:hAnsi="Arial"/>
                <w:sz w:val="14"/>
                <w:szCs w:val="14"/>
                <w:b w:val="1"/>
                <w:bCs w:val="1"/>
                <w:color w:val="auto"/>
              </w:rPr>
              <w:t>% of</w:t>
            </w:r>
          </w:p>
        </w:tc>
        <w:tc>
          <w:tcPr>
            <w:tcW w:w="960" w:type="dxa"/>
            <w:vAlign w:val="bottom"/>
            <w:gridSpan w:val="2"/>
          </w:tcPr>
          <w:p>
            <w:pPr>
              <w:jc w:val="right"/>
              <w:spacing w:after="0" w:line="130" w:lineRule="exact"/>
              <w:rPr>
                <w:sz w:val="20"/>
                <w:szCs w:val="20"/>
                <w:color w:val="auto"/>
              </w:rPr>
            </w:pPr>
            <w:r>
              <w:rPr>
                <w:rFonts w:ascii="Arial" w:cs="Arial" w:eastAsia="Arial" w:hAnsi="Arial"/>
                <w:sz w:val="14"/>
                <w:szCs w:val="14"/>
                <w:b w:val="1"/>
                <w:bCs w:val="1"/>
                <w:color w:val="auto"/>
                <w:w w:val="95"/>
              </w:rPr>
              <w:t>Allowance for</w:t>
            </w:r>
          </w:p>
        </w:tc>
        <w:tc>
          <w:tcPr>
            <w:tcW w:w="1220" w:type="dxa"/>
            <w:vAlign w:val="bottom"/>
          </w:tcPr>
          <w:p>
            <w:pPr>
              <w:jc w:val="center"/>
              <w:ind w:left="24"/>
              <w:spacing w:after="0" w:line="130" w:lineRule="exact"/>
              <w:rPr>
                <w:sz w:val="20"/>
                <w:szCs w:val="20"/>
                <w:color w:val="auto"/>
              </w:rPr>
            </w:pPr>
            <w:r>
              <w:rPr>
                <w:rFonts w:ascii="Arial" w:cs="Arial" w:eastAsia="Arial" w:hAnsi="Arial"/>
                <w:sz w:val="14"/>
                <w:szCs w:val="14"/>
                <w:b w:val="1"/>
                <w:bCs w:val="1"/>
                <w:color w:val="auto"/>
                <w:w w:val="94"/>
              </w:rPr>
              <w:t>% of Amortized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0" w:lineRule="exact"/>
              <w:rPr>
                <w:sz w:val="20"/>
                <w:szCs w:val="20"/>
                <w:color w:val="auto"/>
              </w:rPr>
            </w:pPr>
            <w:r>
              <w:rPr>
                <w:rFonts w:ascii="Arial" w:cs="Arial" w:eastAsia="Arial" w:hAnsi="Arial"/>
                <w:sz w:val="14"/>
                <w:szCs w:val="14"/>
                <w:b w:val="1"/>
                <w:bCs w:val="1"/>
                <w:color w:val="auto"/>
                <w:w w:val="93"/>
              </w:rPr>
              <w:t>Amortized</w:t>
            </w:r>
          </w:p>
        </w:tc>
        <w:tc>
          <w:tcPr>
            <w:tcW w:w="1180" w:type="dxa"/>
            <w:vAlign w:val="bottom"/>
            <w:gridSpan w:val="2"/>
          </w:tcPr>
          <w:p>
            <w:pPr>
              <w:ind w:left="400"/>
              <w:spacing w:after="0" w:line="130" w:lineRule="exact"/>
              <w:rPr>
                <w:sz w:val="20"/>
                <w:szCs w:val="20"/>
                <w:color w:val="auto"/>
              </w:rPr>
            </w:pPr>
            <w:r>
              <w:rPr>
                <w:rFonts w:ascii="Arial" w:cs="Arial" w:eastAsia="Arial" w:hAnsi="Arial"/>
                <w:sz w:val="14"/>
                <w:szCs w:val="14"/>
                <w:b w:val="1"/>
                <w:bCs w:val="1"/>
                <w:color w:val="auto"/>
              </w:rPr>
              <w:t>% of</w:t>
            </w:r>
          </w:p>
        </w:tc>
        <w:tc>
          <w:tcPr>
            <w:tcW w:w="980" w:type="dxa"/>
            <w:vAlign w:val="bottom"/>
            <w:gridSpan w:val="2"/>
          </w:tcPr>
          <w:p>
            <w:pPr>
              <w:jc w:val="right"/>
              <w:spacing w:after="0" w:line="130" w:lineRule="exact"/>
              <w:rPr>
                <w:sz w:val="20"/>
                <w:szCs w:val="20"/>
                <w:color w:val="auto"/>
              </w:rPr>
            </w:pPr>
            <w:r>
              <w:rPr>
                <w:rFonts w:ascii="Arial" w:cs="Arial" w:eastAsia="Arial" w:hAnsi="Arial"/>
                <w:sz w:val="14"/>
                <w:szCs w:val="14"/>
                <w:b w:val="1"/>
                <w:bCs w:val="1"/>
                <w:color w:val="auto"/>
                <w:w w:val="97"/>
              </w:rPr>
              <w:t>Allowance for</w:t>
            </w:r>
          </w:p>
        </w:tc>
        <w:tc>
          <w:tcPr>
            <w:tcW w:w="1200" w:type="dxa"/>
            <w:vAlign w:val="bottom"/>
          </w:tcPr>
          <w:p>
            <w:pPr>
              <w:jc w:val="right"/>
              <w:spacing w:after="0" w:line="130" w:lineRule="exact"/>
              <w:rPr>
                <w:sz w:val="20"/>
                <w:szCs w:val="20"/>
                <w:color w:val="auto"/>
              </w:rPr>
            </w:pPr>
            <w:r>
              <w:rPr>
                <w:rFonts w:ascii="Arial" w:cs="Arial" w:eastAsia="Arial" w:hAnsi="Arial"/>
                <w:sz w:val="14"/>
                <w:szCs w:val="14"/>
                <w:b w:val="1"/>
                <w:bCs w:val="1"/>
                <w:color w:val="auto"/>
              </w:rPr>
              <w:t>% of Amortized</w:t>
            </w:r>
          </w:p>
        </w:tc>
      </w:tr>
      <w:tr>
        <w:trPr>
          <w:trHeight w:val="189"/>
        </w:trPr>
        <w:tc>
          <w:tcPr>
            <w:tcW w:w="2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11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Total</w:t>
            </w:r>
          </w:p>
        </w:tc>
        <w:tc>
          <w:tcPr>
            <w:tcW w:w="96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w w:val="92"/>
              </w:rPr>
              <w:t>Credit Losses</w:t>
            </w: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89"/>
              </w:rPr>
              <w:t>Cost</w:t>
            </w:r>
          </w:p>
        </w:tc>
        <w:tc>
          <w:tcPr>
            <w:tcW w:w="1180" w:type="dxa"/>
            <w:vAlign w:val="bottom"/>
            <w:tcBorders>
              <w:bottom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98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w w:val="94"/>
              </w:rPr>
              <w:t>Credit Losses</w:t>
            </w:r>
          </w:p>
        </w:tc>
        <w:tc>
          <w:tcPr>
            <w:tcW w:w="12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Cost</w:t>
            </w:r>
          </w:p>
        </w:tc>
      </w:tr>
      <w:tr>
        <w:trPr>
          <w:trHeight w:val="190"/>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80" w:type="dxa"/>
            <w:vAlign w:val="bottom"/>
            <w:gridSpan w:val="5"/>
          </w:tcPr>
          <w:p>
            <w:pPr>
              <w:ind w:left="680"/>
              <w:spacing w:after="0"/>
              <w:rPr>
                <w:sz w:val="20"/>
                <w:szCs w:val="20"/>
                <w:color w:val="auto"/>
              </w:rPr>
            </w:pPr>
            <w:r>
              <w:rPr>
                <w:rFonts w:ascii="Arial" w:cs="Arial" w:eastAsia="Arial" w:hAnsi="Arial"/>
                <w:sz w:val="14"/>
                <w:szCs w:val="14"/>
                <w:b w:val="1"/>
                <w:bCs w:val="1"/>
                <w:color w:val="auto"/>
              </w:rPr>
              <w:t>(Dollars in millions)</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9"/>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65"/>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25"/>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10"/>
        </w:trPr>
        <w:tc>
          <w:tcPr>
            <w:tcW w:w="2300" w:type="dxa"/>
            <w:vAlign w:val="bottom"/>
          </w:tcPr>
          <w:p>
            <w:pPr>
              <w:ind w:left="20"/>
              <w:spacing w:after="0"/>
              <w:rPr>
                <w:sz w:val="20"/>
                <w:szCs w:val="20"/>
                <w:color w:val="auto"/>
              </w:rPr>
            </w:pPr>
            <w:r>
              <w:rPr>
                <w:rFonts w:ascii="Arial" w:cs="Arial" w:eastAsia="Arial" w:hAnsi="Arial"/>
                <w:sz w:val="16"/>
                <w:szCs w:val="16"/>
                <w:color w:val="auto"/>
              </w:rPr>
              <w:t>Agricultural</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4,388</w:t>
            </w:r>
          </w:p>
        </w:tc>
        <w:tc>
          <w:tcPr>
            <w:tcW w:w="120" w:type="dxa"/>
            <w:vAlign w:val="bottom"/>
          </w:tcPr>
          <w:p>
            <w:pPr>
              <w:spacing w:after="0"/>
              <w:rPr>
                <w:sz w:val="18"/>
                <w:szCs w:val="18"/>
                <w:color w:val="auto"/>
              </w:rPr>
            </w:pPr>
          </w:p>
        </w:tc>
        <w:tc>
          <w:tcPr>
            <w:tcW w:w="1060" w:type="dxa"/>
            <w:vAlign w:val="bottom"/>
          </w:tcPr>
          <w:p>
            <w:pPr>
              <w:jc w:val="right"/>
              <w:ind w:right="124"/>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14</w:t>
            </w:r>
          </w:p>
        </w:tc>
        <w:tc>
          <w:tcPr>
            <w:tcW w:w="1220" w:type="dxa"/>
            <w:vAlign w:val="bottom"/>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4,365</w:t>
            </w:r>
          </w:p>
        </w:tc>
        <w:tc>
          <w:tcPr>
            <w:tcW w:w="100" w:type="dxa"/>
            <w:vAlign w:val="bottom"/>
          </w:tcPr>
          <w:p>
            <w:pPr>
              <w:spacing w:after="0"/>
              <w:rPr>
                <w:sz w:val="18"/>
                <w:szCs w:val="18"/>
                <w:color w:val="auto"/>
              </w:rPr>
            </w:pPr>
          </w:p>
        </w:tc>
        <w:tc>
          <w:tcPr>
            <w:tcW w:w="1080" w:type="dxa"/>
            <w:vAlign w:val="bottom"/>
          </w:tcPr>
          <w:p>
            <w:pPr>
              <w:jc w:val="right"/>
              <w:ind w:right="124"/>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15</w:t>
            </w:r>
          </w:p>
        </w:tc>
        <w:tc>
          <w:tcPr>
            <w:tcW w:w="1200" w:type="dxa"/>
            <w:vAlign w:val="bottom"/>
          </w:tcPr>
          <w:p>
            <w:pPr>
              <w:jc w:val="right"/>
              <w:spacing w:after="0"/>
              <w:rPr>
                <w:sz w:val="20"/>
                <w:szCs w:val="20"/>
                <w:color w:val="auto"/>
              </w:rPr>
            </w:pPr>
            <w:r>
              <w:rPr>
                <w:rFonts w:ascii="Arial" w:cs="Arial" w:eastAsia="Arial" w:hAnsi="Arial"/>
                <w:sz w:val="16"/>
                <w:szCs w:val="16"/>
                <w:color w:val="auto"/>
              </w:rPr>
              <w:t>0.3 %</w:t>
            </w:r>
          </w:p>
        </w:tc>
      </w:tr>
      <w:tr>
        <w:trPr>
          <w:trHeight w:val="212"/>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5,042</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5,116</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08"/>
        </w:trPr>
        <w:tc>
          <w:tcPr>
            <w:tcW w:w="2300" w:type="dxa"/>
            <w:vAlign w:val="bottom"/>
          </w:tcPr>
          <w:p>
            <w:pPr>
              <w:ind w:left="1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22,959</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65"/>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220" w:type="dxa"/>
            <w:vAlign w:val="bottom"/>
          </w:tcPr>
          <w:p>
            <w:pPr>
              <w:jc w:val="right"/>
              <w:spacing w:after="0"/>
              <w:rPr>
                <w:sz w:val="20"/>
                <w:szCs w:val="20"/>
                <w:color w:val="auto"/>
              </w:rPr>
            </w:pPr>
            <w:r>
              <w:rPr>
                <w:rFonts w:ascii="Arial" w:cs="Arial" w:eastAsia="Arial" w:hAnsi="Arial"/>
                <w:sz w:val="16"/>
                <w:szCs w:val="16"/>
                <w:color w:val="auto"/>
              </w:rPr>
              <w:t>0.6 %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23,055</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425"/>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w:t>
            </w:r>
          </w:p>
        </w:tc>
        <w:tc>
          <w:tcPr>
            <w:tcW w:w="1200" w:type="dxa"/>
            <w:vAlign w:val="bottom"/>
          </w:tcPr>
          <w:p>
            <w:pPr>
              <w:jc w:val="right"/>
              <w:spacing w:after="0"/>
              <w:rPr>
                <w:sz w:val="20"/>
                <w:szCs w:val="20"/>
                <w:color w:val="auto"/>
              </w:rPr>
            </w:pPr>
            <w:r>
              <w:rPr>
                <w:rFonts w:ascii="Arial" w:cs="Arial" w:eastAsia="Arial" w:hAnsi="Arial"/>
                <w:sz w:val="16"/>
                <w:szCs w:val="16"/>
                <w:color w:val="auto"/>
              </w:rPr>
              <w:t>0.5 %</w:t>
            </w:r>
          </w:p>
        </w:tc>
      </w:tr>
      <w:tr>
        <w:trPr>
          <w:trHeight w:val="20"/>
        </w:trPr>
        <w:tc>
          <w:tcPr>
            <w:tcW w:w="2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mortgage loan portfolio is diversified by both geographic region and property type to reduce the risk of concentration. The percentage of our commercial and agricultural mortgage loan portfolios collateralized by properties located in the U.S. were 98% at both March 31, 2023 and December 31, 2022. The remainder was collateralized by properties located outside of the U.S. At March 31, 2023, the carrying value as a percentage of total commercial and agricultural mortgage loans for the top three states in the U.S. was 18% for California, 13% for Texas and 9% for Florida. Additionally, we manage risk when originating commercial and agricultural mortgage loans by generally lending up to 75% of the estimated fair value of the underlying real estate collateral.</w:t>
      </w:r>
    </w:p>
    <w:p>
      <w:pPr>
        <w:spacing w:after="0" w:line="90"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residential mortgage loan portfolio is managed in a similar manner to reduce risk of concentration. All residential mortgage loans were collateralized by properties located in the U.S. at both March 31, 2023 and December 31, 2022. At March 31, 2023, the carrying value as a percentage of total residential mortgage loans for the top three states in the U.S. was 39% for California, 11% for Florida and 7% for New York.</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firstLine="318"/>
        <w:spacing w:after="0" w:line="294" w:lineRule="auto"/>
        <w:rPr>
          <w:sz w:val="20"/>
          <w:szCs w:val="20"/>
          <w:color w:val="auto"/>
        </w:rPr>
      </w:pPr>
      <w:r>
        <w:rPr>
          <w:rFonts w:ascii="Arial" w:cs="Arial" w:eastAsia="Arial" w:hAnsi="Arial"/>
          <w:sz w:val="17"/>
          <w:szCs w:val="17"/>
          <w:i w:val="1"/>
          <w:iCs w:val="1"/>
          <w:color w:val="auto"/>
        </w:rPr>
        <w:t>Commercial Mortgage Loans by Geographic Region and Property Type</w:t>
      </w:r>
      <w:r>
        <w:rPr>
          <w:rFonts w:ascii="Arial" w:cs="Arial" w:eastAsia="Arial" w:hAnsi="Arial"/>
          <w:sz w:val="17"/>
          <w:szCs w:val="17"/>
          <w:color w:val="auto"/>
        </w:rPr>
        <w:t>. Commercial mortgage loans are the largest component of the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invested asset class. The diversification across geographic regions and property types of commercial mortgage loans was as follows at: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3"/>
          </w:tcPr>
          <w:p>
            <w:pPr>
              <w:ind w:left="700"/>
              <w:spacing w:after="0"/>
              <w:rPr>
                <w:sz w:val="20"/>
                <w:szCs w:val="20"/>
                <w:color w:val="auto"/>
              </w:rPr>
            </w:pPr>
            <w:r>
              <w:rPr>
                <w:rFonts w:ascii="Arial" w:cs="Arial" w:eastAsia="Arial" w:hAnsi="Arial"/>
                <w:sz w:val="14"/>
                <w:szCs w:val="14"/>
                <w:b w:val="1"/>
                <w:bCs w:val="1"/>
                <w:color w:val="auto"/>
                <w:w w:val="96"/>
              </w:rPr>
              <w:t>March 31, 2023</w:t>
            </w: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3"/>
          </w:tcPr>
          <w:p>
            <w:pPr>
              <w:jc w:val="right"/>
              <w:ind w:right="785"/>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4"/>
        </w:trPr>
        <w:tc>
          <w:tcPr>
            <w:tcW w:w="5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5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ind w:left="60"/>
              <w:spacing w:after="0" w:line="130" w:lineRule="exact"/>
              <w:rPr>
                <w:sz w:val="20"/>
                <w:szCs w:val="20"/>
                <w:color w:val="auto"/>
              </w:rPr>
            </w:pPr>
            <w:r>
              <w:rPr>
                <w:rFonts w:ascii="Arial" w:cs="Arial" w:eastAsia="Arial" w:hAnsi="Arial"/>
                <w:sz w:val="14"/>
                <w:szCs w:val="14"/>
                <w:b w:val="1"/>
                <w:bCs w:val="1"/>
                <w:color w:val="auto"/>
                <w:w w:val="94"/>
              </w:rPr>
              <w:t>% of</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1"/>
                <w:szCs w:val="11"/>
                <w:color w:val="auto"/>
              </w:rPr>
            </w:pPr>
          </w:p>
        </w:tc>
        <w:tc>
          <w:tcPr>
            <w:tcW w:w="1440" w:type="dxa"/>
            <w:vAlign w:val="bottom"/>
          </w:tcPr>
          <w:p>
            <w:pPr>
              <w:jc w:val="right"/>
              <w:ind w:right="505"/>
              <w:spacing w:after="0" w:line="130"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89"/>
        </w:trPr>
        <w:tc>
          <w:tcPr>
            <w:tcW w:w="5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vMerge w:val="continue"/>
          </w:tcPr>
          <w:p>
            <w:pPr>
              <w:spacing w:after="0"/>
              <w:rPr>
                <w:sz w:val="16"/>
                <w:szCs w:val="16"/>
                <w:color w:val="auto"/>
              </w:rPr>
            </w:pP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Total</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5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80" w:type="dxa"/>
            <w:vAlign w:val="bottom"/>
            <w:gridSpan w:val="4"/>
          </w:tcPr>
          <w:p>
            <w:pPr>
              <w:jc w:val="right"/>
              <w:ind w:right="681"/>
              <w:spacing w:after="0"/>
              <w:rPr>
                <w:sz w:val="20"/>
                <w:szCs w:val="20"/>
                <w:color w:val="auto"/>
              </w:rPr>
            </w:pPr>
            <w:r>
              <w:rPr>
                <w:rFonts w:ascii="Arial" w:cs="Arial" w:eastAsia="Arial" w:hAnsi="Arial"/>
                <w:sz w:val="14"/>
                <w:szCs w:val="14"/>
                <w:b w:val="1"/>
                <w:bCs w:val="1"/>
                <w:color w:val="auto"/>
                <w:w w:val="92"/>
              </w:rPr>
              <w:t>(Dollars in millions)</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Geographic region: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Arial" w:cs="Arial" w:eastAsia="Arial" w:hAnsi="Arial"/>
                <w:sz w:val="16"/>
                <w:szCs w:val="16"/>
                <w:color w:val="auto"/>
              </w:rPr>
              <w:t>South Atlantic</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2,851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21.1 %</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3,026</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22.3 %</w:t>
            </w:r>
          </w:p>
        </w:tc>
        <w:tc>
          <w:tcPr>
            <w:tcW w:w="0" w:type="dxa"/>
            <w:vAlign w:val="bottom"/>
          </w:tcPr>
          <w:p>
            <w:pPr>
              <w:spacing w:after="0"/>
              <w:rPr>
                <w:sz w:val="1"/>
                <w:szCs w:val="1"/>
                <w:color w:val="auto"/>
              </w:rPr>
            </w:pPr>
          </w:p>
        </w:tc>
      </w:tr>
      <w:tr>
        <w:trPr>
          <w:trHeight w:val="214"/>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Pacific</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2,765</w:t>
            </w:r>
          </w:p>
        </w:tc>
        <w:tc>
          <w:tcPr>
            <w:tcW w:w="154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09"/>
        </w:trPr>
        <w:tc>
          <w:tcPr>
            <w:tcW w:w="5420" w:type="dxa"/>
            <w:vAlign w:val="bottom"/>
          </w:tcPr>
          <w:p>
            <w:pPr>
              <w:ind w:left="20"/>
              <w:spacing w:after="0"/>
              <w:rPr>
                <w:sz w:val="20"/>
                <w:szCs w:val="20"/>
                <w:color w:val="auto"/>
              </w:rPr>
            </w:pPr>
            <w:r>
              <w:rPr>
                <w:rFonts w:ascii="Arial" w:cs="Arial" w:eastAsia="Arial" w:hAnsi="Arial"/>
                <w:sz w:val="16"/>
                <w:szCs w:val="16"/>
                <w:color w:val="auto"/>
              </w:rPr>
              <w:t>Middle Atlantic</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2,185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2,344</w:t>
            </w:r>
          </w:p>
        </w:tc>
        <w:tc>
          <w:tcPr>
            <w:tcW w:w="1540" w:type="dxa"/>
            <w:vAlign w:val="bottom"/>
            <w:gridSpan w:val="2"/>
          </w:tcPr>
          <w:p>
            <w:pPr>
              <w:jc w:val="right"/>
              <w:ind w:right="125"/>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5"/>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West South Central</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1,642</w:t>
            </w:r>
          </w:p>
        </w:tc>
        <w:tc>
          <w:tcPr>
            <w:tcW w:w="154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Arial" w:cs="Arial" w:eastAsia="Arial" w:hAnsi="Arial"/>
                <w:sz w:val="16"/>
                <w:szCs w:val="16"/>
                <w:color w:val="auto"/>
              </w:rPr>
              <w:t>Mountain</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1,145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1,140</w:t>
            </w:r>
          </w:p>
        </w:tc>
        <w:tc>
          <w:tcPr>
            <w:tcW w:w="1540" w:type="dxa"/>
            <w:vAlign w:val="bottom"/>
            <w:gridSpan w:val="2"/>
          </w:tcPr>
          <w:p>
            <w:pPr>
              <w:jc w:val="right"/>
              <w:ind w:right="125"/>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4"/>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East North Central</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794</w:t>
            </w:r>
          </w:p>
        </w:tc>
        <w:tc>
          <w:tcPr>
            <w:tcW w:w="154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9"/>
        </w:trPr>
        <w:tc>
          <w:tcPr>
            <w:tcW w:w="5420" w:type="dxa"/>
            <w:vAlign w:val="bottom"/>
          </w:tcPr>
          <w:p>
            <w:pPr>
              <w:ind w:left="20"/>
              <w:spacing w:after="0"/>
              <w:rPr>
                <w:sz w:val="20"/>
                <w:szCs w:val="20"/>
                <w:color w:val="auto"/>
              </w:rPr>
            </w:pPr>
            <w:r>
              <w:rPr>
                <w:rFonts w:ascii="Arial" w:cs="Arial" w:eastAsia="Arial" w:hAnsi="Arial"/>
                <w:sz w:val="16"/>
                <w:szCs w:val="16"/>
                <w:color w:val="auto"/>
              </w:rPr>
              <w:t>New England</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741</w:t>
            </w:r>
          </w:p>
        </w:tc>
        <w:tc>
          <w:tcPr>
            <w:tcW w:w="1540" w:type="dxa"/>
            <w:vAlign w:val="bottom"/>
            <w:gridSpan w:val="2"/>
          </w:tcPr>
          <w:p>
            <w:pPr>
              <w:jc w:val="right"/>
              <w:ind w:right="125"/>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4"/>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390</w:t>
            </w:r>
          </w:p>
        </w:tc>
        <w:tc>
          <w:tcPr>
            <w:tcW w:w="154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Arial" w:cs="Arial" w:eastAsia="Arial" w:hAnsi="Arial"/>
                <w:sz w:val="16"/>
                <w:szCs w:val="16"/>
                <w:color w:val="auto"/>
              </w:rPr>
              <w:t>West North Central</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361</w:t>
            </w:r>
          </w:p>
        </w:tc>
        <w:tc>
          <w:tcPr>
            <w:tcW w:w="1540" w:type="dxa"/>
            <w:vAlign w:val="bottom"/>
            <w:gridSpan w:val="2"/>
          </w:tcPr>
          <w:p>
            <w:pPr>
              <w:jc w:val="right"/>
              <w:ind w:right="125"/>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4"/>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East South Central</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306</w:t>
            </w:r>
          </w:p>
        </w:tc>
        <w:tc>
          <w:tcPr>
            <w:tcW w:w="154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0"/>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Multi-region and Other</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65</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28"/>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recorded investment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8"/>
              </w:rPr>
              <w:t>100.0 %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13,574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allowance for credit losses</w:t>
            </w: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jc w:val="right"/>
              <w:ind w:right="1"/>
              <w:spacing w:after="0"/>
              <w:rPr>
                <w:sz w:val="20"/>
                <w:szCs w:val="20"/>
                <w:color w:val="auto"/>
              </w:rPr>
            </w:pPr>
            <w:r>
              <w:rPr>
                <w:rFonts w:ascii="Arial" w:cs="Arial" w:eastAsia="Arial" w:hAnsi="Arial"/>
                <w:sz w:val="16"/>
                <w:szCs w:val="16"/>
                <w:color w:val="auto"/>
              </w:rPr>
              <w:t>49</w:t>
            </w: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42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5420" w:type="dxa"/>
            <w:vAlign w:val="bottom"/>
            <w:tcBorders>
              <w:bottom w:val="single" w:sz="8" w:color="CCEEFF"/>
            </w:tcBorders>
            <w:shd w:val="clear" w:color="auto" w:fill="CCEEFF"/>
          </w:tcPr>
          <w:p>
            <w:pPr>
              <w:ind w:left="180"/>
              <w:spacing w:after="0" w:line="206" w:lineRule="exact"/>
              <w:rPr>
                <w:sz w:val="20"/>
                <w:szCs w:val="20"/>
                <w:color w:val="auto"/>
              </w:rPr>
            </w:pPr>
            <w:r>
              <w:rPr>
                <w:rFonts w:ascii="Arial" w:cs="Arial" w:eastAsia="Arial" w:hAnsi="Arial"/>
                <w:sz w:val="18"/>
                <w:szCs w:val="18"/>
                <w:color w:val="auto"/>
              </w:rPr>
              <w:t>Carrying value, net of allowance for credit losses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13,465</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13,525</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Property type: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Apartment</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5,366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39.5 %</w:t>
            </w: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Arial" w:cs="Arial" w:eastAsia="Arial" w:hAnsi="Arial"/>
                <w:sz w:val="16"/>
                <w:szCs w:val="16"/>
                <w:color w:val="auto"/>
              </w:rPr>
              <w:t>Office</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3,357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3,375</w:t>
            </w:r>
          </w:p>
        </w:tc>
        <w:tc>
          <w:tcPr>
            <w:tcW w:w="1540" w:type="dxa"/>
            <w:vAlign w:val="bottom"/>
            <w:gridSpan w:val="2"/>
          </w:tcPr>
          <w:p>
            <w:pPr>
              <w:jc w:val="right"/>
              <w:ind w:right="125"/>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15"/>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Industrial</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2,051</w:t>
            </w:r>
          </w:p>
        </w:tc>
        <w:tc>
          <w:tcPr>
            <w:tcW w:w="154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9"/>
        </w:trPr>
        <w:tc>
          <w:tcPr>
            <w:tcW w:w="5420" w:type="dxa"/>
            <w:vAlign w:val="bottom"/>
          </w:tcPr>
          <w:p>
            <w:pPr>
              <w:ind w:left="20"/>
              <w:spacing w:after="0"/>
              <w:rPr>
                <w:sz w:val="20"/>
                <w:szCs w:val="20"/>
                <w:color w:val="auto"/>
              </w:rPr>
            </w:pPr>
            <w:r>
              <w:rPr>
                <w:rFonts w:ascii="Arial" w:cs="Arial" w:eastAsia="Arial" w:hAnsi="Arial"/>
                <w:sz w:val="16"/>
                <w:szCs w:val="16"/>
                <w:color w:val="auto"/>
              </w:rPr>
              <w:t>Retail</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1,855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ind w:right="121"/>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1,934</w:t>
            </w:r>
          </w:p>
        </w:tc>
        <w:tc>
          <w:tcPr>
            <w:tcW w:w="1540" w:type="dxa"/>
            <w:vAlign w:val="bottom"/>
            <w:gridSpan w:val="2"/>
          </w:tcPr>
          <w:p>
            <w:pPr>
              <w:jc w:val="right"/>
              <w:ind w:right="125"/>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2"/>
        </w:trPr>
        <w:tc>
          <w:tcPr>
            <w:tcW w:w="5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Hotel</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848</w:t>
            </w:r>
          </w:p>
        </w:tc>
        <w:tc>
          <w:tcPr>
            <w:tcW w:w="10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8"/>
        </w:trPr>
        <w:tc>
          <w:tcPr>
            <w:tcW w:w="5420" w:type="dxa"/>
            <w:vAlign w:val="bottom"/>
          </w:tcPr>
          <w:p>
            <w:pPr>
              <w:ind w:left="20"/>
              <w:spacing w:after="0"/>
              <w:rPr>
                <w:sz w:val="20"/>
                <w:szCs w:val="20"/>
                <w:color w:val="auto"/>
              </w:rPr>
            </w:pPr>
            <w:r>
              <w:rPr>
                <w:rFonts w:ascii="Arial" w:cs="Arial" w:eastAsia="Arial" w:hAnsi="Arial"/>
                <w:sz w:val="16"/>
                <w:szCs w:val="16"/>
                <w:color w:val="auto"/>
              </w:rPr>
              <w:t>Total recorded investment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13,529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88"/>
              </w:rPr>
              <w:t>100.0 %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ind w:right="1"/>
              <w:spacing w:after="0"/>
              <w:rPr>
                <w:sz w:val="20"/>
                <w:szCs w:val="20"/>
                <w:color w:val="auto"/>
              </w:rPr>
            </w:pPr>
            <w:r>
              <w:rPr>
                <w:rFonts w:ascii="Arial" w:cs="Arial" w:eastAsia="Arial" w:hAnsi="Arial"/>
                <w:sz w:val="16"/>
                <w:szCs w:val="16"/>
                <w:color w:val="auto"/>
              </w:rPr>
              <w:t>13,574</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2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Less: allowance for credit losses</w:t>
            </w: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
              <w:spacing w:after="0" w:line="176" w:lineRule="exact"/>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420" w:type="dxa"/>
            <w:vAlign w:val="bottom"/>
          </w:tcPr>
          <w:p>
            <w:pPr>
              <w:ind w:left="180"/>
              <w:spacing w:after="0"/>
              <w:rPr>
                <w:sz w:val="20"/>
                <w:szCs w:val="20"/>
                <w:color w:val="auto"/>
              </w:rPr>
            </w:pPr>
            <w:r>
              <w:rPr>
                <w:rFonts w:ascii="Arial" w:cs="Arial" w:eastAsia="Arial" w:hAnsi="Arial"/>
                <w:sz w:val="16"/>
                <w:szCs w:val="16"/>
                <w:color w:val="auto"/>
              </w:rPr>
              <w:t>Carrying value, net of allowance for credit losses</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13,525</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Mortgage Loan Credit Quality — Monitoring Process. </w:t>
      </w:r>
      <w:r>
        <w:rPr>
          <w:rFonts w:ascii="Arial" w:cs="Arial" w:eastAsia="Arial" w:hAnsi="Arial"/>
          <w:sz w:val="18"/>
          <w:szCs w:val="18"/>
          <w:color w:val="auto"/>
        </w:rPr>
        <w:t>Our mortgage loan investments are monitored on an ongoing basis, including a review of loans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current, past due, restructured and under foreclosure. Quarterly, we conduct a formal review of the portfolio with our investment managers. See Note 6 of the Notes to the Interim Condensed Consolidated Financial Statements for information on mortgage loans by credit quality indicator, past due status, nonaccrual status and modified mortgage loans.</w:t>
      </w:r>
    </w:p>
    <w:p>
      <w:pPr>
        <w:spacing w:after="0" w:line="8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commercial mortgage loans are reviewed on an ongoing basis. These reviews may include an analysis of the property financial statements and rent roll, lease rollover analysis, property inspections, market analysis, estimated valuations of the underlying collateral, loan-to-value ratios, debt-service coverage ratios and tenant creditworthiness. The monitoring process focuses on higher risk loans, which include those that are classified as restructured, delinquent or in foreclosure, as well as loans with higher loan-to-value ratios and lower debt-service coverage ratios. The monitoring process for agricultural mortgage loans is generally similar, with a focus on higher risk loans, such as loans with higher loan-to-value ratios, including reviews on a geographic and sector basis. Our residential mortgage loans are reviewed on an ongoing basis. See Note 6 of the Notes to the Interim Condensed Consolidated Financial Statements for information on our evaluation of residential mortgage loans and related measurement of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Loan-to-value ratios and debt-service coverage ratios are common measures in the assessment of the quality of commercial mortgage loans. Loan-to-value ratios are a common measure in the assessment of the quality of agricultural mortgage loans. Loan-to-value ratios compare the amount of the loan to the estimated fair value of the underlying collateral. A loan-to-value ratio greater than 100% indicates that the loan amount is greater than the collateral value. A loan-to-value ratio of less than 100% indicates an excess of collateral value over the loan amount. Generally, the higher the loan-to-value ratio, the higher the risk of experiencing a credit loss. The debt-service coverage ratio compares a property’s net operating income to amounts needed to service the principal and interest due under the loan. Generally, the lower the debt-service coverage ratio, the higher the risk of experiencing a credit loss. For our commercial mortgage loans, our average loan-to-value ratio was 57% at both March 31, 2023 and December 31, 2022, and our average debt-service coverage ratio was 2.2x at both March 31, 2023 and December 31, 2022. The debt-service coverage ratio, as well as the values utilized in calculating the ratio, is updated annually on a rolling basis, with a portion of the portfolio updated each quarter. In addition, the loan-to-value ratio is routinely updated for all but the lowest risk loans as part of our ongoing review of our commercial mortgage loan portfolio. For our agricultural mortgage loans, our average loan-to-value ratio was 48% at both March 31, 2023 and December 31, 2022. The values utilized in calculating the agricultural mortgage loan loan-to-value ratio are developed in connection with the ongoing review of the agricultural loan portfolio and are routinely updated.</w:t>
      </w:r>
    </w:p>
    <w:p>
      <w:pPr>
        <w:spacing w:after="0" w:line="2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i w:val="1"/>
          <w:iCs w:val="1"/>
          <w:color w:val="auto"/>
        </w:rPr>
        <w:t>Mortgage Loan Allowance for Credit Losses</w:t>
      </w:r>
      <w:r>
        <w:rPr>
          <w:rFonts w:ascii="Arial" w:cs="Arial" w:eastAsia="Arial" w:hAnsi="Arial"/>
          <w:sz w:val="18"/>
          <w:szCs w:val="18"/>
          <w:color w:val="auto"/>
        </w:rPr>
        <w:t>. See Note 6 of the Notes to the Interim Condensed Consolidated Financial Statements for information about</w:t>
      </w:r>
      <w:r>
        <w:rPr>
          <w:rFonts w:ascii="Arial" w:cs="Arial" w:eastAsia="Arial" w:hAnsi="Arial"/>
          <w:sz w:val="18"/>
          <w:szCs w:val="18"/>
          <w:i w:val="1"/>
          <w:iCs w:val="1"/>
          <w:color w:val="auto"/>
        </w:rPr>
        <w:t xml:space="preserve"> </w:t>
      </w:r>
      <w:r>
        <w:rPr>
          <w:rFonts w:ascii="Arial" w:cs="Arial" w:eastAsia="Arial" w:hAnsi="Arial"/>
          <w:sz w:val="18"/>
          <w:szCs w:val="18"/>
          <w:color w:val="auto"/>
        </w:rPr>
        <w:t>how the allowance for credit losses is established and monitored, as well as activity in and balances of the allowance for credit losses for the three months ended March 31, 2023 and 2022.</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Partnerships and Limited Liability Companies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values of our limited partnerships and LLCs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 2023</w:t>
            </w:r>
          </w:p>
        </w:tc>
        <w:tc>
          <w:tcPr>
            <w:tcW w:w="200" w:type="dxa"/>
            <w:vAlign w:val="bottom"/>
          </w:tcPr>
          <w:p>
            <w:pPr>
              <w:spacing w:after="0"/>
              <w:rPr>
                <w:sz w:val="15"/>
                <w:szCs w:val="15"/>
                <w:color w:val="auto"/>
              </w:rPr>
            </w:pPr>
          </w:p>
        </w:tc>
        <w:tc>
          <w:tcPr>
            <w:tcW w:w="1580" w:type="dxa"/>
            <w:vAlign w:val="bottom"/>
          </w:tcPr>
          <w:p>
            <w:pPr>
              <w:jc w:val="right"/>
              <w:ind w:right="243"/>
              <w:spacing w:after="0"/>
              <w:rPr>
                <w:sz w:val="20"/>
                <w:szCs w:val="20"/>
                <w:color w:val="auto"/>
              </w:rPr>
            </w:pPr>
            <w:r>
              <w:rPr>
                <w:rFonts w:ascii="Arial" w:cs="Arial" w:eastAsia="Arial" w:hAnsi="Arial"/>
                <w:sz w:val="14"/>
                <w:szCs w:val="14"/>
                <w:b w:val="1"/>
                <w:bCs w:val="1"/>
                <w:color w:val="auto"/>
                <w:w w:val="98"/>
              </w:rPr>
              <w:t>December 31, 2022</w:t>
            </w:r>
          </w:p>
        </w:tc>
      </w:tr>
      <w:tr>
        <w:trPr>
          <w:trHeight w:val="24"/>
        </w:trPr>
        <w:tc>
          <w:tcPr>
            <w:tcW w:w="7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4"/>
          </w:tcPr>
          <w:p>
            <w:pPr>
              <w:spacing w:after="0"/>
              <w:rPr>
                <w:sz w:val="2"/>
                <w:szCs w:val="2"/>
                <w:color w:val="auto"/>
              </w:rPr>
            </w:pPr>
          </w:p>
        </w:tc>
      </w:tr>
      <w:tr>
        <w:trPr>
          <w:trHeight w:val="185"/>
        </w:trPr>
        <w:tc>
          <w:tcPr>
            <w:tcW w:w="7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gridSpan w:val="4"/>
          </w:tcPr>
          <w:p>
            <w:pPr>
              <w:jc w:val="right"/>
              <w:ind w:right="1383"/>
              <w:spacing w:after="0"/>
              <w:rPr>
                <w:sz w:val="20"/>
                <w:szCs w:val="20"/>
                <w:color w:val="auto"/>
              </w:rPr>
            </w:pPr>
            <w:r>
              <w:rPr>
                <w:rFonts w:ascii="Arial" w:cs="Arial" w:eastAsia="Arial" w:hAnsi="Arial"/>
                <w:sz w:val="14"/>
                <w:szCs w:val="14"/>
                <w:b w:val="1"/>
                <w:bCs w:val="1"/>
                <w:color w:val="auto"/>
              </w:rPr>
              <w:t>(In millions)</w:t>
            </w:r>
          </w:p>
        </w:tc>
      </w:tr>
      <w:tr>
        <w:trPr>
          <w:trHeight w:val="219"/>
        </w:trPr>
        <w:tc>
          <w:tcPr>
            <w:tcW w:w="7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limited partnerships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3,941</w:t>
            </w:r>
          </w:p>
        </w:tc>
      </w:tr>
      <w:tr>
        <w:trPr>
          <w:trHeight w:val="21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Real estate limited partnerships and LLCs (1)</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w:t>
            </w:r>
          </w:p>
        </w:tc>
      </w:tr>
      <w:tr>
        <w:trPr>
          <w:trHeight w:val="233"/>
        </w:trPr>
        <w:tc>
          <w:tcPr>
            <w:tcW w:w="7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4,775</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0" w:lineRule="exact"/>
        <w:rPr>
          <w:sz w:val="20"/>
          <w:szCs w:val="20"/>
          <w:color w:val="auto"/>
        </w:rPr>
      </w:pPr>
    </w:p>
    <w:p>
      <w:pPr>
        <w:ind w:left="320" w:hanging="314"/>
        <w:spacing w:after="0" w:line="264" w:lineRule="auto"/>
        <w:tabs>
          <w:tab w:leader="none" w:pos="31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estimated fair value of real estate limited partnerships and LLCs was $974 million and $987 million at March 31, 2023 and December 31, 2022, respectively.</w:t>
      </w:r>
    </w:p>
    <w:p>
      <w:pPr>
        <w:spacing w:after="0" w:line="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Cash distributions on these investments are generated from investment gains, operating income from the underlying investments of the funds and liquidation of the underlying investments of the funds. We estimate that the underlying investment of the private equity funds will typically be liquidated over the next 10 to 20 years.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Invested Assets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carrying value of our other invested assets by type was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3"/>
          </w:tcPr>
          <w:p>
            <w:pPr>
              <w:ind w:left="800"/>
              <w:spacing w:after="0"/>
              <w:rPr>
                <w:sz w:val="20"/>
                <w:szCs w:val="20"/>
                <w:color w:val="auto"/>
              </w:rPr>
            </w:pPr>
            <w:r>
              <w:rPr>
                <w:rFonts w:ascii="Arial" w:cs="Arial" w:eastAsia="Arial" w:hAnsi="Arial"/>
                <w:sz w:val="14"/>
                <w:szCs w:val="14"/>
                <w:b w:val="1"/>
                <w:bCs w:val="1"/>
                <w:color w:val="auto"/>
                <w:w w:val="98"/>
              </w:rPr>
              <w:t>March 31, 2023</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gridSpan w:val="3"/>
          </w:tcPr>
          <w:p>
            <w:pPr>
              <w:ind w:left="700"/>
              <w:spacing w:after="0"/>
              <w:rPr>
                <w:sz w:val="20"/>
                <w:szCs w:val="20"/>
                <w:color w:val="auto"/>
              </w:rPr>
            </w:pPr>
            <w:r>
              <w:rPr>
                <w:rFonts w:ascii="Arial" w:cs="Arial" w:eastAsia="Arial" w:hAnsi="Arial"/>
                <w:sz w:val="14"/>
                <w:szCs w:val="14"/>
                <w:b w:val="1"/>
                <w:bCs w:val="1"/>
                <w:color w:val="auto"/>
                <w:w w:val="91"/>
              </w:rPr>
              <w:t>December 31, 2022</w:t>
            </w:r>
          </w:p>
        </w:tc>
        <w:tc>
          <w:tcPr>
            <w:tcW w:w="940" w:type="dxa"/>
            <w:vAlign w:val="bottom"/>
          </w:tcPr>
          <w:p>
            <w:pPr>
              <w:spacing w:after="0"/>
              <w:rPr>
                <w:sz w:val="15"/>
                <w:szCs w:val="15"/>
                <w:color w:val="auto"/>
              </w:rPr>
            </w:pPr>
          </w:p>
        </w:tc>
      </w:tr>
      <w:tr>
        <w:trPr>
          <w:trHeight w:val="24"/>
        </w:trPr>
        <w:tc>
          <w:tcPr>
            <w:tcW w:w="4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0" w:type="dxa"/>
            <w:vAlign w:val="bottom"/>
            <w:gridSpan w:val="3"/>
          </w:tcPr>
          <w:p>
            <w:pPr>
              <w:spacing w:after="0"/>
              <w:rPr>
                <w:sz w:val="2"/>
                <w:szCs w:val="2"/>
                <w:color w:val="auto"/>
              </w:rPr>
            </w:pPr>
          </w:p>
        </w:tc>
        <w:tc>
          <w:tcPr>
            <w:tcW w:w="1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880" w:type="dxa"/>
            <w:vAlign w:val="bottom"/>
            <w:gridSpan w:val="3"/>
          </w:tcPr>
          <w:p>
            <w:pPr>
              <w:spacing w:after="0"/>
              <w:rPr>
                <w:sz w:val="2"/>
                <w:szCs w:val="2"/>
                <w:color w:val="auto"/>
              </w:rPr>
            </w:pPr>
          </w:p>
        </w:tc>
        <w:tc>
          <w:tcPr>
            <w:tcW w:w="940" w:type="dxa"/>
            <w:vAlign w:val="bottom"/>
          </w:tcPr>
          <w:p>
            <w:pPr>
              <w:spacing w:after="0"/>
              <w:rPr>
                <w:sz w:val="2"/>
                <w:szCs w:val="2"/>
                <w:color w:val="auto"/>
              </w:rPr>
            </w:pPr>
          </w:p>
        </w:tc>
      </w:tr>
      <w:tr>
        <w:trPr>
          <w:trHeight w:val="130"/>
        </w:trPr>
        <w:tc>
          <w:tcPr>
            <w:tcW w:w="498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gridSpan w:val="3"/>
          </w:tcPr>
          <w:p>
            <w:pPr>
              <w:jc w:val="center"/>
              <w:ind w:right="920"/>
              <w:spacing w:after="0" w:line="130" w:lineRule="exact"/>
              <w:rPr>
                <w:sz w:val="20"/>
                <w:szCs w:val="20"/>
                <w:color w:val="auto"/>
              </w:rPr>
            </w:pPr>
            <w:r>
              <w:rPr>
                <w:rFonts w:ascii="Arial" w:cs="Arial" w:eastAsia="Arial" w:hAnsi="Arial"/>
                <w:sz w:val="14"/>
                <w:szCs w:val="14"/>
                <w:b w:val="1"/>
                <w:bCs w:val="1"/>
                <w:color w:val="auto"/>
                <w:w w:val="97"/>
              </w:rPr>
              <w:t>Carrying</w:t>
            </w:r>
          </w:p>
        </w:tc>
        <w:tc>
          <w:tcPr>
            <w:tcW w:w="1000" w:type="dxa"/>
            <w:vAlign w:val="bottom"/>
            <w:tcBorders>
              <w:top w:val="single" w:sz="8" w:color="auto"/>
            </w:tcBorders>
          </w:tcPr>
          <w:p>
            <w:pPr>
              <w:ind w:left="80"/>
              <w:spacing w:after="0" w:line="130" w:lineRule="exact"/>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80" w:type="dxa"/>
            <w:vAlign w:val="bottom"/>
            <w:tcBorders>
              <w:top w:val="single" w:sz="8" w:color="auto"/>
            </w:tcBorders>
            <w:gridSpan w:val="3"/>
          </w:tcPr>
          <w:p>
            <w:pPr>
              <w:jc w:val="center"/>
              <w:ind w:right="980"/>
              <w:spacing w:after="0" w:line="130" w:lineRule="exact"/>
              <w:rPr>
                <w:sz w:val="20"/>
                <w:szCs w:val="20"/>
                <w:color w:val="auto"/>
              </w:rPr>
            </w:pPr>
            <w:r>
              <w:rPr>
                <w:rFonts w:ascii="Arial" w:cs="Arial" w:eastAsia="Arial" w:hAnsi="Arial"/>
                <w:sz w:val="14"/>
                <w:szCs w:val="14"/>
                <w:b w:val="1"/>
                <w:bCs w:val="1"/>
                <w:color w:val="auto"/>
                <w:w w:val="93"/>
              </w:rPr>
              <w:t>Carrying</w:t>
            </w:r>
          </w:p>
        </w:tc>
        <w:tc>
          <w:tcPr>
            <w:tcW w:w="940" w:type="dxa"/>
            <w:vAlign w:val="bottom"/>
            <w:tcBorders>
              <w:top w:val="single" w:sz="8" w:color="auto"/>
            </w:tcBorders>
          </w:tcPr>
          <w:p>
            <w:pPr>
              <w:jc w:val="right"/>
              <w:ind w:right="542"/>
              <w:spacing w:after="0" w:line="130" w:lineRule="exact"/>
              <w:rPr>
                <w:sz w:val="20"/>
                <w:szCs w:val="20"/>
                <w:color w:val="auto"/>
              </w:rPr>
            </w:pPr>
            <w:r>
              <w:rPr>
                <w:rFonts w:ascii="Arial" w:cs="Arial" w:eastAsia="Arial" w:hAnsi="Arial"/>
                <w:sz w:val="14"/>
                <w:szCs w:val="14"/>
                <w:b w:val="1"/>
                <w:bCs w:val="1"/>
                <w:color w:val="auto"/>
              </w:rPr>
              <w:t>% of</w:t>
            </w:r>
          </w:p>
        </w:tc>
      </w:tr>
      <w:tr>
        <w:trPr>
          <w:trHeight w:val="189"/>
        </w:trPr>
        <w:tc>
          <w:tcPr>
            <w:tcW w:w="4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right="900"/>
              <w:spacing w:after="0"/>
              <w:rPr>
                <w:sz w:val="20"/>
                <w:szCs w:val="20"/>
                <w:color w:val="auto"/>
              </w:rPr>
            </w:pPr>
            <w:r>
              <w:rPr>
                <w:rFonts w:ascii="Arial" w:cs="Arial" w:eastAsia="Arial" w:hAnsi="Arial"/>
                <w:sz w:val="14"/>
                <w:szCs w:val="14"/>
                <w:b w:val="1"/>
                <w:bCs w:val="1"/>
                <w:color w:val="auto"/>
                <w:w w:val="90"/>
              </w:rPr>
              <w:t>Value</w:t>
            </w: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right="980"/>
              <w:spacing w:after="0"/>
              <w:rPr>
                <w:sz w:val="20"/>
                <w:szCs w:val="20"/>
                <w:color w:val="auto"/>
              </w:rPr>
            </w:pPr>
            <w:r>
              <w:rPr>
                <w:rFonts w:ascii="Arial" w:cs="Arial" w:eastAsia="Arial" w:hAnsi="Arial"/>
                <w:sz w:val="14"/>
                <w:szCs w:val="14"/>
                <w:b w:val="1"/>
                <w:bCs w:val="1"/>
                <w:color w:val="auto"/>
                <w:w w:val="90"/>
              </w:rPr>
              <w:t>Value</w:t>
            </w:r>
          </w:p>
        </w:tc>
        <w:tc>
          <w:tcPr>
            <w:tcW w:w="94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w w:val="89"/>
              </w:rPr>
              <w:t>Total</w:t>
            </w:r>
          </w:p>
        </w:tc>
      </w:tr>
      <w:tr>
        <w:trPr>
          <w:trHeight w:val="190"/>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60" w:type="dxa"/>
            <w:vAlign w:val="bottom"/>
            <w:gridSpan w:val="6"/>
          </w:tcPr>
          <w:p>
            <w:pPr>
              <w:ind w:left="460"/>
              <w:spacing w:after="0"/>
              <w:rPr>
                <w:sz w:val="20"/>
                <w:szCs w:val="20"/>
                <w:color w:val="auto"/>
              </w:rPr>
            </w:pPr>
            <w:r>
              <w:rPr>
                <w:rFonts w:ascii="Arial" w:cs="Arial" w:eastAsia="Arial" w:hAnsi="Arial"/>
                <w:sz w:val="14"/>
                <w:szCs w:val="14"/>
                <w:b w:val="1"/>
                <w:bCs w:val="1"/>
                <w:color w:val="auto"/>
              </w:rPr>
              <w:t>(Dollars in millions)</w:t>
            </w:r>
          </w:p>
        </w:tc>
        <w:tc>
          <w:tcPr>
            <w:tcW w:w="940" w:type="dxa"/>
            <w:vAlign w:val="bottom"/>
          </w:tcPr>
          <w:p>
            <w:pPr>
              <w:spacing w:after="0"/>
              <w:rPr>
                <w:sz w:val="16"/>
                <w:szCs w:val="16"/>
                <w:color w:val="auto"/>
              </w:rPr>
            </w:pPr>
          </w:p>
        </w:tc>
      </w:tr>
      <w:tr>
        <w:trPr>
          <w:trHeight w:val="431"/>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Freestanding derivatives with positive estimated fair values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2,642</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81.8 %</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2,284</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80.1 %</w:t>
            </w:r>
          </w:p>
        </w:tc>
      </w:tr>
      <w:tr>
        <w:trPr>
          <w:trHeight w:val="209"/>
        </w:trPr>
        <w:tc>
          <w:tcPr>
            <w:tcW w:w="4980" w:type="dxa"/>
            <w:vAlign w:val="bottom"/>
          </w:tcPr>
          <w:p>
            <w:pPr>
              <w:ind w:left="20"/>
              <w:spacing w:after="0"/>
              <w:rPr>
                <w:sz w:val="20"/>
                <w:szCs w:val="20"/>
                <w:color w:val="auto"/>
              </w:rPr>
            </w:pPr>
            <w:r>
              <w:rPr>
                <w:rFonts w:ascii="Arial" w:cs="Arial" w:eastAsia="Arial" w:hAnsi="Arial"/>
                <w:sz w:val="16"/>
                <w:szCs w:val="16"/>
                <w:color w:val="auto"/>
              </w:rPr>
              <w:t>Company-owned life insurance</w:t>
            </w:r>
          </w:p>
        </w:tc>
        <w:tc>
          <w:tcPr>
            <w:tcW w:w="26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ind w:right="103"/>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8.8</w:t>
            </w:r>
          </w:p>
        </w:tc>
      </w:tr>
      <w:tr>
        <w:trPr>
          <w:trHeight w:val="215"/>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 Home Loan Bank stock</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7.0</w:t>
            </w:r>
          </w:p>
        </w:tc>
      </w:tr>
      <w:tr>
        <w:trPr>
          <w:trHeight w:val="210"/>
        </w:trPr>
        <w:tc>
          <w:tcPr>
            <w:tcW w:w="4980" w:type="dxa"/>
            <w:vAlign w:val="bottom"/>
          </w:tcPr>
          <w:p>
            <w:pPr>
              <w:ind w:left="20"/>
              <w:spacing w:after="0"/>
              <w:rPr>
                <w:sz w:val="20"/>
                <w:szCs w:val="20"/>
                <w:color w:val="auto"/>
              </w:rPr>
            </w:pPr>
            <w:r>
              <w:rPr>
                <w:rFonts w:ascii="Arial" w:cs="Arial" w:eastAsia="Arial" w:hAnsi="Arial"/>
                <w:sz w:val="16"/>
                <w:szCs w:val="16"/>
                <w:color w:val="auto"/>
              </w:rPr>
              <w:t>Tax credit and renewable energy partnerships</w:t>
            </w:r>
          </w:p>
        </w:tc>
        <w:tc>
          <w:tcPr>
            <w:tcW w:w="26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ind w:right="103"/>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jc w:val="right"/>
              <w:ind w:right="122"/>
              <w:spacing w:after="0"/>
              <w:rPr>
                <w:sz w:val="20"/>
                <w:szCs w:val="20"/>
                <w:color w:val="auto"/>
              </w:rPr>
            </w:pPr>
            <w:r>
              <w:rPr>
                <w:rFonts w:ascii="Arial" w:cs="Arial" w:eastAsia="Arial" w:hAnsi="Arial"/>
                <w:sz w:val="16"/>
                <w:szCs w:val="16"/>
                <w:color w:val="auto"/>
              </w:rPr>
              <w:t>1.9</w:t>
            </w:r>
          </w:p>
        </w:tc>
      </w:tr>
      <w:tr>
        <w:trPr>
          <w:trHeight w:val="215"/>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Leveraged leases, net of non-recourse debt</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1.7</w:t>
            </w:r>
          </w:p>
        </w:tc>
      </w:tr>
      <w:tr>
        <w:trPr>
          <w:trHeight w:val="20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0.5</w:t>
            </w:r>
          </w:p>
        </w:tc>
      </w:tr>
      <w:tr>
        <w:trPr>
          <w:trHeight w:val="233"/>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3,229</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2,852</w:t>
            </w: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Risks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are exposed to various risks relating to our ongoing business operations, including interest rate, foreign currency exchange rate, credit and equity market. We use a variety of strategies to manage these risks, including the use of derivatives. See Note 7 of the Notes to the Interim Condensed Consolidated Financial Statements for:</w:t>
      </w:r>
    </w:p>
    <w:p>
      <w:pPr>
        <w:spacing w:after="0" w:line="82" w:lineRule="exact"/>
        <w:rPr>
          <w:sz w:val="20"/>
          <w:szCs w:val="20"/>
          <w:color w:val="auto"/>
        </w:rPr>
      </w:pPr>
    </w:p>
    <w:p>
      <w:pPr>
        <w:ind w:left="640" w:hanging="316"/>
        <w:spacing w:after="0" w:line="264" w:lineRule="auto"/>
        <w:tabs>
          <w:tab w:leader="none" w:pos="6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information about the gross notional amount, estimated fair value, and primary underlying risk exposure of our derivatives by type of hedge designation, excluding embedded derivatives held at March 31, 2023 and December 31, 2022; and</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effects of derivatives in cash flow, fair value, or non-qualifying hedge relationships on the statements of operations for the three months ended March 31, 2023 and 2022.</w:t>
      </w:r>
    </w:p>
    <w:p>
      <w:pPr>
        <w:spacing w:after="0" w:line="7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See “Business — Segments and Corporate &amp; Other — Annuities,” “Management’s Discussion and Analysis of Financial Condition and Results of Operations — Risk Management Strategies” included in our 2022 Annual Report for more information about our use of derivatives by major hedging programs. In addition, see “Management’s Discussion and Analysis of Financial Condition and Results of Operations — Results of Operations — Annual Actuarial Review” and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2022 Annual Report.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See Note 8 of the Notes to the Interim Condensed Consolidated Financial Statements for derivatives measured at estimated fair value on a recurring basis and their corresponding fair value hierarchy, as well as a rollforward of the fair value measurements for derivatives measured at estimated fair value on a recurring basis using significant unobservable (Level 3) inputs as discussed below.</w:t>
      </w:r>
    </w:p>
    <w:p>
      <w:pPr>
        <w:spacing w:after="0" w:line="8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valuation of Level 3 derivatives involves the use of significant unobservable inputs and generally requires a higher degree of management judgment or estimation than the valuations of Level 1 and Level 2 derivatives. Although Level 3 inputs are unobservable, management believes they are consistent with what other market participants would use when pricing such instruments and are considered appropriate given the circumstances. The use of different inputs or methodologies could have a material effect on the estimated fair value of Level 3 derivatives and could materially affect net income.</w:t>
      </w:r>
    </w:p>
    <w:p>
      <w:pPr>
        <w:spacing w:after="0" w:line="4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Derivatives categorized as Level 3 at March 31, 2023 include: credit default swaps priced using unobservable credit spreads, or that are priced through independent broker quotations, and foreign currency swaps with certain unobservable inputs.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See Note 7 of the Notes to the Interim Condensed Consolidated Financial Statements for information about how we manage credit risk related to derivatives and for the estimated fair value of our net derivative assets and net derivative liabilities after the application of master netting agreements and collateral. 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2022 Annual Report.</w:t>
      </w:r>
    </w:p>
    <w:p>
      <w:pPr>
        <w:spacing w:after="0" w:line="9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policy is not to offset the fair value amounts recognized for derivatives executed with the same counterparty under the same master netting agreement. This policy applies to the recognition of derivatives on the balance sheet and does not affect our legal right of offset.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Derivatives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gross notional amount and estimated fair value of credit default swaps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60" w:type="dxa"/>
            <w:vAlign w:val="bottom"/>
            <w:gridSpan w:val="3"/>
          </w:tcPr>
          <w:p>
            <w:pPr>
              <w:jc w:val="right"/>
              <w:ind w:right="685"/>
              <w:spacing w:after="0"/>
              <w:rPr>
                <w:sz w:val="20"/>
                <w:szCs w:val="20"/>
                <w:color w:val="auto"/>
              </w:rPr>
            </w:pPr>
            <w:r>
              <w:rPr>
                <w:rFonts w:ascii="Arial" w:cs="Arial" w:eastAsia="Arial" w:hAnsi="Arial"/>
                <w:sz w:val="14"/>
                <w:szCs w:val="14"/>
                <w:b w:val="1"/>
                <w:bCs w:val="1"/>
                <w:color w:val="auto"/>
                <w:w w:val="98"/>
              </w:rPr>
              <w:t>March 31, 2023</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00" w:type="dxa"/>
            <w:vAlign w:val="bottom"/>
            <w:gridSpan w:val="4"/>
          </w:tcPr>
          <w:p>
            <w:pPr>
              <w:jc w:val="right"/>
              <w:ind w:right="964"/>
              <w:spacing w:after="0"/>
              <w:rPr>
                <w:sz w:val="20"/>
                <w:szCs w:val="20"/>
                <w:color w:val="auto"/>
              </w:rPr>
            </w:pPr>
            <w:r>
              <w:rPr>
                <w:rFonts w:ascii="Arial" w:cs="Arial" w:eastAsia="Arial" w:hAnsi="Arial"/>
                <w:sz w:val="14"/>
                <w:szCs w:val="14"/>
                <w:b w:val="1"/>
                <w:bCs w:val="1"/>
                <w:color w:val="auto"/>
              </w:rPr>
              <w:t>December 31, 2022</w:t>
            </w:r>
          </w:p>
        </w:tc>
      </w:tr>
      <w:tr>
        <w:trPr>
          <w:trHeight w:val="24"/>
        </w:trPr>
        <w:tc>
          <w:tcPr>
            <w:tcW w:w="4700" w:type="dxa"/>
            <w:vAlign w:val="bottom"/>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30"/>
        </w:trPr>
        <w:tc>
          <w:tcPr>
            <w:tcW w:w="4700" w:type="dxa"/>
            <w:vAlign w:val="bottom"/>
          </w:tcPr>
          <w:p>
            <w:pPr>
              <w:spacing w:after="0"/>
              <w:rPr>
                <w:sz w:val="11"/>
                <w:szCs w:val="11"/>
                <w:color w:val="auto"/>
              </w:rPr>
            </w:pPr>
          </w:p>
        </w:tc>
        <w:tc>
          <w:tcPr>
            <w:tcW w:w="1660" w:type="dxa"/>
            <w:vAlign w:val="bottom"/>
            <w:gridSpan w:val="3"/>
          </w:tcPr>
          <w:p>
            <w:pPr>
              <w:ind w:left="340"/>
              <w:spacing w:after="0" w:line="130" w:lineRule="exact"/>
              <w:rPr>
                <w:sz w:val="20"/>
                <w:szCs w:val="20"/>
                <w:color w:val="auto"/>
              </w:rPr>
            </w:pPr>
            <w:r>
              <w:rPr>
                <w:rFonts w:ascii="Arial" w:cs="Arial" w:eastAsia="Arial" w:hAnsi="Arial"/>
                <w:sz w:val="14"/>
                <w:szCs w:val="14"/>
                <w:b w:val="1"/>
                <w:bCs w:val="1"/>
                <w:color w:val="auto"/>
              </w:rPr>
              <w:t>Gross Notional</w:t>
            </w:r>
          </w:p>
        </w:tc>
        <w:tc>
          <w:tcPr>
            <w:tcW w:w="1180" w:type="dxa"/>
            <w:vAlign w:val="bottom"/>
          </w:tcPr>
          <w:p>
            <w:pPr>
              <w:jc w:val="right"/>
              <w:ind w:right="25"/>
              <w:spacing w:after="0" w:line="130" w:lineRule="exact"/>
              <w:rPr>
                <w:sz w:val="20"/>
                <w:szCs w:val="20"/>
                <w:color w:val="auto"/>
              </w:rPr>
            </w:pPr>
            <w:r>
              <w:rPr>
                <w:rFonts w:ascii="Arial" w:cs="Arial" w:eastAsia="Arial" w:hAnsi="Arial"/>
                <w:sz w:val="14"/>
                <w:szCs w:val="14"/>
                <w:b w:val="1"/>
                <w:bCs w:val="1"/>
                <w:color w:val="auto"/>
              </w:rPr>
              <w:t>Estimated</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2"/>
          </w:tcPr>
          <w:p>
            <w:pPr>
              <w:jc w:val="center"/>
              <w:ind w:right="440"/>
              <w:spacing w:after="0" w:line="130" w:lineRule="exact"/>
              <w:rPr>
                <w:sz w:val="20"/>
                <w:szCs w:val="20"/>
                <w:color w:val="auto"/>
              </w:rPr>
            </w:pPr>
            <w:r>
              <w:rPr>
                <w:rFonts w:ascii="Arial" w:cs="Arial" w:eastAsia="Arial" w:hAnsi="Arial"/>
                <w:sz w:val="14"/>
                <w:szCs w:val="14"/>
                <w:b w:val="1"/>
                <w:bCs w:val="1"/>
                <w:color w:val="auto"/>
                <w:w w:val="89"/>
              </w:rPr>
              <w:t>Gross Notional</w:t>
            </w:r>
          </w:p>
        </w:tc>
        <w:tc>
          <w:tcPr>
            <w:tcW w:w="280" w:type="dxa"/>
            <w:vAlign w:val="bottom"/>
          </w:tcPr>
          <w:p>
            <w:pPr>
              <w:spacing w:after="0"/>
              <w:rPr>
                <w:sz w:val="11"/>
                <w:szCs w:val="11"/>
                <w:color w:val="auto"/>
              </w:rPr>
            </w:pPr>
          </w:p>
        </w:tc>
        <w:tc>
          <w:tcPr>
            <w:tcW w:w="1280" w:type="dxa"/>
            <w:vAlign w:val="bottom"/>
          </w:tcPr>
          <w:p>
            <w:pPr>
              <w:jc w:val="right"/>
              <w:ind w:right="404"/>
              <w:spacing w:after="0" w:line="130" w:lineRule="exact"/>
              <w:rPr>
                <w:sz w:val="20"/>
                <w:szCs w:val="20"/>
                <w:color w:val="auto"/>
              </w:rPr>
            </w:pPr>
            <w:r>
              <w:rPr>
                <w:rFonts w:ascii="Arial" w:cs="Arial" w:eastAsia="Arial" w:hAnsi="Arial"/>
                <w:sz w:val="14"/>
                <w:szCs w:val="14"/>
                <w:b w:val="1"/>
                <w:bCs w:val="1"/>
                <w:color w:val="auto"/>
              </w:rPr>
              <w:t>Estimated</w:t>
            </w:r>
          </w:p>
        </w:tc>
      </w:tr>
      <w:tr>
        <w:trPr>
          <w:trHeight w:val="189"/>
        </w:trPr>
        <w:tc>
          <w:tcPr>
            <w:tcW w:w="470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Fair Value</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Fair Value</w:t>
            </w:r>
          </w:p>
        </w:tc>
      </w:tr>
      <w:tr>
        <w:trPr>
          <w:trHeight w:val="190"/>
        </w:trPr>
        <w:tc>
          <w:tcPr>
            <w:tcW w:w="4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(In millions)</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Written</w:t>
            </w:r>
          </w:p>
        </w:tc>
        <w:tc>
          <w:tcPr>
            <w:tcW w:w="1080" w:type="dxa"/>
            <w:vAlign w:val="bottom"/>
            <w:shd w:val="clear" w:color="auto" w:fill="CCEEFF"/>
          </w:tcPr>
          <w:p>
            <w:pPr>
              <w:jc w:val="right"/>
              <w:ind w:right="905"/>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1,760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005"/>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1,757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0"/>
        </w:trPr>
        <w:tc>
          <w:tcPr>
            <w:tcW w:w="4700" w:type="dxa"/>
            <w:vAlign w:val="bottom"/>
          </w:tcPr>
          <w:p>
            <w:pPr>
              <w:ind w:left="20"/>
              <w:spacing w:after="0"/>
              <w:rPr>
                <w:sz w:val="20"/>
                <w:szCs w:val="20"/>
                <w:color w:val="auto"/>
              </w:rPr>
            </w:pPr>
            <w:r>
              <w:rPr>
                <w:rFonts w:ascii="Arial" w:cs="Arial" w:eastAsia="Arial" w:hAnsi="Arial"/>
                <w:sz w:val="16"/>
                <w:szCs w:val="16"/>
                <w:color w:val="auto"/>
              </w:rPr>
              <w:t>Purchased</w:t>
            </w:r>
          </w:p>
        </w:tc>
        <w:tc>
          <w:tcPr>
            <w:tcW w:w="10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4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080" w:type="dxa"/>
            <w:vAlign w:val="bottom"/>
            <w:tcBorders>
              <w:top w:val="single" w:sz="8" w:color="auto"/>
              <w:bottom w:val="single" w:sz="8" w:color="auto"/>
            </w:tcBorders>
            <w:shd w:val="clear" w:color="auto" w:fill="CCEEFF"/>
          </w:tcPr>
          <w:p>
            <w:pPr>
              <w:jc w:val="right"/>
              <w:ind w:right="905"/>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1,760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005"/>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1,757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maximum amount at risk related to our written credit default swaps is equal to the corresponding gross notional amount. In a replication transaction, we pair an asset on our balance sheet with a written credit default swap to synthetically replicate a corporate bond, a core asset holding of life insurance companies. Replications are entered into in accordance with the guidelines approved by state insurance regulators and the NAIC and are an important tool in managing the overall corporate credit risk within the Company. In order to match our long-dated insurance liabilities, we seek to buy long-dated corporate bonds. In some instances, these may not be readily available in the market, or they may be issued by corporations to which we already have significant corporate credit exposure. For example, by purchasing Treasury bonds (or other high-quality assets) and associating them with written credit default swaps on the desired corporate credit name, we can replicate the desired bond exposures and meet our ALM needs. This can expose the Company to changes in credit spreads as the written credit default swap tenor is shorter than the maturity of Treasury bonds.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Derivatives</w:t>
      </w:r>
    </w:p>
    <w:p>
      <w:pPr>
        <w:spacing w:after="0" w:line="11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See Note 8 of the Notes to the Interim Condensed Consolidated Financial Statements for (i) information about embedded derivatives measured at estimated fair value on a recurring basis and their corresponding fair value hierarchy and (ii) a rollforward of the fair value measurements for net embedded derivatives measured at estimated fair value on a recurring basis using significant unobservable (Level 3) inputs.</w:t>
      </w:r>
    </w:p>
    <w:p>
      <w:pPr>
        <w:spacing w:after="0" w:line="6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See “— Summary of Critical Accounting Estimates — Derivatives” for additional information on the estimates and assumptions that affect embedded derivatives.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Policyholder Liabilities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establish, and carry as liabilities, actuarially determined amounts that are calculated to meet policy obligations or to provide for future annuity and life insurance benefit payments. Amounts for actuarial liabilities are computed and reported in the financial statements in conformity with GAAP. See “— Summary of Critical Accounting Estimates” for more details on policyholder liabilities.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Policy Benefits</w:t>
      </w:r>
    </w:p>
    <w:p>
      <w:pPr>
        <w:spacing w:after="0" w:line="1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establish liabilities for future amounts payable under insurance policies. See Notes 2 and 4 of the Notes to the Interim Condensed Consolidated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Policyholder Account Balances</w:t>
      </w:r>
    </w:p>
    <w:p>
      <w:pPr>
        <w:spacing w:after="0" w:line="1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Policyholder account balance liabilities are established for products with an explicit account value and generally equal to the balance accrued to the contract holder, which includes accrued interest credited, but excludes the impact of any applicable charge that may be incurred upon surrender. See Note 4 of the Notes to the Interim Condensed Consolidated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 Benefits</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issue certain variable annuity products with guaranteed minimum benefits that provide the policyholder a minimum return based on their initial deposit (i.e., the Benefit Base) less withdrawals. In some cases, the Benefit Base may be increased by additional deposits, bonus amounts, accruals or optional market value step-ups. Liabilities for variable annuity guaranteed benefits are classified as MRBs and measured at fair value. Certain index-linked annuity products may also have guaranteed minimum benefits classified as MRBs. See Note 4 of the Notes to the Interim Condensed Consolidated Financial Statements and “Quantitative and Qualitative Disclosures About Market Risk — Market Risk - Fair Value Exposures — Interest Rates.”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3" w:name="page84"/>
    <w:bookmarkEnd w:id="83"/>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60" w:firstLine="318"/>
        <w:spacing w:after="0" w:line="368" w:lineRule="auto"/>
        <w:rPr>
          <w:sz w:val="20"/>
          <w:szCs w:val="20"/>
          <w:color w:val="auto"/>
        </w:rPr>
      </w:pPr>
      <w:r>
        <w:rPr>
          <w:rFonts w:ascii="Arial" w:cs="Arial" w:eastAsia="Arial" w:hAnsi="Arial"/>
          <w:sz w:val="18"/>
          <w:szCs w:val="18"/>
          <w:color w:val="auto"/>
        </w:rPr>
        <w:t xml:space="preserve">Select information that management considers relevant to understanding our variable annuity risk management strategy has been included below. </w:t>
      </w:r>
      <w:r>
        <w:rPr>
          <w:rFonts w:ascii="Arial" w:cs="Arial" w:eastAsia="Arial" w:hAnsi="Arial"/>
          <w:sz w:val="18"/>
          <w:szCs w:val="18"/>
          <w:b w:val="1"/>
          <w:bCs w:val="1"/>
          <w:i w:val="1"/>
          <w:iCs w:val="1"/>
          <w:color w:val="auto"/>
        </w:rPr>
        <w:t>Net Amount at Risk</w:t>
      </w:r>
    </w:p>
    <w:p>
      <w:pPr>
        <w:spacing w:after="0" w:line="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net amount at risk (“NAR”) for the guaranteed minimum income benefits (“GMIB”) is the amount (if any) that would be required to be added to the total account value to purchase a lifetime income stream, based on current annuity rates, equal to the minimum amount provided under the guaranteed benefit. This amount represents our potential economic exposure to such guarantees in the event all contract holders were to annuitize on the balance sheet date, even though the guaranteed amount under the contract may not be annuitized until after the waiting period of the contract.</w:t>
      </w:r>
    </w:p>
    <w:p>
      <w:pPr>
        <w:spacing w:after="0" w:line="7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NAR for the guaranteed minimum withdrawal benefits (“GMWB”) is the amount of guaranteed benefits in excess of the account values (if any) as of the balance sheet date and assumes utilization of benefits by all contract holders as of the balance sheet date. Only a small portion of the Benefit Base is available for withdrawal on an annual basis.</w:t>
      </w:r>
    </w:p>
    <w:p>
      <w:pPr>
        <w:spacing w:after="0" w:line="8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NAR for the guaranteed minimum accumulation benefits (“GMAB”) is the amount of guaranteed benefits in excess of the account values (if any) as of the balance sheet date and assumes utilization of benefits by all contract holders as of the balance sheet. The NAR for the GMAB is not available until the GMAB maturity date.</w:t>
      </w:r>
    </w:p>
    <w:p>
      <w:pPr>
        <w:spacing w:after="0" w:line="82"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NAR for the guaranteed minimum death benefits (“GMDB”) is the amount of death benefit in excess of the account value (if any) as of the balance sheet date. It represents the amount of the claim we would incur if death claims were made on all contracts on the balance sheet date and includes any additional contractual claims associated with riders purchased to assist with covering income taxes payable upon death.</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variable annuity account value and NAR by type of GMxB were as follows at:</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4"/>
          </w:tcPr>
          <w:p>
            <w:pPr>
              <w:jc w:val="right"/>
              <w:ind w:right="162"/>
              <w:spacing w:after="0"/>
              <w:rPr>
                <w:sz w:val="20"/>
                <w:szCs w:val="20"/>
                <w:color w:val="auto"/>
              </w:rPr>
            </w:pPr>
            <w:r>
              <w:rPr>
                <w:rFonts w:ascii="Arial" w:cs="Arial" w:eastAsia="Arial" w:hAnsi="Arial"/>
                <w:sz w:val="14"/>
                <w:szCs w:val="14"/>
                <w:b w:val="1"/>
                <w:bCs w:val="1"/>
                <w:color w:val="auto"/>
              </w:rPr>
              <w:t>March 31, 2023</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4"/>
          </w:tcPr>
          <w:p>
            <w:pPr>
              <w:jc w:val="right"/>
              <w:ind w:right="82"/>
              <w:spacing w:after="0"/>
              <w:rPr>
                <w:sz w:val="20"/>
                <w:szCs w:val="20"/>
                <w:color w:val="auto"/>
              </w:rPr>
            </w:pPr>
            <w:r>
              <w:rPr>
                <w:rFonts w:ascii="Arial" w:cs="Arial" w:eastAsia="Arial" w:hAnsi="Arial"/>
                <w:sz w:val="14"/>
                <w:szCs w:val="14"/>
                <w:b w:val="1"/>
                <w:bCs w:val="1"/>
                <w:color w:val="auto"/>
              </w:rPr>
              <w:t>December 31, 2022</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2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Account</w:t>
            </w:r>
          </w:p>
        </w:tc>
        <w:tc>
          <w:tcPr>
            <w:tcW w:w="180" w:type="dxa"/>
            <w:vAlign w:val="bottom"/>
          </w:tcPr>
          <w:p>
            <w:pPr>
              <w:spacing w:after="0"/>
              <w:rPr>
                <w:sz w:val="11"/>
                <w:szCs w:val="11"/>
                <w:color w:val="auto"/>
              </w:rPr>
            </w:pPr>
          </w:p>
        </w:tc>
        <w:tc>
          <w:tcPr>
            <w:tcW w:w="780" w:type="dxa"/>
            <w:vAlign w:val="bottom"/>
            <w:gridSpan w:val="2"/>
          </w:tcPr>
          <w:p>
            <w:pPr>
              <w:jc w:val="center"/>
              <w:ind w:right="260"/>
              <w:spacing w:after="0" w:line="130" w:lineRule="exact"/>
              <w:rPr>
                <w:sz w:val="20"/>
                <w:szCs w:val="20"/>
                <w:color w:val="auto"/>
              </w:rPr>
            </w:pPr>
            <w:r>
              <w:rPr>
                <w:rFonts w:ascii="Arial" w:cs="Arial" w:eastAsia="Arial" w:hAnsi="Arial"/>
                <w:sz w:val="14"/>
                <w:szCs w:val="14"/>
                <w:b w:val="1"/>
                <w:bCs w:val="1"/>
                <w:color w:val="auto"/>
                <w:w w:val="92"/>
              </w:rPr>
              <w:t>Death</w:t>
            </w:r>
          </w:p>
        </w:tc>
        <w:tc>
          <w:tcPr>
            <w:tcW w:w="180" w:type="dxa"/>
            <w:vAlign w:val="bottom"/>
          </w:tcPr>
          <w:p>
            <w:pPr>
              <w:spacing w:after="0"/>
              <w:rPr>
                <w:sz w:val="11"/>
                <w:szCs w:val="11"/>
                <w:color w:val="auto"/>
              </w:rPr>
            </w:pPr>
          </w:p>
        </w:tc>
        <w:tc>
          <w:tcPr>
            <w:tcW w:w="700" w:type="dxa"/>
            <w:vAlign w:val="bottom"/>
          </w:tcPr>
          <w:p>
            <w:pPr>
              <w:jc w:val="center"/>
              <w:ind w:right="102"/>
              <w:spacing w:after="0" w:line="130" w:lineRule="exact"/>
              <w:rPr>
                <w:sz w:val="20"/>
                <w:szCs w:val="20"/>
                <w:color w:val="auto"/>
              </w:rPr>
            </w:pPr>
            <w:r>
              <w:rPr>
                <w:rFonts w:ascii="Arial" w:cs="Arial" w:eastAsia="Arial" w:hAnsi="Arial"/>
                <w:sz w:val="14"/>
                <w:szCs w:val="14"/>
                <w:b w:val="1"/>
                <w:bCs w:val="1"/>
                <w:color w:val="auto"/>
                <w:w w:val="96"/>
              </w:rPr>
              <w:t>Living</w:t>
            </w:r>
          </w:p>
        </w:tc>
        <w:tc>
          <w:tcPr>
            <w:tcW w:w="16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 of Account Value</w:t>
            </w: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Account</w:t>
            </w: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Death Benefit</w:t>
            </w:r>
          </w:p>
        </w:tc>
        <w:tc>
          <w:tcPr>
            <w:tcW w:w="180" w:type="dxa"/>
            <w:vAlign w:val="bottom"/>
          </w:tcPr>
          <w:p>
            <w:pPr>
              <w:spacing w:after="0"/>
              <w:rPr>
                <w:sz w:val="11"/>
                <w:szCs w:val="11"/>
                <w:color w:val="auto"/>
              </w:rPr>
            </w:pPr>
          </w:p>
        </w:tc>
        <w:tc>
          <w:tcPr>
            <w:tcW w:w="700" w:type="dxa"/>
            <w:vAlign w:val="bottom"/>
          </w:tcPr>
          <w:p>
            <w:pPr>
              <w:jc w:val="center"/>
              <w:ind w:right="102"/>
              <w:spacing w:after="0" w:line="130" w:lineRule="exact"/>
              <w:rPr>
                <w:sz w:val="20"/>
                <w:szCs w:val="20"/>
                <w:color w:val="auto"/>
              </w:rPr>
            </w:pPr>
            <w:r>
              <w:rPr>
                <w:rFonts w:ascii="Arial" w:cs="Arial" w:eastAsia="Arial" w:hAnsi="Arial"/>
                <w:sz w:val="14"/>
                <w:szCs w:val="14"/>
                <w:b w:val="1"/>
                <w:bCs w:val="1"/>
                <w:color w:val="auto"/>
                <w:w w:val="96"/>
              </w:rPr>
              <w:t>Living</w:t>
            </w: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of Account Value</w:t>
            </w: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6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w w:val="95"/>
              </w:rPr>
              <w:t>Benefit NAR</w:t>
            </w: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Benefit NAR</w:t>
            </w:r>
          </w:p>
        </w:tc>
        <w:tc>
          <w:tcPr>
            <w:tcW w:w="1640" w:type="dxa"/>
            <w:vAlign w:val="bottom"/>
            <w:gridSpan w:val="3"/>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Benefit NAR</w:t>
            </w: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3"/>
              </w:rPr>
              <w:t>(1)</w:t>
            </w:r>
          </w:p>
        </w:tc>
        <w:tc>
          <w:tcPr>
            <w:tcW w:w="16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In-the-Money (2)</w:t>
            </w: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NAR (1)</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3"/>
              </w:rPr>
              <w:t>(1)</w:t>
            </w:r>
          </w:p>
        </w:tc>
        <w:tc>
          <w:tcPr>
            <w:tcW w:w="13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In-the-Money (2)</w:t>
            </w:r>
          </w:p>
        </w:tc>
        <w:tc>
          <w:tcPr>
            <w:tcW w:w="0" w:type="dxa"/>
            <w:vAlign w:val="bottom"/>
          </w:tcPr>
          <w:p>
            <w:pPr>
              <w:spacing w:after="0"/>
              <w:rPr>
                <w:sz w:val="1"/>
                <w:szCs w:val="1"/>
                <w:color w:val="auto"/>
              </w:rPr>
            </w:pPr>
          </w:p>
        </w:tc>
      </w:tr>
      <w:tr>
        <w:trPr>
          <w:trHeight w:val="190"/>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60" w:type="dxa"/>
            <w:vAlign w:val="bottom"/>
            <w:gridSpan w:val="5"/>
          </w:tcPr>
          <w:p>
            <w:pPr>
              <w:ind w:left="84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GMIB</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3,845</w:t>
            </w:r>
          </w:p>
        </w:tc>
        <w:tc>
          <w:tcPr>
            <w:tcW w:w="16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34.6 %  $</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4,484</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42.9 %</w:t>
            </w:r>
          </w:p>
        </w:tc>
        <w:tc>
          <w:tcPr>
            <w:tcW w:w="0" w:type="dxa"/>
            <w:vAlign w:val="bottom"/>
          </w:tcPr>
          <w:p>
            <w:pPr>
              <w:spacing w:after="0"/>
              <w:rPr>
                <w:sz w:val="1"/>
                <w:szCs w:val="1"/>
                <w:color w:val="auto"/>
              </w:rPr>
            </w:pPr>
          </w:p>
        </w:tc>
      </w:tr>
      <w:tr>
        <w:trPr>
          <w:trHeight w:val="210"/>
        </w:trPr>
        <w:tc>
          <w:tcPr>
            <w:tcW w:w="2740" w:type="dxa"/>
            <w:vAlign w:val="bottom"/>
          </w:tcPr>
          <w:p>
            <w:pPr>
              <w:ind w:left="20"/>
              <w:spacing w:after="0"/>
              <w:rPr>
                <w:sz w:val="20"/>
                <w:szCs w:val="20"/>
                <w:color w:val="auto"/>
              </w:rPr>
            </w:pPr>
            <w:r>
              <w:rPr>
                <w:rFonts w:ascii="Arial" w:cs="Arial" w:eastAsia="Arial" w:hAnsi="Arial"/>
                <w:sz w:val="16"/>
                <w:szCs w:val="16"/>
                <w:color w:val="auto"/>
              </w:rPr>
              <w:t>GMIB Max with EDB (3)</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8,026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5,816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319</w:t>
            </w:r>
          </w:p>
        </w:tc>
        <w:tc>
          <w:tcPr>
            <w:tcW w:w="1380" w:type="dxa"/>
            <w:vAlign w:val="bottom"/>
          </w:tcPr>
          <w:p>
            <w:pPr>
              <w:jc w:val="right"/>
              <w:spacing w:after="0"/>
              <w:rPr>
                <w:sz w:val="20"/>
                <w:szCs w:val="20"/>
                <w:color w:val="auto"/>
              </w:rPr>
            </w:pPr>
            <w:r>
              <w:rPr>
                <w:rFonts w:ascii="Arial" w:cs="Arial" w:eastAsia="Arial" w:hAnsi="Arial"/>
                <w:sz w:val="16"/>
                <w:szCs w:val="16"/>
                <w:color w:val="auto"/>
              </w:rPr>
              <w:t>25.8 %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415</w:t>
            </w:r>
          </w:p>
        </w:tc>
        <w:tc>
          <w:tcPr>
            <w:tcW w:w="1380" w:type="dxa"/>
            <w:vAlign w:val="bottom"/>
          </w:tcPr>
          <w:p>
            <w:pPr>
              <w:jc w:val="right"/>
              <w:spacing w:after="0"/>
              <w:rPr>
                <w:sz w:val="20"/>
                <w:szCs w:val="20"/>
                <w:color w:val="auto"/>
              </w:rPr>
            </w:pPr>
            <w:r>
              <w:rPr>
                <w:rFonts w:ascii="Arial" w:cs="Arial" w:eastAsia="Arial" w:hAnsi="Arial"/>
                <w:sz w:val="16"/>
                <w:szCs w:val="16"/>
                <w:color w:val="auto"/>
              </w:rPr>
              <w:t>34.8 %</w:t>
            </w:r>
          </w:p>
        </w:tc>
        <w:tc>
          <w:tcPr>
            <w:tcW w:w="0" w:type="dxa"/>
            <w:vAlign w:val="bottom"/>
          </w:tcPr>
          <w:p>
            <w:pPr>
              <w:spacing w:after="0"/>
              <w:rPr>
                <w:sz w:val="1"/>
                <w:szCs w:val="1"/>
                <w:color w:val="auto"/>
              </w:rPr>
            </w:pPr>
          </w:p>
        </w:tc>
      </w:tr>
      <w:tr>
        <w:trPr>
          <w:trHeight w:val="215"/>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GMIB Max without EDB (3)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64</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92</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18.7 %</w:t>
            </w:r>
          </w:p>
        </w:tc>
        <w:tc>
          <w:tcPr>
            <w:tcW w:w="0" w:type="dxa"/>
            <w:vAlign w:val="bottom"/>
          </w:tcPr>
          <w:p>
            <w:pPr>
              <w:spacing w:after="0"/>
              <w:rPr>
                <w:sz w:val="1"/>
                <w:szCs w:val="1"/>
                <w:color w:val="auto"/>
              </w:rPr>
            </w:pPr>
          </w:p>
        </w:tc>
      </w:tr>
      <w:tr>
        <w:trPr>
          <w:trHeight w:val="210"/>
        </w:trPr>
        <w:tc>
          <w:tcPr>
            <w:tcW w:w="2740" w:type="dxa"/>
            <w:vAlign w:val="bottom"/>
          </w:tcPr>
          <w:p>
            <w:pPr>
              <w:ind w:left="20"/>
              <w:spacing w:after="0"/>
              <w:rPr>
                <w:sz w:val="20"/>
                <w:szCs w:val="20"/>
                <w:color w:val="auto"/>
              </w:rPr>
            </w:pPr>
            <w:r>
              <w:rPr>
                <w:rFonts w:ascii="Arial" w:cs="Arial" w:eastAsia="Arial" w:hAnsi="Arial"/>
                <w:sz w:val="16"/>
                <w:szCs w:val="16"/>
                <w:color w:val="auto"/>
              </w:rPr>
              <w:t>GMWB</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19,780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460</w:t>
            </w:r>
          </w:p>
        </w:tc>
        <w:tc>
          <w:tcPr>
            <w:tcW w:w="1380" w:type="dxa"/>
            <w:vAlign w:val="bottom"/>
          </w:tcPr>
          <w:p>
            <w:pPr>
              <w:jc w:val="right"/>
              <w:spacing w:after="0"/>
              <w:rPr>
                <w:sz w:val="20"/>
                <w:szCs w:val="20"/>
                <w:color w:val="auto"/>
              </w:rPr>
            </w:pPr>
            <w:r>
              <w:rPr>
                <w:rFonts w:ascii="Arial" w:cs="Arial" w:eastAsia="Arial" w:hAnsi="Arial"/>
                <w:sz w:val="16"/>
                <w:szCs w:val="16"/>
                <w:color w:val="auto"/>
              </w:rPr>
              <w:t>19.3 %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19,270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662</w:t>
            </w:r>
          </w:p>
        </w:tc>
        <w:tc>
          <w:tcPr>
            <w:tcW w:w="1380" w:type="dxa"/>
            <w:vAlign w:val="bottom"/>
          </w:tcPr>
          <w:p>
            <w:pPr>
              <w:jc w:val="right"/>
              <w:spacing w:after="0"/>
              <w:rPr>
                <w:sz w:val="20"/>
                <w:szCs w:val="20"/>
                <w:color w:val="auto"/>
              </w:rPr>
            </w:pPr>
            <w:r>
              <w:rPr>
                <w:rFonts w:ascii="Arial" w:cs="Arial" w:eastAsia="Arial" w:hAnsi="Arial"/>
                <w:sz w:val="16"/>
                <w:szCs w:val="16"/>
                <w:color w:val="auto"/>
              </w:rPr>
              <w:t>26.5 %</w:t>
            </w: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GMAB</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25.4 %</w:t>
            </w:r>
          </w:p>
        </w:tc>
        <w:tc>
          <w:tcPr>
            <w:tcW w:w="0" w:type="dxa"/>
            <w:vAlign w:val="bottom"/>
          </w:tcPr>
          <w:p>
            <w:pPr>
              <w:spacing w:after="0"/>
              <w:rPr>
                <w:sz w:val="1"/>
                <w:szCs w:val="1"/>
                <w:color w:val="auto"/>
              </w:rPr>
            </w:pPr>
          </w:p>
        </w:tc>
      </w:tr>
      <w:tr>
        <w:trPr>
          <w:trHeight w:val="210"/>
        </w:trPr>
        <w:tc>
          <w:tcPr>
            <w:tcW w:w="2740" w:type="dxa"/>
            <w:vAlign w:val="bottom"/>
          </w:tcPr>
          <w:p>
            <w:pPr>
              <w:ind w:left="20"/>
              <w:spacing w:after="0"/>
              <w:rPr>
                <w:sz w:val="20"/>
                <w:szCs w:val="20"/>
                <w:color w:val="auto"/>
              </w:rPr>
            </w:pPr>
            <w:r>
              <w:rPr>
                <w:rFonts w:ascii="Arial" w:cs="Arial" w:eastAsia="Arial" w:hAnsi="Arial"/>
                <w:sz w:val="16"/>
                <w:szCs w:val="16"/>
                <w:color w:val="auto"/>
              </w:rPr>
              <w:t>GMDB only (other than EDB) (3)</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16,330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640" w:type="dxa"/>
            <w:vAlign w:val="bottom"/>
            <w:gridSpan w:val="3"/>
          </w:tcPr>
          <w:p>
            <w:pPr>
              <w:jc w:val="right"/>
              <w:ind w:right="280"/>
              <w:spacing w:after="0"/>
              <w:rPr>
                <w:sz w:val="20"/>
                <w:szCs w:val="20"/>
                <w:color w:val="auto"/>
              </w:rPr>
            </w:pPr>
            <w:r>
              <w:rPr>
                <w:rFonts w:ascii="Arial" w:cs="Arial" w:eastAsia="Arial" w:hAnsi="Arial"/>
                <w:sz w:val="16"/>
                <w:szCs w:val="16"/>
                <w:color w:val="auto"/>
              </w:rPr>
              <w:t>N/A</w:t>
            </w:r>
          </w:p>
        </w:tc>
        <w:tc>
          <w:tcPr>
            <w:tcW w:w="720" w:type="dxa"/>
            <w:vAlign w:val="bottom"/>
          </w:tcPr>
          <w:p>
            <w:pPr>
              <w:jc w:val="right"/>
              <w:spacing w:after="0"/>
              <w:rPr>
                <w:sz w:val="20"/>
                <w:szCs w:val="20"/>
                <w:color w:val="auto"/>
              </w:rPr>
            </w:pPr>
            <w:r>
              <w:rPr>
                <w:rFonts w:ascii="Arial" w:cs="Arial" w:eastAsia="Arial" w:hAnsi="Arial"/>
                <w:sz w:val="16"/>
                <w:szCs w:val="16"/>
                <w:color w:val="auto"/>
              </w:rPr>
              <w:t>15,766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EDB only (3)</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8"/>
        </w:trPr>
        <w:tc>
          <w:tcPr>
            <w:tcW w:w="274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84,537</w:t>
            </w:r>
          </w:p>
        </w:tc>
        <w:tc>
          <w:tcPr>
            <w:tcW w:w="10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14,894</w:t>
            </w:r>
          </w:p>
        </w:tc>
        <w:tc>
          <w:tcPr>
            <w:tcW w:w="10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4,700</w:t>
            </w:r>
          </w:p>
        </w:tc>
        <w:tc>
          <w:tcPr>
            <w:tcW w:w="16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82,410</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16,504</w:t>
            </w:r>
          </w:p>
        </w:tc>
        <w:tc>
          <w:tcPr>
            <w:tcW w:w="100" w:type="dxa"/>
            <w:vAlign w:val="bottom"/>
          </w:tcPr>
          <w:p>
            <w:pPr>
              <w:spacing w:after="0"/>
              <w:rPr>
                <w:sz w:val="18"/>
                <w:szCs w:val="18"/>
                <w:color w:val="auto"/>
              </w:rPr>
            </w:pP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5,671</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0" w:lineRule="exact"/>
        <w:rPr>
          <w:sz w:val="20"/>
          <w:szCs w:val="20"/>
          <w:color w:val="auto"/>
        </w:rPr>
      </w:pPr>
    </w:p>
    <w:p>
      <w:pPr>
        <w:ind w:left="320" w:hanging="314"/>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“Death Benefit NAR” and “Living Benefit NAR” are not additive at the contract level.</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In-the-money is defined as any contract with a living benefit NAR in excess of zero.</w:t>
      </w:r>
    </w:p>
    <w:p>
      <w:pPr>
        <w:spacing w:after="0" w:line="111" w:lineRule="exact"/>
        <w:rPr>
          <w:rFonts w:ascii="Arial" w:cs="Arial" w:eastAsia="Arial" w:hAnsi="Arial"/>
          <w:sz w:val="18"/>
          <w:szCs w:val="18"/>
          <w:color w:val="auto"/>
        </w:rPr>
      </w:pPr>
    </w:p>
    <w:p>
      <w:pPr>
        <w:ind w:left="320" w:hanging="314"/>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Enhanced Death Benefit (“EDB”).</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w:t>
      </w:r>
    </w:p>
    <w:p>
      <w:pPr>
        <w:spacing w:after="0" w:line="11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Under GAAP, variable annuity guarantees are classified as MRBs and measured at estimated fair value. Liabilities for these guarantees are reported in market risk benefit liabilities on the consolidated balance sheets, with changes reported in change in market risk benefits on the consolidated statements of operations, except for changes related to nonperformance risk which is reported in other comprehensive income on the consolidated statements of comprehensive income (loss). Additionally, the index protection and accumulation features of Shield Annuities are accounted for as embedded derivatives and reported in policyholder account balances on the consolidated balance sheets, with changes reported in net derivative gains (losses) on the consolidated statements of operations. These liabilities, valued at $4.7 billion at March 31, 2023, are measured at estimated fair value.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variable annuity reserves by type of GMxB were as follows at: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March 31,</w:t>
            </w:r>
          </w:p>
        </w:tc>
        <w:tc>
          <w:tcPr>
            <w:tcW w:w="760" w:type="dxa"/>
            <w:vAlign w:val="bottom"/>
            <w:gridSpan w:val="2"/>
          </w:tcPr>
          <w:p>
            <w:pPr>
              <w:jc w:val="right"/>
              <w:ind w:right="2"/>
              <w:spacing w:after="0"/>
              <w:rPr>
                <w:sz w:val="20"/>
                <w:szCs w:val="20"/>
                <w:color w:val="auto"/>
              </w:rPr>
            </w:pPr>
            <w:r>
              <w:rPr>
                <w:rFonts w:ascii="Arial" w:cs="Arial" w:eastAsia="Arial" w:hAnsi="Arial"/>
                <w:sz w:val="14"/>
                <w:szCs w:val="14"/>
                <w:b w:val="1"/>
                <w:bCs w:val="1"/>
                <w:color w:val="auto"/>
                <w:w w:val="97"/>
              </w:rPr>
              <w:t>December</w:t>
            </w:r>
          </w:p>
        </w:tc>
      </w:tr>
      <w:tr>
        <w:trPr>
          <w:trHeight w:val="189"/>
        </w:trPr>
        <w:tc>
          <w:tcPr>
            <w:tcW w:w="3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88"/>
              </w:rPr>
              <w:t>31, 2022</w:t>
            </w:r>
          </w:p>
        </w:tc>
      </w:tr>
      <w:tr>
        <w:trPr>
          <w:trHeight w:val="190"/>
        </w:trPr>
        <w:tc>
          <w:tcPr>
            <w:tcW w:w="3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4"/>
          </w:tcPr>
          <w:p>
            <w:pPr>
              <w:jc w:val="right"/>
              <w:ind w:right="362"/>
              <w:spacing w:after="0"/>
              <w:rPr>
                <w:sz w:val="20"/>
                <w:szCs w:val="20"/>
                <w:color w:val="auto"/>
              </w:rPr>
            </w:pPr>
            <w:r>
              <w:rPr>
                <w:rFonts w:ascii="Arial" w:cs="Arial" w:eastAsia="Arial" w:hAnsi="Arial"/>
                <w:sz w:val="14"/>
                <w:szCs w:val="14"/>
                <w:b w:val="1"/>
                <w:bCs w:val="1"/>
                <w:color w:val="auto"/>
              </w:rPr>
              <w:t>(In millions)</w:t>
            </w:r>
          </w:p>
        </w:tc>
      </w:tr>
      <w:tr>
        <w:trPr>
          <w:trHeight w:val="219"/>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GMIB</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9,828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9,457</w:t>
            </w:r>
          </w:p>
        </w:tc>
      </w:tr>
      <w:tr>
        <w:trPr>
          <w:trHeight w:val="209"/>
        </w:trPr>
        <w:tc>
          <w:tcPr>
            <w:tcW w:w="3180" w:type="dxa"/>
            <w:vAlign w:val="bottom"/>
          </w:tcPr>
          <w:p>
            <w:pPr>
              <w:ind w:left="20"/>
              <w:spacing w:after="0"/>
              <w:rPr>
                <w:sz w:val="20"/>
                <w:szCs w:val="20"/>
                <w:color w:val="auto"/>
              </w:rPr>
            </w:pPr>
            <w:r>
              <w:rPr>
                <w:rFonts w:ascii="Arial" w:cs="Arial" w:eastAsia="Arial" w:hAnsi="Arial"/>
                <w:sz w:val="16"/>
                <w:szCs w:val="16"/>
                <w:color w:val="auto"/>
              </w:rPr>
              <w:t>GMWB</w:t>
            </w:r>
          </w:p>
        </w:tc>
        <w:tc>
          <w:tcPr>
            <w:tcW w:w="180" w:type="dxa"/>
            <w:vAlign w:val="bottom"/>
          </w:tcPr>
          <w:p>
            <w:pPr>
              <w:spacing w:after="0"/>
              <w:rPr>
                <w:sz w:val="18"/>
                <w:szCs w:val="18"/>
                <w:color w:val="auto"/>
              </w:rPr>
            </w:pPr>
          </w:p>
        </w:tc>
        <w:tc>
          <w:tcPr>
            <w:tcW w:w="600" w:type="dxa"/>
            <w:vAlign w:val="bottom"/>
          </w:tcPr>
          <w:p>
            <w:pPr>
              <w:jc w:val="right"/>
              <w:ind w:right="3"/>
              <w:spacing w:after="0"/>
              <w:rPr>
                <w:sz w:val="20"/>
                <w:szCs w:val="20"/>
                <w:color w:val="auto"/>
              </w:rPr>
            </w:pPr>
            <w:r>
              <w:rPr>
                <w:rFonts w:ascii="Arial" w:cs="Arial" w:eastAsia="Arial" w:hAnsi="Arial"/>
                <w:sz w:val="16"/>
                <w:szCs w:val="16"/>
                <w:color w:val="auto"/>
              </w:rPr>
              <w:t>178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209</w:t>
            </w:r>
          </w:p>
        </w:tc>
      </w:tr>
      <w:tr>
        <w:trPr>
          <w:trHeight w:val="214"/>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GMAB</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GMDB</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719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w:t>
            </w:r>
          </w:p>
        </w:tc>
      </w:tr>
      <w:tr>
        <w:trPr>
          <w:trHeight w:val="233"/>
        </w:trPr>
        <w:tc>
          <w:tcPr>
            <w:tcW w:w="3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10,725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10,386</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estimated fair value of these guarantees can change significantly due to changes in equity market performance, equity market volatility or interest rates. Fair values are also affected by our assumptions around mortality, separate account returns and policyholder behavior, including lapse, annuitization and withdrawal rates. See “Risk Factors — Risks Related to Our Business — Guarantees within certain of our annuity products may decrease our earnings, decrease our capitalization, increase the volatility of our results, result in higher risk management costs and expose us to increased market risk” included in our 2022 Annual Report.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Hedging Variable Annuity Guarantees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gross notional amount and estimated fair value of the derivatives held in our macro interest rate hedging program were as follows at: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March 31, 2023</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Gross Notional</w:t>
            </w:r>
          </w:p>
        </w:tc>
        <w:tc>
          <w:tcPr>
            <w:tcW w:w="100" w:type="dxa"/>
            <w:vAlign w:val="bottom"/>
          </w:tcPr>
          <w:p>
            <w:pPr>
              <w:spacing w:after="0"/>
              <w:rPr>
                <w:sz w:val="19"/>
                <w:szCs w:val="19"/>
                <w:color w:val="auto"/>
              </w:rPr>
            </w:pPr>
          </w:p>
        </w:tc>
        <w:tc>
          <w:tcPr>
            <w:tcW w:w="2360" w:type="dxa"/>
            <w:vAlign w:val="bottom"/>
            <w:gridSpan w:val="5"/>
          </w:tcPr>
          <w:p>
            <w:pPr>
              <w:ind w:left="440"/>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19"/>
                <w:szCs w:val="19"/>
                <w:color w:val="auto"/>
              </w:rPr>
            </w:pPr>
          </w:p>
        </w:tc>
        <w:tc>
          <w:tcPr>
            <w:tcW w:w="1020" w:type="dxa"/>
            <w:vAlign w:val="bottom"/>
            <w:vMerge w:val="restart"/>
          </w:tcPr>
          <w:p>
            <w:pPr>
              <w:jc w:val="right"/>
              <w:ind w:right="43"/>
              <w:spacing w:after="0"/>
              <w:rPr>
                <w:sz w:val="20"/>
                <w:szCs w:val="20"/>
                <w:color w:val="auto"/>
              </w:rPr>
            </w:pPr>
            <w:r>
              <w:rPr>
                <w:rFonts w:ascii="Arial" w:cs="Arial" w:eastAsia="Arial" w:hAnsi="Arial"/>
                <w:sz w:val="14"/>
                <w:szCs w:val="14"/>
                <w:b w:val="1"/>
                <w:bCs w:val="1"/>
                <w:color w:val="auto"/>
                <w:w w:val="87"/>
              </w:rPr>
              <w:t>Gross Notional</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4"/>
          </w:tcPr>
          <w:p>
            <w:pPr>
              <w:jc w:val="right"/>
              <w:ind w:right="442"/>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24"/>
        </w:trPr>
        <w:tc>
          <w:tcPr>
            <w:tcW w:w="4000" w:type="dxa"/>
            <w:vAlign w:val="bottom"/>
            <w:gridSpan w:val="2"/>
            <w:vMerge w:val="restart"/>
          </w:tcPr>
          <w:p>
            <w:pPr>
              <w:ind w:left="1440"/>
              <w:spacing w:after="0"/>
              <w:rPr>
                <w:sz w:val="20"/>
                <w:szCs w:val="20"/>
                <w:color w:val="auto"/>
              </w:rPr>
            </w:pPr>
            <w:r>
              <w:rPr>
                <w:rFonts w:ascii="Arial" w:cs="Arial" w:eastAsia="Arial" w:hAnsi="Arial"/>
                <w:sz w:val="14"/>
                <w:szCs w:val="14"/>
                <w:b w:val="1"/>
                <w:bCs w:val="1"/>
                <w:color w:val="auto"/>
              </w:rPr>
              <w:t>Instrument Type</w:t>
            </w:r>
          </w:p>
        </w:tc>
        <w:tc>
          <w:tcPr>
            <w:tcW w:w="10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 (1)</w:t>
            </w: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6"/>
                <w:szCs w:val="16"/>
                <w:color w:val="auto"/>
              </w:rPr>
            </w:pPr>
          </w:p>
        </w:tc>
        <w:tc>
          <w:tcPr>
            <w:tcW w:w="1020" w:type="dxa"/>
            <w:vAlign w:val="bottom"/>
          </w:tcPr>
          <w:p>
            <w:pPr>
              <w:jc w:val="right"/>
              <w:ind w:right="143"/>
              <w:spacing w:after="0"/>
              <w:rPr>
                <w:sz w:val="20"/>
                <w:szCs w:val="20"/>
                <w:color w:val="auto"/>
              </w:rPr>
            </w:pPr>
            <w:r>
              <w:rPr>
                <w:rFonts w:ascii="Arial" w:cs="Arial" w:eastAsia="Arial" w:hAnsi="Arial"/>
                <w:sz w:val="14"/>
                <w:szCs w:val="14"/>
                <w:b w:val="1"/>
                <w:bCs w:val="1"/>
                <w:color w:val="auto"/>
              </w:rPr>
              <w:t>Amount (1)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6"/>
                <w:szCs w:val="16"/>
                <w:color w:val="auto"/>
              </w:rPr>
            </w:pPr>
          </w:p>
        </w:tc>
        <w:tc>
          <w:tcPr>
            <w:tcW w:w="940" w:type="dxa"/>
            <w:vAlign w:val="bottom"/>
          </w:tcPr>
          <w:p>
            <w:pPr>
              <w:jc w:val="right"/>
              <w:ind w:right="182"/>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91"/>
        </w:trPr>
        <w:tc>
          <w:tcPr>
            <w:tcW w:w="3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gridSpan w:val="4"/>
          </w:tcPr>
          <w:p>
            <w:pPr>
              <w:jc w:val="right"/>
              <w:ind w:right="723"/>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2,330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0"/>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Interest rate options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32,388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28,688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12"/>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forwards</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16,681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1,696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16,848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2,387</w:t>
            </w:r>
          </w:p>
        </w:tc>
        <w:tc>
          <w:tcPr>
            <w:tcW w:w="0" w:type="dxa"/>
            <w:vAlign w:val="bottom"/>
          </w:tcPr>
          <w:p>
            <w:pPr>
              <w:spacing w:after="0"/>
              <w:rPr>
                <w:sz w:val="1"/>
                <w:szCs w:val="1"/>
                <w:color w:val="auto"/>
              </w:rPr>
            </w:pPr>
          </w:p>
        </w:tc>
      </w:tr>
      <w:tr>
        <w:trPr>
          <w:trHeight w:val="208"/>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63,503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1,923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47,866</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2,665</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23" w:lineRule="exact"/>
        <w:rPr>
          <w:sz w:val="20"/>
          <w:szCs w:val="20"/>
          <w:color w:val="auto"/>
        </w:rPr>
      </w:pPr>
    </w:p>
    <w:p>
      <w:pPr>
        <w:ind w:left="320" w:hanging="314"/>
        <w:spacing w:after="0" w:line="264" w:lineRule="auto"/>
        <w:tabs>
          <w:tab w:leader="none" w:pos="31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gross notional amounts presented do not necessarily represent the relative economic coverage provided by derivative instruments because certain positions were closed out by entering into offsetting positions that are not netted in the above table.</w:t>
      </w:r>
    </w:p>
    <w:p>
      <w:pPr>
        <w:spacing w:after="0" w:line="75" w:lineRule="exact"/>
        <w:rPr>
          <w:sz w:val="20"/>
          <w:szCs w:val="20"/>
          <w:color w:val="auto"/>
        </w:rPr>
      </w:pPr>
    </w:p>
    <w:p>
      <w:pPr>
        <w:ind w:right="20" w:firstLine="318"/>
        <w:spacing w:after="0" w:line="264" w:lineRule="auto"/>
        <w:rPr>
          <w:sz w:val="20"/>
          <w:szCs w:val="20"/>
          <w:color w:val="auto"/>
        </w:rPr>
      </w:pPr>
      <w:r>
        <w:rPr>
          <w:rFonts w:ascii="Arial" w:cs="Arial" w:eastAsia="Arial" w:hAnsi="Arial"/>
          <w:sz w:val="18"/>
          <w:szCs w:val="18"/>
          <w:color w:val="auto"/>
        </w:rPr>
        <w:t>The gross notional amount and estimated fair value of the derivatives held in our variable annuity hedging program, as well as the interest rate hedges allocated from our macro interest rate hedging program, were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March 31, 2023</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3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Gross Notional</w:t>
            </w:r>
          </w:p>
        </w:tc>
        <w:tc>
          <w:tcPr>
            <w:tcW w:w="100" w:type="dxa"/>
            <w:vAlign w:val="bottom"/>
          </w:tcPr>
          <w:p>
            <w:pPr>
              <w:spacing w:after="0"/>
              <w:rPr>
                <w:sz w:val="19"/>
                <w:szCs w:val="19"/>
                <w:color w:val="auto"/>
              </w:rPr>
            </w:pPr>
          </w:p>
        </w:tc>
        <w:tc>
          <w:tcPr>
            <w:tcW w:w="2360" w:type="dxa"/>
            <w:vAlign w:val="bottom"/>
            <w:gridSpan w:val="5"/>
          </w:tcPr>
          <w:p>
            <w:pPr>
              <w:ind w:left="440"/>
              <w:spacing w:after="0"/>
              <w:rPr>
                <w:sz w:val="20"/>
                <w:szCs w:val="20"/>
                <w:color w:val="auto"/>
              </w:rPr>
            </w:pPr>
            <w:r>
              <w:rPr>
                <w:rFonts w:ascii="Arial" w:cs="Arial" w:eastAsia="Arial" w:hAnsi="Arial"/>
                <w:sz w:val="14"/>
                <w:szCs w:val="14"/>
                <w:b w:val="1"/>
                <w:bCs w:val="1"/>
                <w:color w:val="auto"/>
              </w:rPr>
              <w:t>Estimated Fair Value</w:t>
            </w:r>
          </w:p>
        </w:tc>
        <w:tc>
          <w:tcPr>
            <w:tcW w:w="100" w:type="dxa"/>
            <w:vAlign w:val="bottom"/>
          </w:tcPr>
          <w:p>
            <w:pPr>
              <w:spacing w:after="0"/>
              <w:rPr>
                <w:sz w:val="19"/>
                <w:szCs w:val="19"/>
                <w:color w:val="auto"/>
              </w:rPr>
            </w:pPr>
          </w:p>
        </w:tc>
        <w:tc>
          <w:tcPr>
            <w:tcW w:w="1020" w:type="dxa"/>
            <w:vAlign w:val="bottom"/>
            <w:vMerge w:val="restart"/>
          </w:tcPr>
          <w:p>
            <w:pPr>
              <w:jc w:val="right"/>
              <w:ind w:right="43"/>
              <w:spacing w:after="0"/>
              <w:rPr>
                <w:sz w:val="20"/>
                <w:szCs w:val="20"/>
                <w:color w:val="auto"/>
              </w:rPr>
            </w:pPr>
            <w:r>
              <w:rPr>
                <w:rFonts w:ascii="Arial" w:cs="Arial" w:eastAsia="Arial" w:hAnsi="Arial"/>
                <w:sz w:val="14"/>
                <w:szCs w:val="14"/>
                <w:b w:val="1"/>
                <w:bCs w:val="1"/>
                <w:color w:val="auto"/>
                <w:w w:val="87"/>
              </w:rPr>
              <w:t>Gross Notional</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4"/>
          </w:tcPr>
          <w:p>
            <w:pPr>
              <w:jc w:val="right"/>
              <w:ind w:right="442"/>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24"/>
        </w:trPr>
        <w:tc>
          <w:tcPr>
            <w:tcW w:w="4000" w:type="dxa"/>
            <w:vAlign w:val="bottom"/>
            <w:gridSpan w:val="2"/>
            <w:vMerge w:val="restart"/>
          </w:tcPr>
          <w:p>
            <w:pPr>
              <w:ind w:left="1440"/>
              <w:spacing w:after="0"/>
              <w:rPr>
                <w:sz w:val="20"/>
                <w:szCs w:val="20"/>
                <w:color w:val="auto"/>
              </w:rPr>
            </w:pPr>
            <w:r>
              <w:rPr>
                <w:rFonts w:ascii="Arial" w:cs="Arial" w:eastAsia="Arial" w:hAnsi="Arial"/>
                <w:sz w:val="14"/>
                <w:szCs w:val="14"/>
                <w:b w:val="1"/>
                <w:bCs w:val="1"/>
                <w:color w:val="auto"/>
              </w:rPr>
              <w:t>Instrument Type</w:t>
            </w:r>
          </w:p>
        </w:tc>
        <w:tc>
          <w:tcPr>
            <w:tcW w:w="10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 (1)</w:t>
            </w:r>
          </w:p>
        </w:tc>
        <w:tc>
          <w:tcPr>
            <w:tcW w:w="100" w:type="dxa"/>
            <w:vAlign w:val="bottom"/>
          </w:tcPr>
          <w:p>
            <w:pPr>
              <w:spacing w:after="0"/>
              <w:rPr>
                <w:sz w:val="16"/>
                <w:szCs w:val="16"/>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6"/>
                <w:szCs w:val="16"/>
                <w:color w:val="auto"/>
              </w:rPr>
            </w:pPr>
          </w:p>
        </w:tc>
        <w:tc>
          <w:tcPr>
            <w:tcW w:w="1020" w:type="dxa"/>
            <w:vAlign w:val="bottom"/>
          </w:tcPr>
          <w:p>
            <w:pPr>
              <w:jc w:val="right"/>
              <w:ind w:right="143"/>
              <w:spacing w:after="0"/>
              <w:rPr>
                <w:sz w:val="20"/>
                <w:szCs w:val="20"/>
                <w:color w:val="auto"/>
              </w:rPr>
            </w:pPr>
            <w:r>
              <w:rPr>
                <w:rFonts w:ascii="Arial" w:cs="Arial" w:eastAsia="Arial" w:hAnsi="Arial"/>
                <w:sz w:val="14"/>
                <w:szCs w:val="14"/>
                <w:b w:val="1"/>
                <w:bCs w:val="1"/>
                <w:color w:val="auto"/>
              </w:rPr>
              <w:t>Amount (1)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6"/>
                <w:szCs w:val="16"/>
                <w:color w:val="auto"/>
              </w:rPr>
            </w:pPr>
          </w:p>
        </w:tc>
        <w:tc>
          <w:tcPr>
            <w:tcW w:w="940" w:type="dxa"/>
            <w:vAlign w:val="bottom"/>
          </w:tcPr>
          <w:p>
            <w:pPr>
              <w:jc w:val="right"/>
              <w:ind w:right="182"/>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90"/>
        </w:trPr>
        <w:tc>
          <w:tcPr>
            <w:tcW w:w="3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gridSpan w:val="4"/>
          </w:tcPr>
          <w:p>
            <w:pPr>
              <w:jc w:val="right"/>
              <w:ind w:right="723"/>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index options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13,484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13,862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10"/>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Equity total return swaps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43,941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858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32,909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215"/>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0"/>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Interest rate options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29,688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27,088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2"/>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rate forwards</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615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10,565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1,255</w:t>
            </w:r>
          </w:p>
        </w:tc>
        <w:tc>
          <w:tcPr>
            <w:tcW w:w="0" w:type="dxa"/>
            <w:vAlign w:val="bottom"/>
          </w:tcPr>
          <w:p>
            <w:pPr>
              <w:spacing w:after="0"/>
              <w:rPr>
                <w:sz w:val="1"/>
                <w:szCs w:val="1"/>
                <w:color w:val="auto"/>
              </w:rPr>
            </w:pPr>
          </w:p>
        </w:tc>
      </w:tr>
      <w:tr>
        <w:trPr>
          <w:trHeight w:val="208"/>
        </w:trPr>
        <w:tc>
          <w:tcPr>
            <w:tcW w:w="400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111,936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1,550</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2,029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
              <w:spacing w:after="0"/>
              <w:rPr>
                <w:sz w:val="20"/>
                <w:szCs w:val="20"/>
                <w:color w:val="auto"/>
              </w:rPr>
            </w:pPr>
            <w:r>
              <w:rPr>
                <w:rFonts w:ascii="Arial" w:cs="Arial" w:eastAsia="Arial" w:hAnsi="Arial"/>
                <w:sz w:val="16"/>
                <w:szCs w:val="16"/>
                <w:color w:val="auto"/>
              </w:rPr>
              <w:t>86,754</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1,139</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2,524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23" w:lineRule="exact"/>
        <w:rPr>
          <w:sz w:val="20"/>
          <w:szCs w:val="20"/>
          <w:color w:val="auto"/>
        </w:rPr>
      </w:pPr>
    </w:p>
    <w:p>
      <w:pPr>
        <w:ind w:left="320" w:hanging="314"/>
        <w:spacing w:after="0" w:line="264" w:lineRule="auto"/>
        <w:tabs>
          <w:tab w:leader="none" w:pos="31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gross notional amounts presented do not necessarily represent the relative economic coverage provided by option instruments because certain positions were closed out by entering into offsetting positions that are not netted in the above table.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Period-to-period changes in the estimated fair value of these hedges affect our net income, as well as stockholders’ equity and these effects can be material in any given period. See “Risk Factors — Risks Related to Our Business — Our variable annuity exposure risk management strategy may not be effective, may result in significant volatility in our profitability measures and may negatively affect our statutory capital,” “Management’s Discussion and Analysis of Financial Condition and Results of Operations — Summary of Critical Accounting Estimates” and “Management’s Discussion and Analysis of Financial Condition and Results of Operations — Risk Management Strategies” included in our 2022 Annual Report.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business and results of operations are materially affected by conditions in the global capital markets and the economy generally. Stressed conditions, volatility or disruptions in global capital markets, particular markets or financial asset classes can impact us adversely, in part because we have a large investment portfolio and our insurance liabilities and derivatives are sensitive to changing market factors. Changing conditions in the global capital markets and the economy may affect our financing costs and market interest rates for our debt or equity securities. For further information regarding market factors that could affect our ability to meet liquidity and capital needs, see “— Industry Trends and Uncertainties — Financial and Economic Environment,” as well as “Risk Factors — Economic Environment and Capital Markets-Related Risks” and “Risk Factors — Risks Related to Our Investment Portfolio” included in our 2022 Annual Report.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Management</w:t>
      </w:r>
    </w:p>
    <w:p>
      <w:pPr>
        <w:spacing w:after="0" w:line="11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Based upon our capitalization, expectations regarding maintaining our business mix, ratings, and funding sources available to us, we believe we have sufficient liquidity to meet business requirements in current market conditions and certain stress scenarios. Our Board of Directors and senior management are directly involved in the governance of the capital management process, including proposed changes to the annual capital plan and capital targets. We continuously monitor and adjust our liquidity and capital plans in light of market conditions, as well as changing needs and opportunities.</w:t>
      </w:r>
    </w:p>
    <w:p>
      <w:pPr>
        <w:spacing w:after="0" w:line="4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maintain a substantial short-term liquidity position, which was $3.5 billion and $3.6 billion at March 31, 2023 and December 31, 2022, respectively. Short-term liquidity is comprised of cash and cash equivalents and short-term investments, excluding assets that are pledged or otherwise committed. Assets pledged or otherwise committed include amounts received in connection with securities lending, derivatives and assets held on deposit or in trust.</w:t>
      </w:r>
    </w:p>
    <w:p>
      <w:pPr>
        <w:spacing w:after="0" w:line="3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An integral part of our liquidity management includes managing our level of liquid assets, which was $43.7 billion and $40.8 billion at March 31, 2023 and December 31, 2022, respectively. Liquid assets are comprised of cash and cash equivalents, short-term investments and publicly-traded securities, excluding assets that are pledged or otherwise committed. Assets pledged or otherwise committed include amounts received in connection with securities lending, funding agreements, derivatives and assets held on deposit or in trust.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Liquidity</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7"/>
          <w:szCs w:val="17"/>
          <w:color w:val="auto"/>
        </w:rPr>
        <w:t>Liquidity refers to our ability to generate adequate cash flows from our normal operations to meet the cash requirements of our operating, investing and financing activities. We determine our liquidity needs based on a rolling 12-month forecast by portfolio of invested assets, which we monitor daily. We adjust the general account asset and derivatives mix and general account asset maturities based on this rolling 12-month forecast. To support this forecast, we conduct cash flow and stress testing, which reflect the impact of various scenarios, including (i) the potential increase in our requirement to pledge additional collateral or return collateral to our counterparties, (ii) a reduction in new business sales, and (iii) the risk of early contract holder and policyholder withdrawals, as well as lapses and surrenders of existing policies and contracts. We include provisions limiting withdrawal rights in many of our products, which deter the customer from making withdrawals prior to the maturity date of the product. If significant cash is required beyond our anticipated liquidity needs, we have various alternatives available depending on market conditions and the amount and timing of the liquidity need. These available alternative sources of liquidity include cash flows from operations, sales of liquid assets and funding sources, including secured funding agreements, unsecured credit facilities and secured committed facilities.</w:t>
      </w:r>
    </w:p>
    <w:p>
      <w:pPr>
        <w:spacing w:after="0" w:line="76"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Under certain adverse market and economic conditions, our access to liquidity may deteriorate, or the cost to access liquidity may increase. See “Risk Factors — Economic Environment and Capital Markets-Related Risks — Adverse capital and credit market conditions may significantly affect our ability to meet liquidity needs and our access to capital” in our 2022 Annual Report.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Capital</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We manage our capital position to maintain our financial strength and credit ratings. Our capital position is supported by our ability to generate cash flows within our insurance companies, our ability to effectively manage the risks of our businesses and our expected ability to borrow funds and raise additional capital to meet operating and growth needs under a variety of market and economic conditions.</w:t>
      </w:r>
    </w:p>
    <w:p>
      <w:pPr>
        <w:spacing w:after="0" w:line="82" w:lineRule="exact"/>
        <w:rPr>
          <w:sz w:val="20"/>
          <w:szCs w:val="20"/>
          <w:color w:val="auto"/>
        </w:rPr>
      </w:pPr>
    </w:p>
    <w:p>
      <w:pPr>
        <w:jc w:val="both"/>
        <w:ind w:left="160" w:firstLine="318"/>
        <w:spacing w:after="0" w:line="250" w:lineRule="auto"/>
        <w:rPr>
          <w:sz w:val="20"/>
          <w:szCs w:val="20"/>
          <w:color w:val="auto"/>
        </w:rPr>
      </w:pPr>
      <w:r>
        <w:rPr>
          <w:rFonts w:ascii="Arial" w:cs="Arial" w:eastAsia="Arial" w:hAnsi="Arial"/>
          <w:sz w:val="18"/>
          <w:szCs w:val="18"/>
          <w:color w:val="auto"/>
        </w:rPr>
        <w:t>We monitor our debt-to-capital ratio using an average of our key leverage ratios as calculated by A.M. Best, Fitch, Moody’s and S&amp;P, and we aim to maintain a ratio commensurate with our financial strength and credit ratings. As such, we may opportunistically look to pursue additional financing over time, which may include borrowings under credit facilities, the issuance of debt, equity or hybrid securities, the incurrence of term loans, or the refinancing or extinguishment of existing indebtedness. There can be no assurance that we will be able to complete any such financing transactions on terms and conditions favorable to us or at all.</w:t>
      </w:r>
    </w:p>
    <w:p>
      <w:pPr>
        <w:spacing w:after="0" w:line="88" w:lineRule="exact"/>
        <w:rPr>
          <w:sz w:val="20"/>
          <w:szCs w:val="20"/>
          <w:color w:val="auto"/>
        </w:rPr>
      </w:pPr>
    </w:p>
    <w:p>
      <w:pPr>
        <w:jc w:val="both"/>
        <w:ind w:left="160" w:firstLine="318"/>
        <w:spacing w:after="0" w:line="271" w:lineRule="auto"/>
        <w:rPr>
          <w:sz w:val="20"/>
          <w:szCs w:val="20"/>
          <w:color w:val="auto"/>
        </w:rPr>
      </w:pPr>
      <w:r>
        <w:rPr>
          <w:rFonts w:ascii="Arial" w:cs="Arial" w:eastAsia="Arial" w:hAnsi="Arial"/>
          <w:sz w:val="17"/>
          <w:szCs w:val="17"/>
          <w:color w:val="auto"/>
        </w:rPr>
        <w:t>In support of our target combined risk-based capital (“RBC”) ratio of 400% to 450% in normal market conditions, we expect to continue to maintain a capital and exposure risk management program that targets total assets supporting our variable annuity contracts at or above the average of the worst two percent of a set of capital markets scenarios over the life of the contracts level in normal market conditions. With our risk management focus on the core drivers of our combined RBC ratio, we believe we can better manage our RBC in stressed market scenarios.</w:t>
      </w:r>
    </w:p>
    <w:p>
      <w:pPr>
        <w:spacing w:after="0" w:line="71" w:lineRule="exact"/>
        <w:rPr>
          <w:sz w:val="20"/>
          <w:szCs w:val="20"/>
          <w:color w:val="auto"/>
        </w:rPr>
      </w:pPr>
    </w:p>
    <w:p>
      <w:pPr>
        <w:jc w:val="both"/>
        <w:ind w:left="160" w:firstLine="318"/>
        <w:spacing w:after="0" w:line="268" w:lineRule="auto"/>
        <w:rPr>
          <w:sz w:val="20"/>
          <w:szCs w:val="20"/>
          <w:color w:val="auto"/>
        </w:rPr>
      </w:pPr>
      <w:r>
        <w:rPr>
          <w:rFonts w:ascii="Arial" w:cs="Arial" w:eastAsia="Arial" w:hAnsi="Arial"/>
          <w:sz w:val="17"/>
          <w:szCs w:val="17"/>
          <w:color w:val="auto"/>
        </w:rPr>
        <w:t>We have a share repurchase program under which repurchases may be made through open market purchases, including pursuant to 10b5-1 plans or pursuant to accelerated stock repurchase plans, or through privately negotiated transactions, from time to time at management’s discretion in accordance with applicable legal requirements. Common stock repurchases are dependent upon several factors, including our capital position, liquidity, financial strength and credit ratings, general market conditions, the market price of our common stock compared to management’s assessment of the stock’s underlying value and applicable regulatory approvals, as well as other legal and accounting factors.</w:t>
      </w:r>
    </w:p>
    <w:p>
      <w:pPr>
        <w:spacing w:after="0" w:line="75"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We currently have no plans to declare and pay dividends on our common stock. Any future declaration and payment of dividends or other distributions or returns of capital will be at the discretion of our Board of Directors and will depend on and be subject to our financial condition, results of operations, cash needs, regulatory and other constraints, capital requirements (including capital requirements of our insurance subsidiaries), contractual restrictions and any other factors that our Board of Directors deems relevant in making such a determination. Therefore, there can be no assurance that we will pay any dividends or make other distributions or returns of capital on our common stock, or as to the amount of any such dividends, distributions or returns of capital.</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Sources and Uses of Liquidity and Capital</w:t>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primary sources and uses of liquidity and capital were as follows at:</w:t>
      </w:r>
    </w:p>
    <w:p>
      <w:pPr>
        <w:spacing w:after="0" w:line="247"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r>
      <w:tr>
        <w:trPr>
          <w:trHeight w:val="191"/>
        </w:trPr>
        <w:tc>
          <w:tcPr>
            <w:tcW w:w="8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gridSpan w:val="3"/>
          </w:tcPr>
          <w:p>
            <w:pPr>
              <w:jc w:val="right"/>
              <w:ind w:right="46"/>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6"/>
                <w:szCs w:val="16"/>
                <w:color w:val="auto"/>
              </w:rPr>
            </w:pP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Sources: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Changes in policyholder account balances, net</w:t>
            </w:r>
          </w:p>
        </w:tc>
        <w:tc>
          <w:tcPr>
            <w:tcW w:w="860" w:type="dxa"/>
            <w:vAlign w:val="bottom"/>
          </w:tcPr>
          <w:p>
            <w:pPr>
              <w:jc w:val="right"/>
              <w:ind w:right="683"/>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1,566</w:t>
            </w:r>
          </w:p>
        </w:tc>
        <w:tc>
          <w:tcPr>
            <w:tcW w:w="120" w:type="dxa"/>
            <w:vAlign w:val="bottom"/>
          </w:tcPr>
          <w:p>
            <w:pPr>
              <w:spacing w:after="0"/>
              <w:rPr>
                <w:sz w:val="18"/>
                <w:szCs w:val="18"/>
                <w:color w:val="auto"/>
              </w:rPr>
            </w:pPr>
          </w:p>
        </w:tc>
        <w:tc>
          <w:tcPr>
            <w:tcW w:w="440" w:type="dxa"/>
            <w:vAlign w:val="bottom"/>
          </w:tcPr>
          <w:p>
            <w:pPr>
              <w:jc w:val="right"/>
              <w:ind w:right="286"/>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2,649</w:t>
            </w:r>
          </w:p>
        </w:tc>
      </w:tr>
      <w:tr>
        <w:trPr>
          <w:trHeight w:val="215"/>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element on certain derivative instruments and other derivative related transactions, net</w:t>
            </w:r>
          </w:p>
        </w:tc>
        <w:tc>
          <w:tcPr>
            <w:tcW w:w="8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8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sources</w:t>
            </w: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1,657</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2,649</w:t>
            </w:r>
          </w:p>
        </w:tc>
      </w:tr>
      <w:tr>
        <w:trPr>
          <w:trHeight w:val="195"/>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Uses:</w:t>
            </w: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Operating activities, net</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199</w:t>
            </w:r>
          </w:p>
        </w:tc>
      </w:tr>
      <w:tr>
        <w:trPr>
          <w:trHeight w:val="215"/>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 net</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1,325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2,519</w:t>
            </w:r>
          </w:p>
        </w:tc>
      </w:tr>
      <w:tr>
        <w:trPr>
          <w:trHeight w:val="209"/>
        </w:trPr>
        <w:tc>
          <w:tcPr>
            <w:tcW w:w="8400" w:type="dxa"/>
            <w:vAlign w:val="bottom"/>
          </w:tcPr>
          <w:p>
            <w:pPr>
              <w:ind w:left="20"/>
              <w:spacing w:after="0"/>
              <w:rPr>
                <w:sz w:val="20"/>
                <w:szCs w:val="20"/>
                <w:color w:val="auto"/>
              </w:rPr>
            </w:pPr>
            <w:r>
              <w:rPr>
                <w:rFonts w:ascii="Arial" w:cs="Arial" w:eastAsia="Arial" w:hAnsi="Arial"/>
                <w:sz w:val="16"/>
                <w:szCs w:val="16"/>
                <w:color w:val="auto"/>
              </w:rPr>
              <w:t>Changes in payables for collateral under securities loaned and other transactions, net</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5"/>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 repaid</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Dividends on preferred stock</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5"/>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Treasury stock acquired in connection with share repurchases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09"/>
        </w:trPr>
        <w:tc>
          <w:tcPr>
            <w:tcW w:w="8400" w:type="dxa"/>
            <w:vAlign w:val="bottom"/>
          </w:tcPr>
          <w:p>
            <w:pPr>
              <w:ind w:left="20"/>
              <w:spacing w:after="0"/>
              <w:rPr>
                <w:sz w:val="20"/>
                <w:szCs w:val="20"/>
                <w:color w:val="auto"/>
              </w:rPr>
            </w:pPr>
            <w:r>
              <w:rPr>
                <w:rFonts w:ascii="Arial" w:cs="Arial" w:eastAsia="Arial" w:hAnsi="Arial"/>
                <w:sz w:val="16"/>
                <w:szCs w:val="16"/>
                <w:color w:val="auto"/>
              </w:rPr>
              <w:t>Financing element on certain derivative instruments and other derivative related transactions, net</w:t>
            </w:r>
          </w:p>
        </w:tc>
        <w:tc>
          <w:tcPr>
            <w:tcW w:w="8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5"/>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8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3"/>
        </w:trPr>
        <w:tc>
          <w:tcPr>
            <w:tcW w:w="84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uses</w:t>
            </w: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2,087</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3,022</w:t>
            </w:r>
          </w:p>
        </w:tc>
      </w:tr>
      <w:tr>
        <w:trPr>
          <w:trHeight w:val="233"/>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increase (decrease) in cash and cash equivalents</w:t>
            </w:r>
          </w:p>
        </w:tc>
        <w:tc>
          <w:tcPr>
            <w:tcW w:w="860" w:type="dxa"/>
            <w:vAlign w:val="bottom"/>
            <w:tcBorders>
              <w:bottom w:val="single" w:sz="8" w:color="auto"/>
            </w:tcBorders>
            <w:shd w:val="clear" w:color="auto" w:fill="CCEEFF"/>
          </w:tcPr>
          <w:p>
            <w:pPr>
              <w:jc w:val="right"/>
              <w:ind w:right="68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8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7" w:name="page88"/>
    <w:bookmarkEnd w:id="87"/>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Cash Flows from Operating Activities</w:t>
      </w:r>
    </w:p>
    <w:p>
      <w:pPr>
        <w:spacing w:after="0" w:line="111" w:lineRule="exact"/>
        <w:rPr>
          <w:sz w:val="20"/>
          <w:szCs w:val="20"/>
          <w:color w:val="auto"/>
        </w:rPr>
      </w:pPr>
    </w:p>
    <w:p>
      <w:pPr>
        <w:jc w:val="both"/>
        <w:ind w:left="320" w:firstLine="318"/>
        <w:spacing w:after="0" w:line="277" w:lineRule="auto"/>
        <w:rPr>
          <w:sz w:val="20"/>
          <w:szCs w:val="20"/>
          <w:color w:val="auto"/>
        </w:rPr>
      </w:pPr>
      <w:r>
        <w:rPr>
          <w:rFonts w:ascii="Arial" w:cs="Arial" w:eastAsia="Arial" w:hAnsi="Arial"/>
          <w:sz w:val="17"/>
          <w:szCs w:val="17"/>
          <w:color w:val="auto"/>
        </w:rPr>
        <w:t>The principal cash inflows from our insurance activities come from insurance premiums, annuity considerations and net investment income. The principal cash outflows are the result of various annuity and life insurance products, operating expenses and income tax, as well as interest expense. The primary liquidity concern with respect to these cash flows is the risk of early contract holder and policyholder withdrawal.</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Cash Flows from Investing Activities</w:t>
      </w:r>
    </w:p>
    <w:p>
      <w:pPr>
        <w:spacing w:after="0" w:line="111" w:lineRule="exact"/>
        <w:rPr>
          <w:sz w:val="20"/>
          <w:szCs w:val="20"/>
          <w:color w:val="auto"/>
        </w:rPr>
      </w:pPr>
    </w:p>
    <w:p>
      <w:pPr>
        <w:jc w:val="both"/>
        <w:ind w:left="320" w:firstLine="318"/>
        <w:spacing w:after="0" w:line="312" w:lineRule="auto"/>
        <w:rPr>
          <w:sz w:val="20"/>
          <w:szCs w:val="20"/>
          <w:color w:val="auto"/>
        </w:rPr>
      </w:pPr>
      <w:r>
        <w:rPr>
          <w:rFonts w:ascii="Arial" w:cs="Arial" w:eastAsia="Arial" w:hAnsi="Arial"/>
          <w:sz w:val="15"/>
          <w:szCs w:val="15"/>
          <w:color w:val="auto"/>
        </w:rPr>
        <w:t>The principal cash inflows from our investment activities come from repayments of principal, proceeds from maturities and sales of investments, as well as settlements of freestanding derivatives. The principal cash outflows relate to purchases of investments and settlements of freestanding derivatives. We typically can have a net cash outflow from investing activities because cash inflows from insurance operations are reinvested in accordance with our ALM discipline to fund insurance liabilities. We closely monitor and manage these risks through our comprehensive investment risk management process. The primary liquidity concerns with respect to these cash flows are the risk of default by debtors and market disruption.</w:t>
      </w:r>
    </w:p>
    <w:p>
      <w:pPr>
        <w:spacing w:after="0" w:line="4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Cash Flows from Financing Activities</w:t>
      </w:r>
    </w:p>
    <w:p>
      <w:pPr>
        <w:spacing w:after="0" w:line="111"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The principal cash inflows from our financing activities come from issuances of debt and equity securities, deposits of funds associated with policyholder account balances and lending of securities. The principal cash outflows come from repayments of debt, common stock repurchases, preferred stock dividends, withdrawals associated with policyholder account balances and the return of securities on loan. The primary liquidity concerns with respect to these cash flows are market disruption and the risk of early policyholder withdrawal.</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Primary Sources of Liquidity and Capital</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In addition to the summary description of liquidity and capital sources discussed in “— Sources and Uses of Liquidity and Capital,” the following additional information is provided regarding our primary sources of liquidity and capital:</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Funding Sources</w:t>
      </w:r>
    </w:p>
    <w:p>
      <w:pPr>
        <w:spacing w:after="0" w:line="111" w:lineRule="exact"/>
        <w:rPr>
          <w:sz w:val="20"/>
          <w:szCs w:val="20"/>
          <w:color w:val="auto"/>
        </w:rPr>
      </w:pPr>
    </w:p>
    <w:p>
      <w:pPr>
        <w:jc w:val="both"/>
        <w:ind w:left="320" w:firstLine="318"/>
        <w:spacing w:after="0" w:line="267" w:lineRule="auto"/>
        <w:rPr>
          <w:sz w:val="20"/>
          <w:szCs w:val="20"/>
          <w:color w:val="auto"/>
        </w:rPr>
      </w:pPr>
      <w:r>
        <w:rPr>
          <w:rFonts w:ascii="Arial" w:cs="Arial" w:eastAsia="Arial" w:hAnsi="Arial"/>
          <w:sz w:val="17"/>
          <w:szCs w:val="17"/>
          <w:color w:val="auto"/>
        </w:rPr>
        <w:t>Liquidity is provided by a variety of funding sources, including secured and unsecured funding agreements, unsecured credit facilities and secured committed facilities. Capital is provided by a variety of funding sources, including issuances of debt and equity securities, as well as borrowings under our credit facilities. We maintain a shelf registration statement with the SEC that permits the issuance of public debt, equity and hybrid securities. As a “Well-Known Seasoned Issuer” under SEC rules, our shelf registration statement provides for automatic effectiveness upon filing and has no stated issuance capacity. The diversity of our funding sources enhances our funding flexibility, limits dependence on any one market or source of funds and generally lowers the cost of funds. Our primary funding sources include:</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Preferred Stock</w:t>
      </w:r>
    </w:p>
    <w:p>
      <w:pPr>
        <w:spacing w:after="0" w:line="111" w:lineRule="exact"/>
        <w:rPr>
          <w:sz w:val="20"/>
          <w:szCs w:val="20"/>
          <w:color w:val="auto"/>
        </w:rPr>
      </w:pPr>
    </w:p>
    <w:p>
      <w:pPr>
        <w:jc w:val="both"/>
        <w:ind w:left="480" w:firstLine="318"/>
        <w:spacing w:after="0" w:line="264" w:lineRule="auto"/>
        <w:rPr>
          <w:sz w:val="20"/>
          <w:szCs w:val="20"/>
          <w:color w:val="auto"/>
        </w:rPr>
      </w:pPr>
      <w:r>
        <w:rPr>
          <w:rFonts w:ascii="Arial" w:cs="Arial" w:eastAsia="Arial" w:hAnsi="Arial"/>
          <w:sz w:val="18"/>
          <w:szCs w:val="18"/>
          <w:color w:val="auto"/>
        </w:rPr>
        <w:t>See Note 9 of the Notes to the Interim Condensed Consolidated Financial Statements and Note 10 of the Notes to the Consolidated Financial Statements included in our 2022 Annual Report for information on preferred stock issuances.</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Funding Agreements</w:t>
      </w:r>
    </w:p>
    <w:p>
      <w:pPr>
        <w:spacing w:after="0" w:line="111" w:lineRule="exact"/>
        <w:rPr>
          <w:sz w:val="20"/>
          <w:szCs w:val="20"/>
          <w:color w:val="auto"/>
        </w:rPr>
      </w:pPr>
    </w:p>
    <w:p>
      <w:pPr>
        <w:jc w:val="both"/>
        <w:ind w:left="480" w:firstLine="318"/>
        <w:spacing w:after="0" w:line="252" w:lineRule="auto"/>
        <w:rPr>
          <w:sz w:val="20"/>
          <w:szCs w:val="20"/>
          <w:color w:val="auto"/>
        </w:rPr>
      </w:pPr>
      <w:r>
        <w:rPr>
          <w:rFonts w:ascii="Arial" w:cs="Arial" w:eastAsia="Arial" w:hAnsi="Arial"/>
          <w:sz w:val="18"/>
          <w:szCs w:val="18"/>
          <w:color w:val="auto"/>
        </w:rPr>
        <w:t>Brighthouse Life Insurance Company issues funding agreements and uses the proceeds from such issuances for spread lending purposes in connection with our institutional spread margin business or to provide additional liquidity. The institutional spread margin business is comprised of funding agreements issued in connection with the programs described in more detail below. See Note 3 of the Notes to the Consolidated Financial Statements included in our 2022 Annual Report for additional information on funding agreements.</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Funding Agreement-Backed Commercial Paper Program</w:t>
      </w:r>
    </w:p>
    <w:p>
      <w:pPr>
        <w:spacing w:after="0" w:line="111" w:lineRule="exact"/>
        <w:rPr>
          <w:sz w:val="20"/>
          <w:szCs w:val="20"/>
          <w:color w:val="auto"/>
        </w:rPr>
      </w:pPr>
    </w:p>
    <w:p>
      <w:pPr>
        <w:jc w:val="both"/>
        <w:ind w:left="640" w:firstLine="318"/>
        <w:spacing w:after="0" w:line="250" w:lineRule="auto"/>
        <w:rPr>
          <w:sz w:val="20"/>
          <w:szCs w:val="20"/>
          <w:color w:val="auto"/>
        </w:rPr>
      </w:pPr>
      <w:r>
        <w:rPr>
          <w:rFonts w:ascii="Arial" w:cs="Arial" w:eastAsia="Arial" w:hAnsi="Arial"/>
          <w:sz w:val="18"/>
          <w:szCs w:val="18"/>
          <w:color w:val="auto"/>
        </w:rPr>
        <w:t>In July 2021, Brighthouse Life Insurance Company established a funding agreement-backed commercial paper program (the “FABCP Program”) for spread lending purposes, pursuant to which a special purpose limited liability company (the “SPLLC”) may issue commercial paper and deposit the proceeds with Brighthouse Life Insurance Company under a funding agreement issued by Brighthouse Life Insurance Company to the SPLLC. The maximum aggregate principal amount permitted to be outstanding at any one time under the FABCP Program is $3.0 billion. Activity related to this funding agreement is reported in Corporate &amp; Other.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Funding Agreement-Backed Notes Program</w:t>
      </w:r>
    </w:p>
    <w:p>
      <w:pPr>
        <w:spacing w:after="0" w:line="111" w:lineRule="exact"/>
        <w:rPr>
          <w:sz w:val="20"/>
          <w:szCs w:val="20"/>
          <w:color w:val="auto"/>
        </w:rPr>
      </w:pPr>
    </w:p>
    <w:p>
      <w:pPr>
        <w:jc w:val="both"/>
        <w:ind w:left="640" w:firstLine="318"/>
        <w:spacing w:after="0" w:line="252" w:lineRule="auto"/>
        <w:rPr>
          <w:sz w:val="20"/>
          <w:szCs w:val="20"/>
          <w:color w:val="auto"/>
        </w:rPr>
      </w:pPr>
      <w:r>
        <w:rPr>
          <w:rFonts w:ascii="Arial" w:cs="Arial" w:eastAsia="Arial" w:hAnsi="Arial"/>
          <w:sz w:val="18"/>
          <w:szCs w:val="18"/>
          <w:color w:val="auto"/>
        </w:rPr>
        <w:t>In April 2021, Brighthouse Life Insurance Company established a funding agreement-backed notes program (the “FABN Program”), pursuant to which Brighthouse Life Insurance Company may issue funding agreements to a special purpose statutory trust for spread lending purposes. The maximum aggregate principal amount permitted to be outstanding at any one time under the FABN Program is $7.0 billion. Activity related to these funding agreements is reported in Corporate &amp; Other.</w:t>
      </w:r>
    </w:p>
    <w:p>
      <w:pPr>
        <w:spacing w:after="0" w:line="8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Federal Home Loan Bank Funding Agreements</w:t>
      </w:r>
    </w:p>
    <w:p>
      <w:pPr>
        <w:spacing w:after="0" w:line="111" w:lineRule="exact"/>
        <w:rPr>
          <w:sz w:val="20"/>
          <w:szCs w:val="20"/>
          <w:color w:val="auto"/>
        </w:rPr>
      </w:pPr>
    </w:p>
    <w:p>
      <w:pPr>
        <w:jc w:val="both"/>
        <w:ind w:left="640" w:firstLine="318"/>
        <w:spacing w:after="0" w:line="255" w:lineRule="auto"/>
        <w:rPr>
          <w:sz w:val="20"/>
          <w:szCs w:val="20"/>
          <w:color w:val="auto"/>
        </w:rPr>
      </w:pPr>
      <w:r>
        <w:rPr>
          <w:rFonts w:ascii="Arial" w:cs="Arial" w:eastAsia="Arial" w:hAnsi="Arial"/>
          <w:sz w:val="18"/>
          <w:szCs w:val="18"/>
          <w:color w:val="auto"/>
        </w:rPr>
        <w:t>Brighthouse Life Insurance Company is a member of the Federal Home Loan Bank (“FHLB”) of Atlanta, where it maintains a secured funding agreement program, under which funding agreements may be issued either (i) for spread lending purposes or (ii) to provide additional liquidity. Activity related to these funding agreements is reported in Corporate &amp; Other.</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Farmer Mac Funding Agreements</w:t>
      </w:r>
    </w:p>
    <w:p>
      <w:pPr>
        <w:spacing w:after="0" w:line="111" w:lineRule="exact"/>
        <w:rPr>
          <w:sz w:val="20"/>
          <w:szCs w:val="20"/>
          <w:color w:val="auto"/>
        </w:rPr>
      </w:pPr>
    </w:p>
    <w:p>
      <w:pPr>
        <w:jc w:val="both"/>
        <w:ind w:left="640" w:firstLine="318"/>
        <w:spacing w:after="0" w:line="252" w:lineRule="auto"/>
        <w:rPr>
          <w:sz w:val="20"/>
          <w:szCs w:val="20"/>
          <w:color w:val="auto"/>
        </w:rPr>
      </w:pPr>
      <w:r>
        <w:rPr>
          <w:rFonts w:ascii="Arial" w:cs="Arial" w:eastAsia="Arial" w:hAnsi="Arial"/>
          <w:sz w:val="18"/>
          <w:szCs w:val="18"/>
          <w:color w:val="auto"/>
        </w:rPr>
        <w:t>Brighthouse Life Insurance Company has a secured funding agreement program with the Federal Agricultural Mortgage Corporation and its affiliate Farmer Mac Mortgage Securities Corporation (“Farmer Mac”) with a term ending on December 1, 2026, pursuant to which the parties may enter into funding agreements in an aggregate amount of up to $750 million either (i) for spread lending purposes or (ii) to provide additional liquidity. Activity related to these funding agreements is reported in Corporate &amp; Other.</w:t>
      </w:r>
    </w:p>
    <w:p>
      <w:pPr>
        <w:spacing w:after="0" w:line="8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Information regarding funding agreements issued for spread lending purposes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60" w:type="dxa"/>
            <w:vAlign w:val="bottom"/>
            <w:gridSpan w:val="5"/>
            <w:vMerge w:val="restart"/>
          </w:tcPr>
          <w:p>
            <w:pPr>
              <w:jc w:val="center"/>
              <w:ind w:right="360"/>
              <w:spacing w:after="0"/>
              <w:rPr>
                <w:sz w:val="20"/>
                <w:szCs w:val="20"/>
                <w:color w:val="auto"/>
              </w:rPr>
            </w:pPr>
            <w:r>
              <w:rPr>
                <w:rFonts w:ascii="Arial" w:cs="Arial" w:eastAsia="Arial" w:hAnsi="Arial"/>
                <w:sz w:val="14"/>
                <w:szCs w:val="14"/>
                <w:b w:val="1"/>
                <w:bCs w:val="1"/>
                <w:color w:val="auto"/>
                <w:w w:val="92"/>
              </w:rPr>
              <w:t>Aggregate Principal Amount</w:t>
            </w:r>
          </w:p>
        </w:tc>
        <w:tc>
          <w:tcPr>
            <w:tcW w:w="200" w:type="dxa"/>
            <w:vAlign w:val="bottom"/>
          </w:tcPr>
          <w:p>
            <w:pPr>
              <w:spacing w:after="0"/>
              <w:rPr>
                <w:sz w:val="15"/>
                <w:szCs w:val="15"/>
                <w:color w:val="auto"/>
              </w:rPr>
            </w:pPr>
          </w:p>
        </w:tc>
        <w:tc>
          <w:tcPr>
            <w:tcW w:w="2260" w:type="dxa"/>
            <w:vAlign w:val="bottom"/>
            <w:gridSpan w:val="5"/>
          </w:tcPr>
          <w:p>
            <w:pPr>
              <w:ind w:left="700"/>
              <w:spacing w:after="0"/>
              <w:rPr>
                <w:sz w:val="20"/>
                <w:szCs w:val="20"/>
                <w:color w:val="auto"/>
              </w:rPr>
            </w:pPr>
            <w:r>
              <w:rPr>
                <w:rFonts w:ascii="Arial" w:cs="Arial" w:eastAsia="Arial" w:hAnsi="Arial"/>
                <w:sz w:val="14"/>
                <w:szCs w:val="14"/>
                <w:b w:val="1"/>
                <w:bCs w:val="1"/>
                <w:color w:val="auto"/>
              </w:rPr>
              <w:t>Issuances</w:t>
            </w:r>
          </w:p>
        </w:tc>
        <w:tc>
          <w:tcPr>
            <w:tcW w:w="26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Repayments</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60" w:type="dxa"/>
            <w:vAlign w:val="bottom"/>
            <w:gridSpan w:val="5"/>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4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w w:val="95"/>
              </w:rPr>
              <w:t>December 31, 2022</w:t>
            </w:r>
          </w:p>
        </w:tc>
        <w:tc>
          <w:tcPr>
            <w:tcW w:w="10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1"/>
        </w:trPr>
        <w:tc>
          <w:tcPr>
            <w:tcW w:w="2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FABCP Program</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2,213</w:t>
            </w:r>
          </w:p>
        </w:tc>
        <w:tc>
          <w:tcPr>
            <w:tcW w:w="0" w:type="dxa"/>
            <w:vAlign w:val="bottom"/>
          </w:tcPr>
          <w:p>
            <w:pPr>
              <w:spacing w:after="0"/>
              <w:rPr>
                <w:sz w:val="1"/>
                <w:szCs w:val="1"/>
                <w:color w:val="auto"/>
              </w:rPr>
            </w:pPr>
          </w:p>
        </w:tc>
      </w:tr>
      <w:tr>
        <w:trPr>
          <w:trHeight w:val="209"/>
        </w:trPr>
        <w:tc>
          <w:tcPr>
            <w:tcW w:w="2940" w:type="dxa"/>
            <w:vAlign w:val="bottom"/>
          </w:tcPr>
          <w:p>
            <w:pPr>
              <w:ind w:left="20"/>
              <w:spacing w:after="0"/>
              <w:rPr>
                <w:sz w:val="20"/>
                <w:szCs w:val="20"/>
                <w:color w:val="auto"/>
              </w:rPr>
            </w:pPr>
            <w:r>
              <w:rPr>
                <w:rFonts w:ascii="Arial" w:cs="Arial" w:eastAsia="Arial" w:hAnsi="Arial"/>
                <w:sz w:val="16"/>
                <w:szCs w:val="16"/>
                <w:color w:val="auto"/>
              </w:rPr>
              <w:t>FABN Program</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3,450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FHLB Funding Agreements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10"/>
        </w:trPr>
        <w:tc>
          <w:tcPr>
            <w:tcW w:w="2940" w:type="dxa"/>
            <w:vAlign w:val="bottom"/>
          </w:tcPr>
          <w:p>
            <w:pPr>
              <w:ind w:left="20"/>
              <w:spacing w:after="0"/>
              <w:rPr>
                <w:sz w:val="20"/>
                <w:szCs w:val="20"/>
                <w:color w:val="auto"/>
              </w:rPr>
            </w:pPr>
            <w:r>
              <w:rPr>
                <w:rFonts w:ascii="Arial" w:cs="Arial" w:eastAsia="Arial" w:hAnsi="Arial"/>
                <w:sz w:val="16"/>
                <w:szCs w:val="16"/>
                <w:color w:val="auto"/>
              </w:rPr>
              <w:t>Farmer Mac Funding Agreements</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2"/>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9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10,147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3,063</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Debt Issuances</w:t>
      </w:r>
    </w:p>
    <w:p>
      <w:pPr>
        <w:spacing w:after="0" w:line="11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See Note 9 of the Notes to the Consolidated Financial Statements included in our 2022 Annual Report for information on debt issuances.</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Credit and Committed Facilities</w:t>
      </w:r>
    </w:p>
    <w:p>
      <w:pPr>
        <w:spacing w:after="0" w:line="111" w:lineRule="exact"/>
        <w:rPr>
          <w:sz w:val="20"/>
          <w:szCs w:val="20"/>
          <w:color w:val="auto"/>
        </w:rPr>
      </w:pPr>
    </w:p>
    <w:p>
      <w:pPr>
        <w:jc w:val="both"/>
        <w:ind w:left="480" w:firstLine="318"/>
        <w:spacing w:after="0" w:line="264" w:lineRule="auto"/>
        <w:rPr>
          <w:sz w:val="20"/>
          <w:szCs w:val="20"/>
          <w:color w:val="auto"/>
        </w:rPr>
      </w:pPr>
      <w:r>
        <w:rPr>
          <w:rFonts w:ascii="Arial" w:cs="Arial" w:eastAsia="Arial" w:hAnsi="Arial"/>
          <w:sz w:val="18"/>
          <w:szCs w:val="18"/>
          <w:color w:val="auto"/>
        </w:rPr>
        <w:t>See Notes 9 and 10 of the Notes to the Consolidated Financial Statements included in our 2022 Annual Report for information regarding our credit and committed facilities.</w:t>
      </w:r>
    </w:p>
    <w:p>
      <w:pPr>
        <w:spacing w:after="0" w:line="75" w:lineRule="exact"/>
        <w:rPr>
          <w:sz w:val="20"/>
          <w:szCs w:val="20"/>
          <w:color w:val="auto"/>
        </w:rPr>
      </w:pPr>
    </w:p>
    <w:p>
      <w:pPr>
        <w:jc w:val="both"/>
        <w:ind w:left="480" w:firstLine="318"/>
        <w:spacing w:after="0" w:line="255" w:lineRule="auto"/>
        <w:rPr>
          <w:sz w:val="20"/>
          <w:szCs w:val="20"/>
          <w:color w:val="auto"/>
        </w:rPr>
      </w:pPr>
      <w:r>
        <w:rPr>
          <w:rFonts w:ascii="Arial" w:cs="Arial" w:eastAsia="Arial" w:hAnsi="Arial"/>
          <w:sz w:val="18"/>
          <w:szCs w:val="18"/>
          <w:color w:val="auto"/>
        </w:rPr>
        <w:t>We have no reason to believe that our lending counterparties would be unable to fulfill their respective contractual obligations under these facilities. As commitments under our credit and committed facilities may expire unused, these amounts do not necessarily reflect our actual future cash funding requirements.</w:t>
      </w:r>
    </w:p>
    <w:p>
      <w:pPr>
        <w:spacing w:after="0" w:line="82" w:lineRule="exact"/>
        <w:rPr>
          <w:sz w:val="20"/>
          <w:szCs w:val="20"/>
          <w:color w:val="auto"/>
        </w:rPr>
      </w:pPr>
    </w:p>
    <w:p>
      <w:pPr>
        <w:jc w:val="both"/>
        <w:ind w:left="480" w:firstLine="318"/>
        <w:spacing w:after="0" w:line="252" w:lineRule="auto"/>
        <w:rPr>
          <w:sz w:val="20"/>
          <w:szCs w:val="20"/>
          <w:color w:val="auto"/>
        </w:rPr>
      </w:pPr>
      <w:r>
        <w:rPr>
          <w:rFonts w:ascii="Arial" w:cs="Arial" w:eastAsia="Arial" w:hAnsi="Arial"/>
          <w:sz w:val="18"/>
          <w:szCs w:val="18"/>
          <w:color w:val="auto"/>
        </w:rPr>
        <w:t>Our Revolving Credit Facility contains financial covenants, including requirements to maintain a specified minimum adjusted consolidated net worth, to maintain a ratio of total indebtedness to total capitalization not in excess of a specified percentage and that place limitations on the dollar amount of indebtedness that may be incurred by our subsidiaries, which could restrict our operations and use of funds. At March 31, 2023, we were in compliance with these financial covenants.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89" w:name="page90"/>
    <w:bookmarkEnd w:id="89"/>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Primary Uses of Liquidity and Capital</w:t>
      </w:r>
    </w:p>
    <w:p>
      <w:pPr>
        <w:spacing w:after="0" w:line="111" w:lineRule="exact"/>
        <w:rPr>
          <w:sz w:val="20"/>
          <w:szCs w:val="20"/>
          <w:color w:val="auto"/>
        </w:rPr>
      </w:pPr>
    </w:p>
    <w:p>
      <w:pPr>
        <w:ind w:left="160" w:firstLine="318"/>
        <w:spacing w:after="0" w:line="264" w:lineRule="auto"/>
        <w:rPr>
          <w:sz w:val="20"/>
          <w:szCs w:val="20"/>
          <w:color w:val="auto"/>
        </w:rPr>
      </w:pPr>
      <w:r>
        <w:rPr>
          <w:rFonts w:ascii="Arial" w:cs="Arial" w:eastAsia="Arial" w:hAnsi="Arial"/>
          <w:sz w:val="18"/>
          <w:szCs w:val="18"/>
          <w:color w:val="auto"/>
        </w:rPr>
        <w:t>In addition to the summarized description of liquidity and capital uses discussed in “— Sources and Uses of Liquidity and Capital,” the following additional information is provided regarding our primary uses of liquidity and capital:</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Common Stock Repurchases</w:t>
      </w:r>
    </w:p>
    <w:p>
      <w:pPr>
        <w:spacing w:after="0" w:line="111"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See Note 9 of the Notes to the Interim Condensed Consolidated Financial Statements for information relating to authorizations to repurchase BHF common stock, amounts of common stock repurchased pursuant to such authorizations and the amount remaining under such authorizations at March 31, 2023. Subsequent to March 31, 2023 and through May 5, 2023, BHF repurchased an additional 562,813 shares of its common stock through open market purchases, pursuant to a 10b5-1 plan, for $24 million.</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Preferred Stock Dividends</w:t>
      </w:r>
    </w:p>
    <w:p>
      <w:pPr>
        <w:spacing w:after="0" w:line="111"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8"/>
          <w:szCs w:val="18"/>
          <w:color w:val="auto"/>
        </w:rPr>
        <w:t>See Note 9 of the Notes to the Interim Condensed Consolidated Financial Statements for information relating to dividends declared and paid on our preferred stock.</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“Dividend Stopper” Provisions in BHF’s Preferred Stock and Junior Subordinated Debentures</w:t>
      </w:r>
    </w:p>
    <w:p>
      <w:pPr>
        <w:spacing w:after="0" w:line="111"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7"/>
          <w:szCs w:val="17"/>
          <w:color w:val="auto"/>
        </w:rPr>
        <w:t>Terms applicable to our junior subordinated debentures may restrict our ability to pay interest on those debentures in certain circumstances. Suspension of payments of interest on our junior subordinated debentures, whether required under the relevant indenture or optional, could cause “dividend stopper” provisions applicable under those and other instruments to restrict our ability to pay dividends, if any, on our common stock and repurchase our common stock in various situations, including situations where we may be experiencing financial stress, and may restrict our ability to pay dividends or interest on our preferred stock and junior subordinated debentures as well. Similarly, the terms of our outstanding preferred stock contain restrictions on our ability to repurchase our common stock or pay dividends thereon if we have not fulfilled our dividend obligations under such preferred stock or other preferred securities. In addition, the terms of the agreements governing any preferred stock, debt or other financial instruments that we may issue in the future, may limit or prohibit the payment of dividends on our common stock or preferred stock, or the payment of interest on our junior subordinated debentures.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Debt Repayments, Repurchases, Redemptions and Exchanges</w:t>
      </w:r>
    </w:p>
    <w:p>
      <w:pPr>
        <w:spacing w:after="0" w:line="111"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8"/>
          <w:szCs w:val="18"/>
          <w:color w:val="auto"/>
        </w:rPr>
        <w:t>See Note 9 of the Notes to the Consolidated Financial Statements included in our 2022 Annual Report for information on debt repayments and repurchases, as well as debt maturities and the terms of our outstanding long-term debt.</w:t>
      </w:r>
    </w:p>
    <w:p>
      <w:pPr>
        <w:spacing w:after="0" w:line="75" w:lineRule="exact"/>
        <w:rPr>
          <w:sz w:val="20"/>
          <w:szCs w:val="20"/>
          <w:color w:val="auto"/>
        </w:rPr>
      </w:pPr>
    </w:p>
    <w:p>
      <w:pPr>
        <w:jc w:val="both"/>
        <w:ind w:left="320" w:firstLine="318"/>
        <w:spacing w:after="0" w:line="318" w:lineRule="auto"/>
        <w:rPr>
          <w:sz w:val="20"/>
          <w:szCs w:val="20"/>
          <w:color w:val="auto"/>
        </w:rPr>
      </w:pPr>
      <w:r>
        <w:rPr>
          <w:rFonts w:ascii="Arial" w:cs="Arial" w:eastAsia="Arial" w:hAnsi="Arial"/>
          <w:sz w:val="15"/>
          <w:szCs w:val="15"/>
          <w:color w:val="auto"/>
        </w:rPr>
        <w:t>We may from time to time seek to retire or purchase our outstanding indebtedness through cash purchases or exchanges for other securities, purchases in the open market, privately negotiated transactions or otherwise. Any such repurchases or exchanges will be dependent upon several factors, including our liquidity requirements, contractual restrictions, general market conditions, as well as applicable regulatory, legal and accounting factors. Whether or not we repurchase any debt and the size and timing of any such repurchases will be determined at our discretion.</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Insurance Liabilities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Liabilities arising from our insurance activities primarily relate to benefit payments under various annuity and life insurance products, as well as payments for policy surrenders, withdrawals and loans. See “— Primary Sources of Liquidity and Capital — Funding Sources — Funding Agreements” for additional information regarding our institutional spread margin business.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Pledged Collateral</w:t>
      </w:r>
    </w:p>
    <w:p>
      <w:pPr>
        <w:spacing w:after="0" w:line="111" w:lineRule="exact"/>
        <w:rPr>
          <w:sz w:val="20"/>
          <w:szCs w:val="20"/>
          <w:color w:val="auto"/>
        </w:rPr>
      </w:pPr>
    </w:p>
    <w:p>
      <w:pPr>
        <w:jc w:val="both"/>
        <w:ind w:left="320" w:firstLine="318"/>
        <w:spacing w:after="0" w:line="267" w:lineRule="auto"/>
        <w:rPr>
          <w:sz w:val="20"/>
          <w:szCs w:val="20"/>
          <w:color w:val="auto"/>
        </w:rPr>
      </w:pPr>
      <w:r>
        <w:rPr>
          <w:rFonts w:ascii="Arial" w:cs="Arial" w:eastAsia="Arial" w:hAnsi="Arial"/>
          <w:sz w:val="17"/>
          <w:szCs w:val="17"/>
          <w:color w:val="auto"/>
        </w:rPr>
        <w:t>We enter into derivatives to manage various risks relating to our ongoing business operations. We pledge collateral to, and have collateral pledged to us by, counterparties in connection with our derivatives. At March 31, 2023, we did not pledge any cash collateral to counterparties. At December 31, 2022, we pledged $7 million of cash collateral to counterparties. At March 31, 2023 and December 31, 2022, we were obligated to return cash collateral pledged to us by counterparties of $709 million and $829 million, respectively. The timing of the return of the derivatives collateral is uncertain. See Note 7 of the Notes to the Interim Condensed Consolidated Financial Statements for additional information about pledged collateral. We also pledge collateral from time to time in connection with our funding agreements.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We receive non-cash collateral from counterparties for derivatives, which can be sold or re-pledged subject to certain constraints, and which is not recorded on our consolidated balance sheets. The amount of this non-cash collateral at estimated fair value was $1.7 billion and $1.0 billion at March 31, 2023 and December 31, 2022, respectively.</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Securities Lending</w:t>
      </w:r>
    </w:p>
    <w:p>
      <w:pPr>
        <w:spacing w:after="0" w:line="111" w:lineRule="exact"/>
        <w:rPr>
          <w:sz w:val="20"/>
          <w:szCs w:val="20"/>
          <w:color w:val="auto"/>
        </w:rPr>
      </w:pPr>
    </w:p>
    <w:p>
      <w:pPr>
        <w:jc w:val="both"/>
        <w:ind w:left="320" w:firstLine="318"/>
        <w:spacing w:after="0" w:line="271" w:lineRule="auto"/>
        <w:rPr>
          <w:sz w:val="20"/>
          <w:szCs w:val="20"/>
          <w:color w:val="auto"/>
        </w:rPr>
      </w:pPr>
      <w:r>
        <w:rPr>
          <w:rFonts w:ascii="Arial" w:cs="Arial" w:eastAsia="Arial" w:hAnsi="Arial"/>
          <w:sz w:val="17"/>
          <w:szCs w:val="17"/>
          <w:color w:val="auto"/>
        </w:rPr>
        <w:t>We have a securities lending program that aims to enhance the total return on our investment portfolio, whereby securities are loaned to third parties, primarily brokerage firms and commercial banks. We obtain collateral, usually cash, from the borrower, which must be returned to the borrower when the loaned securities are returned to us. Generally, our securities lending contracts expire within twelve months of issuance. We were liable for cash collateral under our control of $3.7 billion at both March 31, 2023 and December 31, 2022.</w:t>
      </w:r>
    </w:p>
    <w:p>
      <w:pPr>
        <w:spacing w:after="0" w:line="71"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8"/>
          <w:szCs w:val="18"/>
          <w:color w:val="auto"/>
        </w:rPr>
        <w:t>We receive non-cash collateral for securities lending from counterparties, which cannot be sold or re-pledged, and which is not recorded on our consolidated balance sheets. There was no non-cash collateral at both March 31, 2023 and December 31, 2022.</w:t>
      </w:r>
    </w:p>
    <w:p>
      <w:pPr>
        <w:spacing w:after="0" w:line="75" w:lineRule="exact"/>
        <w:rPr>
          <w:sz w:val="20"/>
          <w:szCs w:val="20"/>
          <w:color w:val="auto"/>
        </w:rPr>
      </w:pPr>
    </w:p>
    <w:p>
      <w:pPr>
        <w:ind w:left="320" w:right="580" w:firstLine="318"/>
        <w:spacing w:after="0" w:line="368" w:lineRule="auto"/>
        <w:rPr>
          <w:sz w:val="20"/>
          <w:szCs w:val="20"/>
          <w:color w:val="auto"/>
        </w:rPr>
      </w:pPr>
      <w:r>
        <w:rPr>
          <w:rFonts w:ascii="Arial" w:cs="Arial" w:eastAsia="Arial" w:hAnsi="Arial"/>
          <w:sz w:val="18"/>
          <w:szCs w:val="18"/>
          <w:color w:val="auto"/>
        </w:rPr>
        <w:t xml:space="preserve">See Note 6 of the Notes to the Interim Condensed Consolidated Financial Statements for further discussion of our securities lending program. </w:t>
      </w:r>
      <w:r>
        <w:rPr>
          <w:rFonts w:ascii="Arial" w:cs="Arial" w:eastAsia="Arial" w:hAnsi="Arial"/>
          <w:sz w:val="18"/>
          <w:szCs w:val="18"/>
          <w:i w:val="1"/>
          <w:iCs w:val="1"/>
          <w:u w:val="single" w:color="auto"/>
          <w:color w:val="auto"/>
        </w:rPr>
        <w:t>Contingencies, Commitments and Guarantees</w:t>
      </w:r>
    </w:p>
    <w:p>
      <w:pPr>
        <w:spacing w:after="0" w:line="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We establish liabilities for litigation, regulatory and other loss contingencies when it is probable that a loss has been incurred and the amount of the loss can be reasonably estimated. See Note 12 of the Notes to the Interim Condensed Consolidated Financial Statements for additional information regarding contingencies.</w:t>
      </w:r>
    </w:p>
    <w:p>
      <w:pPr>
        <w:spacing w:after="0" w:line="82"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We enter into commitments for the purpose of enhancing the total return on our investment portfolio consisting of commitments to fund partnership investments, bank credit facilities and private corporate bond investments, as well as commitments to lend funds under mortgage loan commitments. We anticipate these commitments could be invested any time over the next five years. See Notes 6 and 12 of the Notes to the Interim Condensed Consolidated Financial Statements for additional information regarding commitments.</w:t>
      </w:r>
    </w:p>
    <w:p>
      <w:pPr>
        <w:spacing w:after="0" w:line="85"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In the normal course of our business, we have provided certain indemnities, guarantees and commitments to third parties such that we may be required to make payments now or in the future. See Note 12 of the Notes to the Interim Condensed Consolidated Financial Statements for additional information regarding guarantees.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Parent Company</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Liquidity and Capital</w:t>
      </w:r>
    </w:p>
    <w:p>
      <w:pPr>
        <w:spacing w:after="0" w:line="111" w:lineRule="exact"/>
        <w:rPr>
          <w:sz w:val="20"/>
          <w:szCs w:val="20"/>
          <w:color w:val="auto"/>
        </w:rPr>
      </w:pPr>
    </w:p>
    <w:p>
      <w:pPr>
        <w:jc w:val="both"/>
        <w:ind w:left="160" w:firstLine="318"/>
        <w:spacing w:after="0" w:line="255" w:lineRule="auto"/>
        <w:rPr>
          <w:sz w:val="20"/>
          <w:szCs w:val="20"/>
          <w:color w:val="auto"/>
        </w:rPr>
      </w:pPr>
      <w:r>
        <w:rPr>
          <w:rFonts w:ascii="Arial" w:cs="Arial" w:eastAsia="Arial" w:hAnsi="Arial"/>
          <w:sz w:val="18"/>
          <w:szCs w:val="18"/>
          <w:color w:val="auto"/>
        </w:rPr>
        <w:t>In evaluating liquidity, it is important to distinguish the cash flow needs of the parent company from the cash flow needs of the combined group of companies. BHF is largely dependent on cash flows from its insurance subsidiaries to meet its obligations. Constraints on BHF’s liquidity may occur as a result of operational demands or as a result of compliance with regulatory requirements.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Short-term Liquidity and Liquid Assets</w:t>
      </w:r>
    </w:p>
    <w:p>
      <w:pPr>
        <w:spacing w:after="0" w:line="111" w:lineRule="exact"/>
        <w:rPr>
          <w:sz w:val="20"/>
          <w:szCs w:val="20"/>
          <w:color w:val="auto"/>
        </w:rPr>
      </w:pPr>
    </w:p>
    <w:p>
      <w:pPr>
        <w:jc w:val="both"/>
        <w:ind w:left="320" w:firstLine="318"/>
        <w:spacing w:after="0" w:line="255" w:lineRule="auto"/>
        <w:rPr>
          <w:sz w:val="20"/>
          <w:szCs w:val="20"/>
          <w:color w:val="auto"/>
        </w:rPr>
      </w:pPr>
      <w:r>
        <w:rPr>
          <w:rFonts w:ascii="Arial" w:cs="Arial" w:eastAsia="Arial" w:hAnsi="Arial"/>
          <w:sz w:val="18"/>
          <w:szCs w:val="18"/>
          <w:color w:val="auto"/>
        </w:rPr>
        <w:t>At March 31, 2023 and December 31, 2022, BHF and certain of its non-insurance subsidiaries had short-term liquidity of $1.1 billion and $1.0 billion, respectively. Short-term liquidity is comprised of cash and cash equivalents and short-term investments, excluding assets that are pledged or otherwise committed. Assets pledged or otherwise committed include assets held in trust.</w:t>
      </w:r>
    </w:p>
    <w:p>
      <w:pPr>
        <w:spacing w:after="0" w:line="82" w:lineRule="exact"/>
        <w:rPr>
          <w:sz w:val="20"/>
          <w:szCs w:val="20"/>
          <w:color w:val="auto"/>
        </w:rPr>
      </w:pPr>
    </w:p>
    <w:p>
      <w:pPr>
        <w:jc w:val="both"/>
        <w:ind w:left="320" w:firstLine="318"/>
        <w:spacing w:after="0" w:line="252" w:lineRule="auto"/>
        <w:rPr>
          <w:sz w:val="20"/>
          <w:szCs w:val="20"/>
          <w:color w:val="auto"/>
        </w:rPr>
      </w:pPr>
      <w:r>
        <w:rPr>
          <w:rFonts w:ascii="Arial" w:cs="Arial" w:eastAsia="Arial" w:hAnsi="Arial"/>
          <w:sz w:val="18"/>
          <w:szCs w:val="18"/>
          <w:color w:val="auto"/>
        </w:rPr>
        <w:t>At March 31, 2023 and December 31, 2022, BHF and certain of its non-insurance subsidiaries had liquid assets of $1.1 billion and $1.0 billion, respectively, of which $996 million and $987 million, respectively, was held by BHF. Liquid assets are comprised of cash and cash equivalents, short-term investments and publicly-traded securities, excluding assets that are pledged or otherwise committed. Assets pledged or otherwise committed include assets held in trust.</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Statutory Capital and Dividends</w:t>
      </w:r>
    </w:p>
    <w:p>
      <w:pPr>
        <w:spacing w:after="0" w:line="111" w:lineRule="exact"/>
        <w:rPr>
          <w:sz w:val="20"/>
          <w:szCs w:val="20"/>
          <w:color w:val="auto"/>
        </w:rPr>
      </w:pPr>
    </w:p>
    <w:p>
      <w:pPr>
        <w:jc w:val="both"/>
        <w:ind w:left="320" w:firstLine="318"/>
        <w:spacing w:after="0" w:line="268" w:lineRule="auto"/>
        <w:rPr>
          <w:sz w:val="20"/>
          <w:szCs w:val="20"/>
          <w:color w:val="auto"/>
        </w:rPr>
      </w:pPr>
      <w:r>
        <w:rPr>
          <w:rFonts w:ascii="Arial" w:cs="Arial" w:eastAsia="Arial" w:hAnsi="Arial"/>
          <w:sz w:val="17"/>
          <w:szCs w:val="17"/>
          <w:color w:val="auto"/>
        </w:rPr>
        <w:t>The NAIC and state insurance departments have established regulations that provide minimum capitalization requirements based on RBC formulas for insurance companies. RBC is based on a formula calculated by applying factors to various asset, premium, claim, expense and statutory reserve items. The formula takes into account the risk characteristics of the insurer, including asset risk, insurance risk, interest rate risk, market risk and business risk and is calculated on an annual basis. The formula is used as an early warning regulatory tool to identify possible inadequately capitalized insurers for purposes of initiating regulatory action, and not as a means to rank insurers generally. State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320"/>
        <w:spacing w:after="0" w:line="252" w:lineRule="auto"/>
        <w:rPr>
          <w:sz w:val="20"/>
          <w:szCs w:val="20"/>
          <w:color w:val="auto"/>
        </w:rPr>
      </w:pPr>
      <w:r>
        <w:rPr>
          <w:rFonts w:ascii="Arial" w:cs="Arial" w:eastAsia="Arial" w:hAnsi="Arial"/>
          <w:sz w:val="18"/>
          <w:szCs w:val="18"/>
          <w:color w:val="auto"/>
        </w:rPr>
        <w:t>insurance laws provide insurance regulators the authority to require various actions by, or take various actions against, insurers whose total adjusted capital (“TAC”) does not meet or exceed the amounts required to attain certain RBC levels. As of the date of the most recent annual statutory financial statements filed with insurance regulators, the TAC of each of our insurance subsidiaries subject to these requirements was in excess of the amounts required to attain each of those RBC levels.</w:t>
      </w:r>
    </w:p>
    <w:p>
      <w:pPr>
        <w:spacing w:after="0" w:line="85" w:lineRule="exact"/>
        <w:rPr>
          <w:sz w:val="20"/>
          <w:szCs w:val="20"/>
          <w:color w:val="auto"/>
        </w:rPr>
      </w:pPr>
    </w:p>
    <w:p>
      <w:pPr>
        <w:jc w:val="both"/>
        <w:ind w:left="320" w:firstLine="318"/>
        <w:spacing w:after="0" w:line="309" w:lineRule="auto"/>
        <w:rPr>
          <w:sz w:val="20"/>
          <w:szCs w:val="20"/>
          <w:color w:val="auto"/>
        </w:rPr>
      </w:pPr>
      <w:r>
        <w:rPr>
          <w:rFonts w:ascii="Arial" w:cs="Arial" w:eastAsia="Arial" w:hAnsi="Arial"/>
          <w:sz w:val="15"/>
          <w:szCs w:val="15"/>
          <w:color w:val="auto"/>
        </w:rPr>
        <w:t>The amount of dividends that our insurance subsidiaries can ultimately pay to BHF through their various parent entities provides an additional margin for risk protection and investment in our businesses. Such dividends are constrained by the amount of surplus our insurance subsidiaries hold to maintain their ratings, which is generally higher than minimum RBC requirements. We proactively take actions to maintain capital consistent with these ratings objectives, which may include adjusting dividend amounts and deploying financial resources from internal or external sources of capital. Certain of these activities may require regulatory approval. Furthermore, the payment of dividends and other distributions by our insurance subsidiaries is governed by insurance laws and regulations. See Note 10 of the Notes to the Consolidated Financial Statements included in our 2022 Annual Report.</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Primary Sources and Uses of Liquidity and Capital</w:t>
      </w:r>
    </w:p>
    <w:p>
      <w:pPr>
        <w:spacing w:after="0" w:line="111" w:lineRule="exact"/>
        <w:rPr>
          <w:sz w:val="20"/>
          <w:szCs w:val="20"/>
          <w:color w:val="auto"/>
        </w:rPr>
      </w:pPr>
    </w:p>
    <w:p>
      <w:pPr>
        <w:jc w:val="both"/>
        <w:ind w:left="160" w:firstLine="318"/>
        <w:spacing w:after="0" w:line="318" w:lineRule="auto"/>
        <w:rPr>
          <w:sz w:val="20"/>
          <w:szCs w:val="20"/>
          <w:color w:val="auto"/>
        </w:rPr>
      </w:pPr>
      <w:r>
        <w:rPr>
          <w:rFonts w:ascii="Arial" w:cs="Arial" w:eastAsia="Arial" w:hAnsi="Arial"/>
          <w:sz w:val="15"/>
          <w:szCs w:val="15"/>
          <w:color w:val="auto"/>
        </w:rPr>
        <w:t>The principal sources of funds available to BHF include distributions from Brighthouse Holdings, LLC (“BH Holdings”), dividends and returns of capital from its insurance subsidiaries and BRCD, capital markets issuances, as well as its own cash and cash equivalents and short-term investments. These sources of funds may also be supplemented by alternate sources of liquidity either directly or indirectly through our insurance subsidiaries. For example, we have established internal liquidity facilities to provide liquidity within and across our regulated and non-regulated entities to support our businesses.</w:t>
      </w:r>
    </w:p>
    <w:p>
      <w:pPr>
        <w:spacing w:after="0" w:line="40" w:lineRule="exact"/>
        <w:rPr>
          <w:sz w:val="20"/>
          <w:szCs w:val="20"/>
          <w:color w:val="auto"/>
        </w:rPr>
      </w:pPr>
    </w:p>
    <w:p>
      <w:pPr>
        <w:jc w:val="both"/>
        <w:ind w:left="160" w:firstLine="318"/>
        <w:spacing w:after="0" w:line="249" w:lineRule="auto"/>
        <w:rPr>
          <w:sz w:val="20"/>
          <w:szCs w:val="20"/>
          <w:color w:val="auto"/>
        </w:rPr>
      </w:pPr>
      <w:r>
        <w:rPr>
          <w:rFonts w:ascii="Arial" w:cs="Arial" w:eastAsia="Arial" w:hAnsi="Arial"/>
          <w:sz w:val="18"/>
          <w:szCs w:val="18"/>
          <w:color w:val="auto"/>
        </w:rPr>
        <w:t>The primary uses of liquidity of BHF include debt-service obligations (including interest expense and debt repayments), preferred stock dividends, capital contributions to subsidiaries, common stock repurchases and payment of general operating expenses. Based on our analysis and comparison of our current and future cash inflows from the dividends we receive from subsidiaries that are permitted to be paid without prior insurance regulatory approval, our investment portfolio and other cash flows and anticipated access to the capital markets, we believe there will be sufficient liquidity and capital to enable BHF to make payments on debt, pay preferred stock dividends, contribute capital to its subsidiaries, repurchase its common stock, pay all general operating expenses and meet its cash needs.</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5"/>
          <w:szCs w:val="15"/>
          <w:color w:val="auto"/>
        </w:rPr>
        <w:t>In addition to the liquidity and capital sources discussed in “— The Company — Primary Sources of Liquidity and Capital” and “— The Company —</w:t>
      </w:r>
    </w:p>
    <w:p>
      <w:pPr>
        <w:spacing w:after="0" w:line="51" w:lineRule="exact"/>
        <w:rPr>
          <w:sz w:val="20"/>
          <w:szCs w:val="20"/>
          <w:color w:val="auto"/>
        </w:rPr>
      </w:pPr>
    </w:p>
    <w:p>
      <w:pPr>
        <w:ind w:left="160"/>
        <w:spacing w:after="0"/>
        <w:rPr>
          <w:sz w:val="20"/>
          <w:szCs w:val="20"/>
          <w:color w:val="auto"/>
        </w:rPr>
      </w:pPr>
      <w:r>
        <w:rPr>
          <w:rFonts w:ascii="Arial" w:cs="Arial" w:eastAsia="Arial" w:hAnsi="Arial"/>
          <w:sz w:val="15"/>
          <w:szCs w:val="15"/>
          <w:color w:val="auto"/>
        </w:rPr>
        <w:t>Primary Uses of Liquidity and Capital,” the following additional information is provided regarding BHF’s primary sources and uses of liquidity and capital:</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Distributions from and Capital Contributions to BH Holdings</w:t>
      </w:r>
    </w:p>
    <w:p>
      <w:pPr>
        <w:spacing w:after="0" w:line="111" w:lineRule="exact"/>
        <w:rPr>
          <w:sz w:val="20"/>
          <w:szCs w:val="20"/>
          <w:color w:val="auto"/>
        </w:rPr>
      </w:pPr>
    </w:p>
    <w:p>
      <w:pPr>
        <w:jc w:val="both"/>
        <w:ind w:left="320" w:firstLine="318"/>
        <w:spacing w:after="0" w:line="264" w:lineRule="auto"/>
        <w:rPr>
          <w:sz w:val="20"/>
          <w:szCs w:val="20"/>
          <w:color w:val="auto"/>
        </w:rPr>
      </w:pPr>
      <w:r>
        <w:rPr>
          <w:rFonts w:ascii="Arial" w:cs="Arial" w:eastAsia="Arial" w:hAnsi="Arial"/>
          <w:sz w:val="18"/>
          <w:szCs w:val="18"/>
          <w:color w:val="auto"/>
        </w:rPr>
        <w:t>During both the three months ended March 31, 2023 and 2022, BHF did not receive any cash distributions from BH Holdings and did not make any cash capital contributions to BH Holdings.</w:t>
      </w:r>
    </w:p>
    <w:p>
      <w:pPr>
        <w:spacing w:after="0" w:line="75"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Short-term Intercompany Loans</w:t>
      </w:r>
    </w:p>
    <w:p>
      <w:pPr>
        <w:spacing w:after="0" w:line="111" w:lineRule="exact"/>
        <w:rPr>
          <w:sz w:val="20"/>
          <w:szCs w:val="20"/>
          <w:color w:val="auto"/>
        </w:rPr>
      </w:pPr>
    </w:p>
    <w:p>
      <w:pPr>
        <w:jc w:val="both"/>
        <w:ind w:left="320" w:firstLine="318"/>
        <w:spacing w:after="0" w:line="248" w:lineRule="auto"/>
        <w:rPr>
          <w:sz w:val="20"/>
          <w:szCs w:val="20"/>
          <w:color w:val="auto"/>
        </w:rPr>
      </w:pPr>
      <w:r>
        <w:rPr>
          <w:rFonts w:ascii="Arial" w:cs="Arial" w:eastAsia="Arial" w:hAnsi="Arial"/>
          <w:sz w:val="18"/>
          <w:szCs w:val="18"/>
          <w:color w:val="auto"/>
        </w:rPr>
        <w:t>BHF, as borrower, has a short-term intercompany loan agreement with certain of its non-insurance subsidiaries, as lenders, for the purposes of facilitating the management of the available cash of the borrower and the lenders on a short-term and consolidated basis. Such intercompany loan agreement allows management to optimize the efficient use of and maximize the yield on cash between BHF and its subsidiary lenders. Each loan entered into under this intercompany loan agreement has a term not more than 364 days and bears interest on the unpaid principal amount at a variable rate, payable monthly. During the three months ended March 31, 2023 and 2022, BHF borrowed $217 million and $252 million, respectively, from certain of its non-insurance subsidiaries and repaid $172 million and $228 million of such borrowings during the three months ended March 31, 2023 and 2022, respectively. At March 31, 2023 and December 31, 2022, BHF had total obligations outstanding of $558 million and $513 million, respectively, under such agreements.</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8"/>
          <w:szCs w:val="18"/>
          <w:i w:val="1"/>
          <w:iCs w:val="1"/>
          <w:u w:val="single" w:color="auto"/>
          <w:color w:val="auto"/>
        </w:rPr>
        <w:t>Intercompany Liquidity Facilities</w:t>
      </w:r>
    </w:p>
    <w:p>
      <w:pPr>
        <w:spacing w:after="0" w:line="111" w:lineRule="exact"/>
        <w:rPr>
          <w:sz w:val="20"/>
          <w:szCs w:val="20"/>
          <w:color w:val="auto"/>
        </w:rPr>
      </w:pPr>
    </w:p>
    <w:p>
      <w:pPr>
        <w:jc w:val="both"/>
        <w:ind w:left="320" w:firstLine="318"/>
        <w:spacing w:after="0" w:line="318" w:lineRule="auto"/>
        <w:rPr>
          <w:sz w:val="20"/>
          <w:szCs w:val="20"/>
          <w:color w:val="auto"/>
        </w:rPr>
      </w:pPr>
      <w:r>
        <w:rPr>
          <w:rFonts w:ascii="Arial" w:cs="Arial" w:eastAsia="Arial" w:hAnsi="Arial"/>
          <w:sz w:val="15"/>
          <w:szCs w:val="15"/>
          <w:color w:val="auto"/>
        </w:rPr>
        <w:t>BHF has established intercompany liquidity facilities with certain of its insurance and non-insurance subsidiaries to provide short-term liquidity within and across the combined group of companies. Under these facilities, which are comprised of a series of revolving loan agreements among BHF and its participating subsidiaries, each company may lend to or borrow from each other, subject to certain maximum limits for a term of up to 364 days, depending on the agreement. During both the three months ended March 31, 2023 and 2022, there were no borrowings or repayments by</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140" w:firstLine="318"/>
        <w:spacing w:after="0" w:line="387" w:lineRule="auto"/>
        <w:rPr>
          <w:sz w:val="20"/>
          <w:szCs w:val="20"/>
          <w:color w:val="auto"/>
        </w:rPr>
      </w:pPr>
      <w:r>
        <w:rPr>
          <w:rFonts w:ascii="Arial" w:cs="Arial" w:eastAsia="Arial" w:hAnsi="Arial"/>
          <w:sz w:val="18"/>
          <w:szCs w:val="18"/>
          <w:color w:val="auto"/>
        </w:rPr>
        <w:t xml:space="preserve">BHF under these facilities and, at both March 31, 2023 and December 31, 2022, BHF had no obligations outstanding under such facilities. </w:t>
      </w:r>
      <w:r>
        <w:rPr>
          <w:rFonts w:ascii="Arial" w:cs="Arial" w:eastAsia="Arial" w:hAnsi="Arial"/>
          <w:sz w:val="18"/>
          <w:szCs w:val="18"/>
          <w:b w:val="1"/>
          <w:bCs w:val="1"/>
          <w:color w:val="auto"/>
        </w:rPr>
        <w:t>Note Regarding Forward-Looking Statements</w:t>
      </w:r>
    </w:p>
    <w:p>
      <w:pPr>
        <w:spacing w:after="0" w:line="2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This report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financial projections, future performance or results of current and anticipated services or products, sales efforts, expenses, the outcome of contingencies such as legal proceedings, as well as trends in operating and financial results.</w:t>
      </w:r>
    </w:p>
    <w:p>
      <w:pPr>
        <w:spacing w:after="0" w:line="14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Any or all forward-looking statements may turn out to be wrong. They can be affected by inaccurate assumptions or by known or unknown risks and uncertainties. Many such factors will be important in determining the actual future results of Brighthouse Financial.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spacing w:after="0" w:line="45" w:lineRule="exact"/>
        <w:rPr>
          <w:sz w:val="20"/>
          <w:szCs w:val="20"/>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differences between actual experience and actuarial assumptions and the effectiveness of our actuarial models;</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higher risk management costs and exposure to increased market risk due to guarantees within certain of our products;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effectiveness of our variable annuity exposure risk management strategy and the impact of such strategy on volatility in our profitability measures and negative effects on our statutory capital;</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material differences between actual outcomes and the sensitivities calculated under certain scenarios that we may utilize in connection with our variable annuity risk management strategies;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impact of interest rates on our future ULSG policyholder obligations and net income volatility;</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potential material adverse effect of changes in accounting standards, practices or policies applicable to us, including changes in the accounting for long-duration contracts;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loss of business and other negative impacts resulting from a downgrade or a potential downgrade in our financial strength or credit ratings;</w:t>
      </w:r>
    </w:p>
    <w:p>
      <w:pPr>
        <w:spacing w:after="0" w:line="122"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availability of reinsurance and the ability of the counterparties to our reinsurance or indemnification arrangements to perform their obligations thereunder;</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heightened competition, including with respect to service, product features, scale, price, actual or perceived financial strength, claims-paying ratings, credit ratings, e-business capabilities and name recognition;</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market and distribute our products through distribution channels;</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failure of third parties to provide services we need, any failure of the practices and procedures of such third parties and any inability to obtain information or assistance we need from third parties;</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ability of our subsidiaries to pay dividends to us, and our ability to pay dividends to our shareholders and repurchase our common stock;</w:t>
      </w:r>
    </w:p>
    <w:p>
      <w:pPr>
        <w:spacing w:after="0" w:line="122" w:lineRule="exact"/>
        <w:rPr>
          <w:rFonts w:ascii="Arial" w:cs="Arial" w:eastAsia="Arial" w:hAnsi="Arial"/>
          <w:sz w:val="17"/>
          <w:szCs w:val="17"/>
          <w:color w:val="auto"/>
        </w:rPr>
      </w:pPr>
    </w:p>
    <w:p>
      <w:pPr>
        <w:ind w:left="640" w:hanging="31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risks associated with climate change;</w:t>
      </w:r>
    </w:p>
    <w:p>
      <w:pPr>
        <w:spacing w:after="0" w:line="111" w:lineRule="exact"/>
        <w:rPr>
          <w:rFonts w:ascii="Arial" w:cs="Arial" w:eastAsia="Arial" w:hAnsi="Arial"/>
          <w:sz w:val="18"/>
          <w:szCs w:val="18"/>
          <w:color w:val="auto"/>
        </w:rPr>
      </w:pPr>
    </w:p>
    <w:p>
      <w:pPr>
        <w:ind w:left="640" w:hanging="316"/>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adverse impact of public health crises, extreme mortality events or similar occurrences on our business and the economy in general;</w:t>
      </w:r>
    </w:p>
    <w:p>
      <w:pPr>
        <w:spacing w:after="0" w:line="122" w:lineRule="exact"/>
        <w:rPr>
          <w:rFonts w:ascii="Arial" w:cs="Arial" w:eastAsia="Arial" w:hAnsi="Arial"/>
          <w:sz w:val="17"/>
          <w:szCs w:val="17"/>
          <w:color w:val="auto"/>
        </w:rPr>
      </w:pPr>
    </w:p>
    <w:p>
      <w:pPr>
        <w:ind w:left="640" w:hanging="316"/>
        <w:spacing w:after="0"/>
        <w:tabs>
          <w:tab w:leader="none" w:pos="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impact of adverse capital and credit market conditions, including with respect to our ability to meet liquidity needs and access capital;</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40" w:hanging="316"/>
        <w:spacing w:after="0" w:line="255" w:lineRule="auto"/>
        <w:tabs>
          <w:tab w:leader="none" w:pos="6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impact of economic conditions in the capital markets and the U.S. and global economy, as well as geopolitical events, military actions or catastrophic events, on our profitability measures as well as our investment portfolio, including on realized and unrealized losses and impairments, net investment spread and net investment income;</w:t>
      </w:r>
    </w:p>
    <w:p>
      <w:pPr>
        <w:spacing w:after="0" w:line="82"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financial risks that our investment portfolio is subject to, including credit risk, interest rate risk, inflation risk, market valuation risk, liquidity risk, real estate risk, derivatives risk, and other factors outside our control;</w:t>
      </w:r>
    </w:p>
    <w:p>
      <w:pPr>
        <w:spacing w:after="0" w:line="74"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impact of changes in regulation and in supervisory and enforcement policies or interpretations thereof on our insurance business or other operations;</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potential material negative tax impact of potential future tax legislation that could make some of our products less attractive to consumers or increase our tax liability;</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effectiveness of our policies, procedures and processes in managing risk;</w:t>
      </w:r>
    </w:p>
    <w:p>
      <w:pPr>
        <w:spacing w:after="0" w:line="111"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loss or disclosure of confidential information, damage to our reputation and impairment of our ability to conduct business effectively as a result of any failure in cyber- or other information security systems;</w:t>
      </w:r>
    </w:p>
    <w:p>
      <w:pPr>
        <w:spacing w:after="0" w:line="74"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58"/>
        </w:numPr>
        <w:rPr>
          <w:rFonts w:ascii="Arial" w:cs="Arial" w:eastAsia="Arial" w:hAnsi="Arial"/>
          <w:sz w:val="17"/>
          <w:szCs w:val="17"/>
          <w:color w:val="auto"/>
        </w:rPr>
      </w:pPr>
      <w:r>
        <w:rPr>
          <w:rFonts w:ascii="Arial" w:cs="Arial" w:eastAsia="Arial" w:hAnsi="Arial"/>
          <w:sz w:val="17"/>
          <w:szCs w:val="17"/>
          <w:color w:val="auto"/>
        </w:rPr>
        <w:t>whether all or any portion of the tax consequences of our separation from MetLife, Inc. (together with its subsidiaries and affiliates, “MetLife”) are not as expected, leading to material additional taxes or material adverse consequences to tax attributes that impact us; and</w:t>
      </w:r>
    </w:p>
    <w:p>
      <w:pPr>
        <w:spacing w:after="0" w:line="51" w:lineRule="exact"/>
        <w:rPr>
          <w:rFonts w:ascii="Arial" w:cs="Arial" w:eastAsia="Arial" w:hAnsi="Arial"/>
          <w:sz w:val="17"/>
          <w:szCs w:val="17"/>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 factors described in this report and from time to time in documents that we file with the SEC.</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For the reasons described above, we caution you against relying on any forward-looking statements, which should also be read in conjunction with the other cautionary statements included and the risks, uncertainties and other factors identified in our 2022 Annual Report, particularly in the sections entitled “Risk Factors” and “Quantitative and Qualitative Disclosures About Market Risk,” as well as in our other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routinely use our Investor Relations website to provide presentations, press releases and other information that may be deemed material to investors. Accordingly, we encourage investors and others interested in the Company to review the information that we share at http://investor.brighthousefinancial.com. In addition, our Investor Relations website allows interested persons to sign up to automatically receive e-mail alerts when we post financial information. Information contained on or connected to any website referenced in this report or any of our other filings with the SEC is not incorporated by reference in this report or in any other report or document we file with the SEC, and any website references are intended to be inactive textual references only unless expressly noted.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quantitative and qualitative disclosures about Market Risk reflect the impact of the adoption of LDTI, including the requirement that all variable annuity guarantees are classified as MRBs and measured at fair value.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w:t>
      </w:r>
    </w:p>
    <w:p>
      <w:pPr>
        <w:spacing w:after="0" w:line="111"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have an integrated process for managing risk exposures, which is coordinated among our Risk Management, Finance and Investment Departments. The process is designed to assess and manage exposures on a consolidated, company-wide basis. Brighthouse Financial, Inc. has established a Balance Sheet Committee (“BSC”). The BSC is responsible for periodically reviewing all material financial risks to us and, in the event risks exceed desired tolerances, informs the Finance and Risk Committee of the Board of Directors, considers possible courses of action and determines how best to resolve or mitigate such risks. In taking such actions, the BSC considers industry best practices and the current economic environment. The BSC also reviews and approves target investment portfolios in order to align them with our liability profile and establishes guidelines and limits for various risk-taking departments, such as the Investment Department. Our Finance Department and our Investment Department, together with Risk Management, are responsible for coordinating our ALM strategies throughout the enterprise. The membership of the BSC is comprised of the following members of senior management: Chief Executive Officer, Chief Risk Officer, Chief Financial Officer, Chief Investment Officer and Head of Product Strategy and Pricing.</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significant market risk management practices include, but are not limited to, the following:</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Managing Interest Rate Risk</w:t>
      </w:r>
    </w:p>
    <w:p>
      <w:pPr>
        <w:spacing w:after="0" w:line="111" w:lineRule="exact"/>
        <w:rPr>
          <w:sz w:val="20"/>
          <w:szCs w:val="20"/>
          <w:color w:val="auto"/>
        </w:rPr>
      </w:pPr>
    </w:p>
    <w:p>
      <w:pPr>
        <w:jc w:val="both"/>
        <w:ind w:left="160" w:firstLine="318"/>
        <w:spacing w:after="0" w:line="264" w:lineRule="auto"/>
        <w:rPr>
          <w:sz w:val="20"/>
          <w:szCs w:val="20"/>
          <w:color w:val="auto"/>
        </w:rPr>
      </w:pPr>
      <w:r>
        <w:rPr>
          <w:rFonts w:ascii="Arial" w:cs="Arial" w:eastAsia="Arial" w:hAnsi="Arial"/>
          <w:sz w:val="17"/>
          <w:szCs w:val="17"/>
          <w:color w:val="auto"/>
        </w:rPr>
        <w:t>We manage interest rate risk as part of our asset and liability management strategies, which include (i) maintaining an investment portfolio that has a weighted average duration approximately equal to the duration of our estimated liability cash flow profile, and (ii) maintaining hedging programs, including a macro interest rate hedging program. For certain of our liability portfolios, it is not possible to invest assets to the full liability duration, thereby creating some asset/liability mismatch. Where a liability cash flow may exceed the maturity of available assets, as is the case with certain retirement products, we may support such liabilities with equity investments, derivatives or other mismatch mitigation strategies. Although we take measures to manage the economic risks of investing in a changing interest rate environment, we may not be able to mitigate completely the interest rate or other mismatch risk of our fixed income investments relative to our interest rate sensitive liabilities. The level of interest rates also affects our liabilities for benefits under our annuity contracts. As interest rates decline, we may need to increase our reserves for future benefits under our annuity contracts, which would adversely affect our financial condition and results of operations.</w:t>
      </w:r>
    </w:p>
    <w:p>
      <w:pPr>
        <w:spacing w:after="0" w:line="79" w:lineRule="exact"/>
        <w:rPr>
          <w:sz w:val="20"/>
          <w:szCs w:val="20"/>
          <w:color w:val="auto"/>
        </w:rPr>
      </w:pPr>
    </w:p>
    <w:p>
      <w:pPr>
        <w:jc w:val="both"/>
        <w:ind w:left="160" w:firstLine="318"/>
        <w:spacing w:after="0" w:line="294" w:lineRule="auto"/>
        <w:rPr>
          <w:sz w:val="20"/>
          <w:szCs w:val="20"/>
          <w:color w:val="auto"/>
        </w:rPr>
      </w:pPr>
      <w:r>
        <w:rPr>
          <w:rFonts w:ascii="Arial" w:cs="Arial" w:eastAsia="Arial" w:hAnsi="Arial"/>
          <w:sz w:val="17"/>
          <w:szCs w:val="17"/>
          <w:color w:val="auto"/>
        </w:rPr>
        <w:t>We also employ product design and pricing strategies to mitigate the potential effects of interest rate movements. These strategies include the use of surrender charges or restrictions on withdrawals in some products and the ability to reset crediting rates for certain products.</w:t>
      </w:r>
    </w:p>
    <w:p>
      <w:pPr>
        <w:spacing w:after="0" w:line="51" w:lineRule="exact"/>
        <w:rPr>
          <w:sz w:val="20"/>
          <w:szCs w:val="20"/>
          <w:color w:val="auto"/>
        </w:rPr>
      </w:pPr>
    </w:p>
    <w:p>
      <w:pPr>
        <w:jc w:val="both"/>
        <w:ind w:left="160" w:firstLine="318"/>
        <w:spacing w:after="0" w:line="265" w:lineRule="auto"/>
        <w:rPr>
          <w:sz w:val="20"/>
          <w:szCs w:val="20"/>
          <w:color w:val="auto"/>
        </w:rPr>
      </w:pPr>
      <w:r>
        <w:rPr>
          <w:rFonts w:ascii="Arial" w:cs="Arial" w:eastAsia="Arial" w:hAnsi="Arial"/>
          <w:sz w:val="17"/>
          <w:szCs w:val="17"/>
          <w:color w:val="auto"/>
        </w:rPr>
        <w:t>We analyze interest rate risk using various models, including multi-scenario cash flow projection models that forecast cash flows of the liabilities and their supporting investments, including derivatives. These projections involve evaluating the potential gain or loss on most of our in-force business under various increasing and decreasing interest rate environments. State insurance department regulations require that we perform some of these analyses annually as part of our review of the sufficiency of our regulatory reserves. We measure relative sensitivities of the value of our assets and liabilities to changes in key assumptions using internal models. These models reflect specific product characteristics and include assumptions based on current and anticipated experience regarding lapse, mortality and interest crediting rates. In addition, these models include asset cash flow projections reflecting interest payments, sinking fund payments, principal payments, bond calls, prepayments and defaults.</w:t>
      </w:r>
    </w:p>
    <w:p>
      <w:pPr>
        <w:spacing w:after="0" w:line="79"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We also use common industry metrics, such as duration and convexity, to measure the relative sensitivity of asset and liability values to changes in interest rates. In computing the duration of liabilities, we consider all policyholder guarantees and how indeterminate policy elements such as interest credits or dividends are set. Each asset portfolio has a duration target based on the liability duration and the investment objectives of that portfolio.</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Managing Equity Market and Foreign Currency Risks</w:t>
      </w:r>
    </w:p>
    <w:p>
      <w:pPr>
        <w:spacing w:after="0" w:line="111" w:lineRule="exact"/>
        <w:rPr>
          <w:sz w:val="20"/>
          <w:szCs w:val="20"/>
          <w:color w:val="auto"/>
        </w:rPr>
      </w:pPr>
    </w:p>
    <w:p>
      <w:pPr>
        <w:jc w:val="both"/>
        <w:ind w:left="160" w:firstLine="318"/>
        <w:spacing w:after="0" w:line="306" w:lineRule="auto"/>
        <w:rPr>
          <w:sz w:val="20"/>
          <w:szCs w:val="20"/>
          <w:color w:val="auto"/>
        </w:rPr>
      </w:pPr>
      <w:r>
        <w:rPr>
          <w:rFonts w:ascii="Arial" w:cs="Arial" w:eastAsia="Arial" w:hAnsi="Arial"/>
          <w:sz w:val="15"/>
          <w:szCs w:val="15"/>
          <w:color w:val="auto"/>
        </w:rPr>
        <w:t>We manage equity market risk in a coordinated process across our Risk Management, Investment and Finance Departments primarily by holding sufficient capital to permit us to absorb modest losses, which may be temporary, from changes in equity markets and interest rates without adversely affecting our financial strength ratings and through the use of derivatives, such as equity futures, equity index options contracts, equity variance swaps and equity total return swaps. We may also employ reinsurance strategies to manage these exposures. Key management objectives include limiting losses, minimizing exposures to significant risks and providing additional capital capacity for future growth. The Investment and Finance Departments are also responsible for managing the exposure to foreign currency denominated investments. We use foreign currency swaps and forwards to mitigate the exposure, risk of loss and financial statement volatility associated with foreign currency denominated fixed income investments.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 - Fair Value Exposures</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regularly analyze our market risk exposure to interest rate, equity market price, credit spreads and foreign currency exchange rate risks. As a result of that analysis, we have determined that the estimated fair values of certain assets and liabilities are significantly exposed to changes in interest rates, and to a lesser extent, to changes in equity market prices and foreign currency exchange rates. We have exposure to market risk through our insurance and annuity operations and general account investment activities. For purposes of this discussion, “market risk” is defined as changes in estimated fair value resulting from changes in interest rates, equity market prices, credit spreads and foreign currency exchange rates. We may have additional financial impacts, other than changes in estimated fair value, which are beyond the scope of this discussion. See “Risk Factors” included in our 2022 Annual Report for additional disclosure regarding our market risk and related sensitivities.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5" w:name="page96"/>
    <w:bookmarkEnd w:id="95"/>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Interest Rates</w:t>
      </w:r>
    </w:p>
    <w:p>
      <w:pPr>
        <w:spacing w:after="0" w:line="111" w:lineRule="exact"/>
        <w:rPr>
          <w:sz w:val="20"/>
          <w:szCs w:val="20"/>
          <w:color w:val="auto"/>
        </w:rPr>
      </w:pPr>
    </w:p>
    <w:p>
      <w:pPr>
        <w:jc w:val="both"/>
        <w:ind w:left="160" w:firstLine="318"/>
        <w:spacing w:after="0" w:line="309" w:lineRule="auto"/>
        <w:rPr>
          <w:sz w:val="20"/>
          <w:szCs w:val="20"/>
          <w:color w:val="auto"/>
        </w:rPr>
      </w:pPr>
      <w:r>
        <w:rPr>
          <w:rFonts w:ascii="Arial" w:cs="Arial" w:eastAsia="Arial" w:hAnsi="Arial"/>
          <w:sz w:val="15"/>
          <w:szCs w:val="15"/>
          <w:color w:val="auto"/>
        </w:rPr>
        <w:t>Our fair value exposure to changes in interest rates arises most significantly from our interest rate sensitive liabilities and our holdings of fixed maturity securities, mortgage loans and derivatives that are used to support our policyholder liabilities. Our interest rate sensitive liabilities include long-term debt, policyholder account balances related to certain investment-type contracts, and variable annuity guarantees accounted for as MRBs. Our fixed maturity securities including U.S. and foreign government bonds, securities issued by government agencies, corporate bonds, mortgage-backed and other ABS, and our commercial, agricultural and residential mortgage loans, are exposed to changes in interest rates. We also use derivatives including swaps, caps, floors, forwards and options to mitigate the exposure related to interest rate risks from our product liabilities.</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Equity Market</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Arial" w:cs="Arial" w:eastAsia="Arial" w:hAnsi="Arial"/>
          <w:sz w:val="18"/>
          <w:szCs w:val="18"/>
          <w:color w:val="auto"/>
        </w:rPr>
        <w:t>Along with investments in equity securities, we have fair value exposure to equity market risk through certain liabilities that involve long-term guarantees on equity performance such as variable annuity guarantees accounted for as MRBs, as well as certain policyholder account balances. In addition, we have exposure to equity markets through derivatives including options and swaps that we enter into to mitigate potential equity market exposure from our product liabilities.</w:t>
      </w:r>
    </w:p>
    <w:p>
      <w:pPr>
        <w:spacing w:after="0" w:line="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u w:val="single" w:color="auto"/>
          <w:color w:val="auto"/>
        </w:rPr>
        <w:t>Foreign Currency Exchange Rates</w:t>
      </w:r>
    </w:p>
    <w:p>
      <w:pPr>
        <w:spacing w:after="0" w:line="111" w:lineRule="exact"/>
        <w:rPr>
          <w:sz w:val="20"/>
          <w:szCs w:val="20"/>
          <w:color w:val="auto"/>
        </w:rPr>
      </w:pPr>
    </w:p>
    <w:p>
      <w:pPr>
        <w:jc w:val="both"/>
        <w:ind w:left="160" w:firstLine="318"/>
        <w:spacing w:after="0" w:line="330" w:lineRule="auto"/>
        <w:rPr>
          <w:sz w:val="20"/>
          <w:szCs w:val="20"/>
          <w:color w:val="auto"/>
        </w:rPr>
      </w:pPr>
      <w:r>
        <w:rPr>
          <w:rFonts w:ascii="Arial" w:cs="Arial" w:eastAsia="Arial" w:hAnsi="Arial"/>
          <w:sz w:val="15"/>
          <w:szCs w:val="15"/>
          <w:color w:val="auto"/>
        </w:rPr>
        <w:t>Our fair value exposure to fluctuations in foreign currency exchange rates against the U.S. dollar results from our holdings in non-U.S. dollar denominated fixed maturity securities, mortgage loans and certain liabilities. The principal currencies that create foreign currency exchange rate risk in our investment portfolios and liabilities are the Euro and the British pound. We economically hedge substantially all of our foreign currency exposure.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Measurement: Sensitivity Analysis</w:t>
      </w:r>
    </w:p>
    <w:p>
      <w:pPr>
        <w:spacing w:after="0" w:line="1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the following discussion and analysis, we measure market risk related to our market sensitive assets and liabilities based on changes in interest rates, equity market prices and foreign currency exchange rates using a sensitivity analysis. This analysis estimates the potential changes in estimated fair value based on a hypothetical 100 basis point change (increase or decrease) in interest rates, or a 10% change in equity market prices or foreign currency exchange rates. We believe that these changes in market rates and prices are reasonably possible in the near-term. In performing the analysis summarized below, we used market rates as of March 31, 2023. We modeled the impact of changes in market rates and prices on the estimated fair values of our market sensitive assets and liabilities as follows:</w:t>
      </w:r>
    </w:p>
    <w:p>
      <w:pPr>
        <w:spacing w:after="0" w:line="90" w:lineRule="exact"/>
        <w:rPr>
          <w:sz w:val="20"/>
          <w:szCs w:val="20"/>
          <w:color w:val="auto"/>
        </w:rPr>
      </w:pPr>
    </w:p>
    <w:p>
      <w:pPr>
        <w:ind w:left="640" w:hanging="316"/>
        <w:spacing w:after="0"/>
        <w:tabs>
          <w:tab w:leader="none" w:pos="6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estimated fair value of our interest rate sensitive exposures resulting from a 100 basis point change (increase or decrease) in interest rates;</w:t>
      </w:r>
    </w:p>
    <w:p>
      <w:pPr>
        <w:spacing w:after="0" w:line="145" w:lineRule="exact"/>
        <w:rPr>
          <w:rFonts w:ascii="Arial" w:cs="Arial" w:eastAsia="Arial" w:hAnsi="Arial"/>
          <w:sz w:val="15"/>
          <w:szCs w:val="15"/>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estimated fair value of our equity positions due to a 10% change (increase or decrease) in equity market prices; and</w:t>
      </w:r>
    </w:p>
    <w:p>
      <w:pPr>
        <w:spacing w:after="0" w:line="111" w:lineRule="exact"/>
        <w:rPr>
          <w:rFonts w:ascii="Arial" w:cs="Arial" w:eastAsia="Arial" w:hAnsi="Arial"/>
          <w:sz w:val="18"/>
          <w:szCs w:val="18"/>
          <w:color w:val="auto"/>
        </w:rPr>
      </w:pPr>
    </w:p>
    <w:p>
      <w:pPr>
        <w:ind w:left="640" w:hanging="316"/>
        <w:spacing w:after="0" w:line="365" w:lineRule="auto"/>
        <w:tabs>
          <w:tab w:leader="none" w:pos="635"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U.S. dollar equivalent of estimated fair values of our foreign currency exposures due to a 10% change (increase in the value of the U.S. dollar compared to the foreign currencies or decrease in the value of the U.S. dollar compared to the foreign currencies) in foreign currency exchange rates.</w:t>
      </w:r>
    </w:p>
    <w:p>
      <w:pPr>
        <w:spacing w:after="0" w:line="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sensitivity analysis is an estimate and should not be viewed as predictive of our future financial performance. Our actual losses in any particular period may vary from the amounts indicated in the table below. Limitations related to this sensitivity analysis include:</w:t>
      </w:r>
    </w:p>
    <w:p>
      <w:pPr>
        <w:spacing w:after="0" w:line="75" w:lineRule="exact"/>
        <w:rPr>
          <w:sz w:val="20"/>
          <w:szCs w:val="20"/>
          <w:color w:val="auto"/>
        </w:rPr>
      </w:pPr>
    </w:p>
    <w:p>
      <w:pPr>
        <w:jc w:val="both"/>
        <w:ind w:left="640" w:hanging="316"/>
        <w:spacing w:after="0" w:line="255"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interest sensitive liabilities do not include $36.1 billion of insurance contracts at March 31, 2023, which are accounted for on a book value basis. Management believes that the changes in the economic value of those contracts under changing interest rates would offset a significant portion of the fair value changes of interest sensitive assets;</w:t>
      </w:r>
    </w:p>
    <w:p>
      <w:pPr>
        <w:spacing w:after="0" w:line="82"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market risk information is limited by the assumptions and parameters established in creating the related sensitivity analysis, including the impact of prepayment rates on mortgage loans;</w:t>
      </w:r>
    </w:p>
    <w:p>
      <w:pPr>
        <w:spacing w:after="0" w:line="7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foreign currency exchange rate risk is not isolated for certain embedded derivatives on index-linked annuities within host asset and liability contracts, as the risk on these instruments is reflected as equity;</w:t>
      </w:r>
    </w:p>
    <w:p>
      <w:pPr>
        <w:spacing w:after="0" w:line="74"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for derivatives that qualify for hedge accounting, the impact on reported earnings may be materially different from the change in market values;</w:t>
      </w:r>
    </w:p>
    <w:p>
      <w:pPr>
        <w:spacing w:after="0" w:line="145" w:lineRule="exact"/>
        <w:rPr>
          <w:rFonts w:ascii="Arial" w:cs="Arial" w:eastAsia="Arial" w:hAnsi="Arial"/>
          <w:sz w:val="15"/>
          <w:szCs w:val="15"/>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analysis excludes limited partnership interests; and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6" w:name="page97"/>
    <w:bookmarkEnd w:id="96"/>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right="2720" w:firstLine="4"/>
        <w:spacing w:after="0" w:line="442" w:lineRule="auto"/>
        <w:tabs>
          <w:tab w:leader="none" w:pos="633"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model assumes that the composition of assets and liabilities remains unchanged throughout the period. Accordingly, we use such models as tools and not as substitutes for the experience and judgment of our management.</w:t>
      </w:r>
    </w:p>
    <w:p>
      <w:pPr>
        <w:spacing w:after="0" w:line="1" w:lineRule="exact"/>
        <w:rPr>
          <w:sz w:val="20"/>
          <w:szCs w:val="20"/>
          <w:color w:val="auto"/>
        </w:rPr>
      </w:pPr>
    </w:p>
    <w:p>
      <w:pPr>
        <w:ind w:right="120" w:firstLine="318"/>
        <w:spacing w:after="0" w:line="264" w:lineRule="auto"/>
        <w:rPr>
          <w:sz w:val="20"/>
          <w:szCs w:val="20"/>
          <w:color w:val="auto"/>
        </w:rPr>
      </w:pPr>
      <w:r>
        <w:rPr>
          <w:rFonts w:ascii="Arial" w:cs="Arial" w:eastAsia="Arial" w:hAnsi="Arial"/>
          <w:sz w:val="18"/>
          <w:szCs w:val="18"/>
          <w:color w:val="auto"/>
        </w:rPr>
        <w:t>The potential loss in the estimated fair value of our interest rate sensitive financial instruments due to a 100 basis point increase in the yield curve by type of asset and liability was as follows at:</w:t>
      </w:r>
    </w:p>
    <w:p>
      <w:pPr>
        <w:spacing w:after="0" w:line="157"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7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right="143"/>
              <w:spacing w:after="0"/>
              <w:rPr>
                <w:sz w:val="20"/>
                <w:szCs w:val="20"/>
                <w:color w:val="auto"/>
              </w:rPr>
            </w:pPr>
            <w:r>
              <w:rPr>
                <w:rFonts w:ascii="Arial" w:cs="Arial" w:eastAsia="Arial" w:hAnsi="Arial"/>
                <w:sz w:val="14"/>
                <w:szCs w:val="14"/>
                <w:b w:val="1"/>
                <w:bCs w:val="1"/>
                <w:color w:val="auto"/>
                <w:w w:val="94"/>
              </w:rPr>
              <w:t>March 31, 2023</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0"/>
        </w:trPr>
        <w:tc>
          <w:tcPr>
            <w:tcW w:w="7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92"/>
              </w:rPr>
              <w:t>Estimated</w:t>
            </w:r>
          </w:p>
        </w:tc>
        <w:tc>
          <w:tcPr>
            <w:tcW w:w="140" w:type="dxa"/>
            <w:vAlign w:val="bottom"/>
          </w:tcPr>
          <w:p>
            <w:pPr>
              <w:spacing w:after="0"/>
              <w:rPr>
                <w:sz w:val="11"/>
                <w:szCs w:val="11"/>
                <w:color w:val="auto"/>
              </w:rPr>
            </w:pPr>
          </w:p>
        </w:tc>
        <w:tc>
          <w:tcPr>
            <w:tcW w:w="90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6"/>
              </w:rPr>
              <w:t>100 Basis</w:t>
            </w:r>
          </w:p>
        </w:tc>
        <w:tc>
          <w:tcPr>
            <w:tcW w:w="0" w:type="dxa"/>
            <w:vAlign w:val="bottom"/>
          </w:tcPr>
          <w:p>
            <w:pPr>
              <w:spacing w:after="0"/>
              <w:rPr>
                <w:sz w:val="1"/>
                <w:szCs w:val="1"/>
                <w:color w:val="auto"/>
              </w:rPr>
            </w:pPr>
          </w:p>
        </w:tc>
      </w:tr>
      <w:tr>
        <w:trPr>
          <w:trHeight w:val="142"/>
        </w:trPr>
        <w:tc>
          <w:tcPr>
            <w:tcW w:w="7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restart"/>
          </w:tcPr>
          <w:p>
            <w:pPr>
              <w:jc w:val="right"/>
              <w:ind w:right="304"/>
              <w:spacing w:after="0"/>
              <w:rPr>
                <w:sz w:val="20"/>
                <w:szCs w:val="20"/>
                <w:color w:val="auto"/>
              </w:rPr>
            </w:pPr>
            <w:r>
              <w:rPr>
                <w:rFonts w:ascii="Arial" w:cs="Arial" w:eastAsia="Arial" w:hAnsi="Arial"/>
                <w:sz w:val="14"/>
                <w:szCs w:val="14"/>
                <w:b w:val="1"/>
                <w:bCs w:val="1"/>
                <w:color w:val="auto"/>
              </w:rPr>
              <w:t>Notional</w:t>
            </w:r>
          </w:p>
        </w:tc>
        <w:tc>
          <w:tcPr>
            <w:tcW w:w="2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Point Increase</w:t>
            </w:r>
          </w:p>
        </w:tc>
        <w:tc>
          <w:tcPr>
            <w:tcW w:w="0" w:type="dxa"/>
            <w:vAlign w:val="bottom"/>
          </w:tcPr>
          <w:p>
            <w:pPr>
              <w:spacing w:after="0"/>
              <w:rPr>
                <w:sz w:val="1"/>
                <w:szCs w:val="1"/>
                <w:color w:val="auto"/>
              </w:rPr>
            </w:pPr>
          </w:p>
        </w:tc>
      </w:tr>
      <w:tr>
        <w:trPr>
          <w:trHeight w:val="146"/>
        </w:trPr>
        <w:tc>
          <w:tcPr>
            <w:tcW w:w="7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ind w:right="143"/>
              <w:spacing w:after="0" w:line="146"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2"/>
                <w:szCs w:val="12"/>
                <w:color w:val="auto"/>
              </w:rPr>
            </w:pPr>
          </w:p>
        </w:tc>
        <w:tc>
          <w:tcPr>
            <w:tcW w:w="90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93"/>
              </w:rPr>
              <w:t>in the Yield</w:t>
            </w:r>
          </w:p>
        </w:tc>
        <w:tc>
          <w:tcPr>
            <w:tcW w:w="0" w:type="dxa"/>
            <w:vAlign w:val="bottom"/>
          </w:tcPr>
          <w:p>
            <w:pPr>
              <w:spacing w:after="0"/>
              <w:rPr>
                <w:sz w:val="1"/>
                <w:szCs w:val="1"/>
                <w:color w:val="auto"/>
              </w:rPr>
            </w:pPr>
          </w:p>
        </w:tc>
      </w:tr>
      <w:tr>
        <w:trPr>
          <w:trHeight w:val="193"/>
        </w:trPr>
        <w:tc>
          <w:tcPr>
            <w:tcW w:w="7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2"/>
              </w:rPr>
              <w:t>Value (1)</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Curve</w:t>
            </w:r>
          </w:p>
        </w:tc>
        <w:tc>
          <w:tcPr>
            <w:tcW w:w="0" w:type="dxa"/>
            <w:vAlign w:val="bottom"/>
          </w:tcPr>
          <w:p>
            <w:pPr>
              <w:spacing w:after="0"/>
              <w:rPr>
                <w:sz w:val="1"/>
                <w:szCs w:val="1"/>
                <w:color w:val="auto"/>
              </w:rPr>
            </w:pPr>
          </w:p>
        </w:tc>
      </w:tr>
      <w:tr>
        <w:trPr>
          <w:trHeight w:val="190"/>
        </w:trPr>
        <w:tc>
          <w:tcPr>
            <w:tcW w:w="7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43"/>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assets with interest rate risk</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340" w:type="dxa"/>
            <w:vAlign w:val="bottom"/>
          </w:tcPr>
          <w:p>
            <w:pPr>
              <w:ind w:left="20"/>
              <w:spacing w:after="0"/>
              <w:rPr>
                <w:sz w:val="20"/>
                <w:szCs w:val="20"/>
                <w:color w:val="auto"/>
              </w:rPr>
            </w:pPr>
            <w:r>
              <w:rPr>
                <w:rFonts w:ascii="Arial" w:cs="Arial" w:eastAsia="Arial" w:hAnsi="Arial"/>
                <w:sz w:val="16"/>
                <w:szCs w:val="16"/>
                <w:color w:val="auto"/>
              </w:rPr>
              <w:t>Fixed maturity securities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03"/>
              <w:spacing w:after="0"/>
              <w:rPr>
                <w:sz w:val="20"/>
                <w:szCs w:val="20"/>
                <w:color w:val="auto"/>
              </w:rPr>
            </w:pPr>
            <w:r>
              <w:rPr>
                <w:rFonts w:ascii="Arial" w:cs="Arial" w:eastAsia="Arial" w:hAnsi="Arial"/>
                <w:sz w:val="16"/>
                <w:szCs w:val="16"/>
                <w:color w:val="auto"/>
              </w:rPr>
              <w:t>77,685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(5,42</w:t>
            </w:r>
          </w:p>
        </w:tc>
        <w:tc>
          <w:tcPr>
            <w:tcW w:w="0" w:type="dxa"/>
            <w:vAlign w:val="bottom"/>
          </w:tcPr>
          <w:p>
            <w:pPr>
              <w:spacing w:after="0"/>
              <w:rPr>
                <w:sz w:val="1"/>
                <w:szCs w:val="1"/>
                <w:color w:val="auto"/>
              </w:rPr>
            </w:pPr>
          </w:p>
        </w:tc>
      </w:tr>
      <w:tr>
        <w:trPr>
          <w:trHeight w:val="214"/>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Mortgage loans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21,056</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0"/>
        </w:trPr>
        <w:tc>
          <w:tcPr>
            <w:tcW w:w="7340" w:type="dxa"/>
            <w:vAlign w:val="bottom"/>
          </w:tcPr>
          <w:p>
            <w:pPr>
              <w:ind w:left="20"/>
              <w:spacing w:after="0"/>
              <w:rPr>
                <w:sz w:val="20"/>
                <w:szCs w:val="20"/>
                <w:color w:val="auto"/>
              </w:rPr>
            </w:pPr>
            <w:r>
              <w:rPr>
                <w:rFonts w:ascii="Arial" w:cs="Arial" w:eastAsia="Arial" w:hAnsi="Arial"/>
                <w:sz w:val="16"/>
                <w:szCs w:val="16"/>
                <w:color w:val="auto"/>
              </w:rPr>
              <w:t>Policy loans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03"/>
              <w:spacing w:after="0"/>
              <w:rPr>
                <w:sz w:val="20"/>
                <w:szCs w:val="20"/>
                <w:color w:val="auto"/>
              </w:rPr>
            </w:pPr>
            <w:r>
              <w:rPr>
                <w:rFonts w:ascii="Arial" w:cs="Arial" w:eastAsia="Arial" w:hAnsi="Arial"/>
                <w:sz w:val="16"/>
                <w:szCs w:val="16"/>
                <w:color w:val="auto"/>
              </w:rPr>
              <w:t>1,432</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4"/>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Premiums, reinsurance and other receivables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6,912</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9"/>
        </w:trPr>
        <w:tc>
          <w:tcPr>
            <w:tcW w:w="7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Reinsurance of market risk benefits</w:t>
            </w:r>
          </w:p>
        </w:tc>
        <w:tc>
          <w:tcPr>
            <w:tcW w:w="2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tcPr>
          <w:p>
            <w:pPr>
              <w:jc w:val="right"/>
              <w:ind w:right="103"/>
              <w:spacing w:after="0"/>
              <w:rPr>
                <w:sz w:val="20"/>
                <w:szCs w:val="20"/>
                <w:color w:val="auto"/>
              </w:rPr>
            </w:pPr>
            <w:r>
              <w:rPr>
                <w:rFonts w:ascii="Arial" w:cs="Arial" w:eastAsia="Arial" w:hAnsi="Arial"/>
                <w:sz w:val="16"/>
                <w:szCs w:val="16"/>
                <w:color w:val="auto"/>
              </w:rPr>
              <w:t>71</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5"/>
        </w:trPr>
        <w:tc>
          <w:tcPr>
            <w:tcW w:w="734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Increase (decrease) in estimated fair value of assets</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194"/>
        </w:trPr>
        <w:tc>
          <w:tcPr>
            <w:tcW w:w="7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Financial liabilities with interest rate risk (2)</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40" w:type="dxa"/>
            <w:vAlign w:val="bottom"/>
          </w:tcPr>
          <w:p>
            <w:pPr>
              <w:ind w:left="20"/>
              <w:spacing w:after="0"/>
              <w:rPr>
                <w:sz w:val="20"/>
                <w:szCs w:val="20"/>
                <w:color w:val="auto"/>
              </w:rPr>
            </w:pPr>
            <w:r>
              <w:rPr>
                <w:rFonts w:ascii="Arial" w:cs="Arial" w:eastAsia="Arial" w:hAnsi="Arial"/>
                <w:sz w:val="16"/>
                <w:szCs w:val="16"/>
                <w:color w:val="auto"/>
              </w:rPr>
              <w:t>Policyholder account balances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03"/>
              <w:spacing w:after="0"/>
              <w:rPr>
                <w:sz w:val="20"/>
                <w:szCs w:val="20"/>
                <w:color w:val="auto"/>
              </w:rPr>
            </w:pPr>
            <w:r>
              <w:rPr>
                <w:rFonts w:ascii="Arial" w:cs="Arial" w:eastAsia="Arial" w:hAnsi="Arial"/>
                <w:sz w:val="16"/>
                <w:szCs w:val="16"/>
                <w:color w:val="auto"/>
              </w:rPr>
              <w:t>30,524</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5"/>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2,662</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0"/>
        </w:trPr>
        <w:tc>
          <w:tcPr>
            <w:tcW w:w="734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03"/>
              <w:spacing w:after="0"/>
              <w:rPr>
                <w:sz w:val="20"/>
                <w:szCs w:val="20"/>
                <w:color w:val="auto"/>
              </w:rPr>
            </w:pPr>
            <w:r>
              <w:rPr>
                <w:rFonts w:ascii="Arial" w:cs="Arial" w:eastAsia="Arial" w:hAnsi="Arial"/>
                <w:sz w:val="16"/>
                <w:szCs w:val="16"/>
                <w:color w:val="auto"/>
              </w:rPr>
              <w:t>1,042</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Embedded derivatives on index-linked annuities (3)</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5,164</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3"/>
        </w:trPr>
        <w:tc>
          <w:tcPr>
            <w:tcW w:w="7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b w:val="1"/>
                <w:bCs w:val="1"/>
                <w:color w:val="auto"/>
              </w:rPr>
              <w:t>(Increase) decrease in estimated fair value of liabilities</w:t>
            </w: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5"/>
        </w:trPr>
        <w:tc>
          <w:tcPr>
            <w:tcW w:w="7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340" w:type="dxa"/>
            <w:vAlign w:val="bottom"/>
          </w:tcPr>
          <w:p>
            <w:pPr>
              <w:ind w:left="20"/>
              <w:spacing w:after="0"/>
              <w:rPr>
                <w:sz w:val="20"/>
                <w:szCs w:val="20"/>
                <w:color w:val="auto"/>
              </w:rPr>
            </w:pPr>
            <w:r>
              <w:rPr>
                <w:rFonts w:ascii="Arial" w:cs="Arial" w:eastAsia="Arial" w:hAnsi="Arial"/>
                <w:sz w:val="16"/>
                <w:szCs w:val="16"/>
                <w:color w:val="auto"/>
              </w:rPr>
              <w:t>Market risk benefits associated with variable annuities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03"/>
              <w:spacing w:after="0"/>
              <w:rPr>
                <w:sz w:val="20"/>
                <w:szCs w:val="20"/>
                <w:color w:val="auto"/>
              </w:rPr>
            </w:pPr>
            <w:r>
              <w:rPr>
                <w:rFonts w:ascii="Arial" w:cs="Arial" w:eastAsia="Arial" w:hAnsi="Arial"/>
                <w:sz w:val="16"/>
                <w:szCs w:val="16"/>
                <w:color w:val="auto"/>
              </w:rPr>
              <w:t>10,286</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15"/>
        </w:trPr>
        <w:tc>
          <w:tcPr>
            <w:tcW w:w="7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Derivative instruments with interest rate risk</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contracts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74,464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(1,588)</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09"/>
        </w:trPr>
        <w:tc>
          <w:tcPr>
            <w:tcW w:w="7340" w:type="dxa"/>
            <w:vAlign w:val="bottom"/>
          </w:tcPr>
          <w:p>
            <w:pPr>
              <w:ind w:left="20"/>
              <w:spacing w:after="0"/>
              <w:rPr>
                <w:sz w:val="20"/>
                <w:szCs w:val="20"/>
                <w:color w:val="auto"/>
              </w:rPr>
            </w:pPr>
            <w:r>
              <w:rPr>
                <w:rFonts w:ascii="Arial" w:cs="Arial" w:eastAsia="Arial" w:hAnsi="Arial"/>
                <w:sz w:val="16"/>
                <w:szCs w:val="16"/>
                <w:color w:val="auto"/>
              </w:rPr>
              <w:t>Foreign currency contracts</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5,313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03"/>
              <w:spacing w:after="0"/>
              <w:rPr>
                <w:sz w:val="20"/>
                <w:szCs w:val="20"/>
                <w:color w:val="auto"/>
              </w:rPr>
            </w:pPr>
            <w:r>
              <w:rPr>
                <w:rFonts w:ascii="Arial" w:cs="Arial" w:eastAsia="Arial" w:hAnsi="Arial"/>
                <w:sz w:val="16"/>
                <w:szCs w:val="16"/>
                <w:color w:val="auto"/>
              </w:rPr>
              <w:t>684</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7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contracts</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60,997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271</w:t>
            </w: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b w:val="1"/>
                <w:bCs w:val="1"/>
                <w:color w:val="auto"/>
              </w:rPr>
              <w:t>Increase (decrease) in estimated fair value of derivative instruments</w:t>
            </w: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33"/>
        </w:trPr>
        <w:tc>
          <w:tcPr>
            <w:tcW w:w="7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change</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0" w:type="dxa"/>
            <w:vAlign w:val="bottom"/>
          </w:tcPr>
          <w:p>
            <w:pPr>
              <w:spacing w:after="0"/>
              <w:rPr>
                <w:sz w:val="1"/>
                <w:szCs w:val="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10" w:lineRule="exact"/>
        <w:rPr>
          <w:sz w:val="20"/>
          <w:szCs w:val="20"/>
          <w:color w:val="auto"/>
        </w:rPr>
      </w:pPr>
    </w:p>
    <w:p>
      <w:pPr>
        <w:ind w:left="320" w:hanging="314"/>
        <w:spacing w:after="0"/>
        <w:tabs>
          <w:tab w:leader="none" w:pos="320" w:val="left"/>
        </w:tabs>
        <w:numPr>
          <w:ilvl w:val="0"/>
          <w:numId w:val="62"/>
        </w:numPr>
        <w:rPr>
          <w:rFonts w:ascii="Arial" w:cs="Arial" w:eastAsia="Arial" w:hAnsi="Arial"/>
          <w:sz w:val="15"/>
          <w:szCs w:val="15"/>
          <w:color w:val="auto"/>
        </w:rPr>
      </w:pPr>
      <w:r>
        <w:rPr>
          <w:rFonts w:ascii="Arial" w:cs="Arial" w:eastAsia="Arial" w:hAnsi="Arial"/>
          <w:sz w:val="15"/>
          <w:szCs w:val="15"/>
          <w:color w:val="auto"/>
        </w:rPr>
        <w:t>Separate account assets and liabilities, which are interest rate sensitive, are not included herein as any interest rate risk is borne by the contract holder.</w:t>
      </w:r>
    </w:p>
    <w:p>
      <w:pPr>
        <w:spacing w:after="0" w:line="145" w:lineRule="exact"/>
        <w:rPr>
          <w:rFonts w:ascii="Arial" w:cs="Arial" w:eastAsia="Arial" w:hAnsi="Arial"/>
          <w:sz w:val="15"/>
          <w:szCs w:val="15"/>
          <w:color w:val="auto"/>
        </w:rPr>
      </w:pPr>
    </w:p>
    <w:p>
      <w:pPr>
        <w:jc w:val="both"/>
        <w:ind w:left="320" w:right="100" w:hanging="314"/>
        <w:spacing w:after="0" w:line="255" w:lineRule="auto"/>
        <w:tabs>
          <w:tab w:leader="none" w:pos="314"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Excludes $36.1 billion of liabilities at carrying value pursuant to insurance contracts reported within future policy benefits and other policy-related balances on the consolidated balance sheet at March 31, 2023. Management believes that the changes in the economic value of those contracts under changing interest rates would offset a significant portion of the fair value changes of interest rate sensitive assets.</w:t>
      </w:r>
    </w:p>
    <w:p>
      <w:pPr>
        <w:spacing w:after="0" w:line="82" w:lineRule="exact"/>
        <w:rPr>
          <w:rFonts w:ascii="Arial" w:cs="Arial" w:eastAsia="Arial" w:hAnsi="Arial"/>
          <w:sz w:val="18"/>
          <w:szCs w:val="18"/>
          <w:color w:val="auto"/>
        </w:rPr>
      </w:pPr>
    </w:p>
    <w:p>
      <w:pPr>
        <w:ind w:left="320" w:hanging="314"/>
        <w:spacing w:after="0"/>
        <w:tabs>
          <w:tab w:leader="none" w:pos="3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Embedded derivatives on index-linked annuities are recognized on the consolidated balance sheet in the same caption as the host contract.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Summary</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Sensitivity to a 100 basis point rise in interest rates was $5.4 billion at March 31, 2023.</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Sensitivity to a 10% rise in equity prices was $105 million at March 31, 2023.</w:t>
      </w:r>
    </w:p>
    <w:p>
      <w:pPr>
        <w:spacing w:after="0" w:line="111" w:lineRule="exact"/>
        <w:rPr>
          <w:sz w:val="20"/>
          <w:szCs w:val="20"/>
          <w:color w:val="auto"/>
        </w:rPr>
      </w:pPr>
    </w:p>
    <w:p>
      <w:pPr>
        <w:ind w:right="100" w:firstLine="318"/>
        <w:spacing w:after="0" w:line="264" w:lineRule="auto"/>
        <w:rPr>
          <w:sz w:val="20"/>
          <w:szCs w:val="20"/>
          <w:color w:val="auto"/>
        </w:rPr>
      </w:pPr>
      <w:r>
        <w:rPr>
          <w:rFonts w:ascii="Arial" w:cs="Arial" w:eastAsia="Arial" w:hAnsi="Arial"/>
          <w:sz w:val="18"/>
          <w:szCs w:val="18"/>
          <w:color w:val="auto"/>
        </w:rPr>
        <w:t>As discussed above, we economically hedge substantially all of our foreign currency exposure such that sensitivity to changes in foreign currencies is minimal.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227" w:right="239" w:bottom="1440" w:gutter="0" w:footer="0" w:header="0"/>
        </w:sectPr>
      </w:pPr>
    </w:p>
    <w:bookmarkStart w:id="97" w:name="page98"/>
    <w:bookmarkEnd w:id="97"/>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Management, with the participation of the Chief Executive Officer and the Chief Financial Officer, has evaluated the effectiveness of the design and operation of the Company’s disclosure controls and procedures as defined in Rules 13a-15(e) and 15d-15(e) under the Securities Exchange Act of 1934, as amended (“Exchange Act”), as of the end of the period covered by this report. Based on that evaluation, the Chief Executive Officer and the Chief Financial Officer have concluded that these disclosure controls and procedures were effective as of March 31, 2023.</w:t>
      </w:r>
    </w:p>
    <w:p>
      <w:pPr>
        <w:spacing w:after="0" w:line="12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MetLife provides certain services to the Company on a transitional basis through services agreements. The Company continues to change business processes, implement systems and establish new third-party arrangements. We consider these in aggregate to be material changes in our internal control over financial reporting.</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Other than as noted above, there were no changes to the Company’s internal control over financial reporting (as defined in Rules 13a-15(f) and 15d-15(f) under the Exchange Act) that occurred during the quarter ended March 31, 2023 that have materially affected, or are reasonably likely to materially affect, these internal controls over financial reporting.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Note 12 of the Notes to the Interim Condensed Consolidated Financial Statements.</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In addition, as previously disclosed in our Annual Report on Form 10-K for the year ended December 31, 2022 under “Business—Reinsurance Activity— Unaffiliated Third-Party Reinsurance,” we received a demand for arbitration in February 2021 relating to a block of long-term care insurance business with reserves of $6.5 billion at December 31, 2022 that is reinsured to Genworth Life Insurance Company and Genworth Life Insurance Company of New York (collectively, the “Genworth reinsurers”). The Genworth reinsurers have established trust accounts for our benefit to secure their obligations under such arrangements requiring that they maintain qualifying collateral with an aggregate fair market value equal to at least 102% of the statutory reserves attributable to the long-term care business, and the demand for arbitration sought authorization to withdraw certain amounts from the trust accounts. In August 2022, we participated in an arbitration hearing with the Genworth reinsurers. In March 2023, the arbitration panel ruled that the trusts were funded in excess of the amount required and that such excess amounts are to be released from the trusts. We have complied with the arbitration panel’s ruling.</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discuss in this report, in our 2022 Annual Report and in our other filings with the SEC, various risks that may materially affect our business. In addition, see “Management’s Discussion and Analysis of Financial Condition and Results of Operations — Note Regarding Forward-Looking Statements” included herein. There have been no material changes to our risk factors from the risk factors previously disclosed in our 2022 Annual Report.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8" w:name="page99"/>
    <w:bookmarkEnd w:id="98"/>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Purchases of BHF common stock made by or on behalf of BHF or its affiliates during the three months ended March 31, 2023 are set forth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1"/>
              </w:rPr>
              <w:t>Total Number of Shares</w:t>
            </w:r>
          </w:p>
        </w:tc>
        <w:tc>
          <w:tcPr>
            <w:tcW w:w="100" w:type="dxa"/>
            <w:vAlign w:val="bottom"/>
          </w:tcPr>
          <w:p>
            <w:pPr>
              <w:spacing w:after="0"/>
              <w:rPr>
                <w:sz w:val="14"/>
                <w:szCs w:val="14"/>
                <w:color w:val="auto"/>
              </w:rPr>
            </w:pPr>
          </w:p>
        </w:tc>
        <w:tc>
          <w:tcPr>
            <w:tcW w:w="18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Approximate Dollar Value of</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vMerge w:val="restart"/>
          </w:tcPr>
          <w:p>
            <w:pPr>
              <w:jc w:val="right"/>
              <w:ind w:right="103"/>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Average Price Paid per</w:t>
            </w:r>
          </w:p>
        </w:tc>
        <w:tc>
          <w:tcPr>
            <w:tcW w:w="18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Purchased as Part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tcPr>
          <w:p>
            <w:pPr>
              <w:jc w:val="center"/>
              <w:ind w:right="65"/>
              <w:spacing w:after="0" w:line="142" w:lineRule="exact"/>
              <w:rPr>
                <w:sz w:val="20"/>
                <w:szCs w:val="20"/>
                <w:color w:val="auto"/>
              </w:rPr>
            </w:pPr>
            <w:r>
              <w:rPr>
                <w:rFonts w:ascii="Arial" w:cs="Arial" w:eastAsia="Arial" w:hAnsi="Arial"/>
                <w:sz w:val="14"/>
                <w:szCs w:val="14"/>
                <w:b w:val="1"/>
                <w:bCs w:val="1"/>
                <w:color w:val="auto"/>
                <w:w w:val="90"/>
              </w:rPr>
              <w:t>Shares that May Yet Be</w:t>
            </w:r>
          </w:p>
        </w:tc>
        <w:tc>
          <w:tcPr>
            <w:tcW w:w="0" w:type="dxa"/>
            <w:vAlign w:val="bottom"/>
          </w:tcPr>
          <w:p>
            <w:pPr>
              <w:spacing w:after="0"/>
              <w:rPr>
                <w:sz w:val="1"/>
                <w:szCs w:val="1"/>
                <w:color w:val="auto"/>
              </w:rPr>
            </w:pPr>
          </w:p>
        </w:tc>
      </w:tr>
      <w:tr>
        <w:trPr>
          <w:trHeight w:val="146"/>
        </w:trPr>
        <w:tc>
          <w:tcPr>
            <w:tcW w:w="3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80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w w:val="89"/>
              </w:rPr>
              <w:t>Publicly Announced Plans or</w:t>
            </w:r>
          </w:p>
        </w:tc>
        <w:tc>
          <w:tcPr>
            <w:tcW w:w="100" w:type="dxa"/>
            <w:vAlign w:val="bottom"/>
          </w:tcPr>
          <w:p>
            <w:pPr>
              <w:spacing w:after="0"/>
              <w:rPr>
                <w:sz w:val="12"/>
                <w:szCs w:val="12"/>
                <w:color w:val="auto"/>
              </w:rPr>
            </w:pPr>
          </w:p>
        </w:tc>
        <w:tc>
          <w:tcPr>
            <w:tcW w:w="1800" w:type="dxa"/>
            <w:vAlign w:val="bottom"/>
            <w:gridSpan w:val="2"/>
          </w:tcPr>
          <w:p>
            <w:pPr>
              <w:jc w:val="center"/>
              <w:spacing w:after="0" w:line="146" w:lineRule="exact"/>
              <w:rPr>
                <w:sz w:val="20"/>
                <w:szCs w:val="20"/>
                <w:color w:val="auto"/>
              </w:rPr>
            </w:pPr>
            <w:r>
              <w:rPr>
                <w:rFonts w:ascii="Arial" w:cs="Arial" w:eastAsia="Arial" w:hAnsi="Arial"/>
                <w:sz w:val="14"/>
                <w:szCs w:val="14"/>
                <w:b w:val="1"/>
                <w:bCs w:val="1"/>
                <w:color w:val="auto"/>
                <w:w w:val="90"/>
              </w:rPr>
              <w:t>Purchased Under the Plans</w:t>
            </w:r>
          </w:p>
        </w:tc>
        <w:tc>
          <w:tcPr>
            <w:tcW w:w="0" w:type="dxa"/>
            <w:vAlign w:val="bottom"/>
          </w:tcPr>
          <w:p>
            <w:pPr>
              <w:spacing w:after="0"/>
              <w:rPr>
                <w:sz w:val="1"/>
                <w:szCs w:val="1"/>
                <w:color w:val="auto"/>
              </w:rPr>
            </w:pPr>
          </w:p>
        </w:tc>
      </w:tr>
      <w:tr>
        <w:trPr>
          <w:trHeight w:val="193"/>
        </w:trPr>
        <w:tc>
          <w:tcPr>
            <w:tcW w:w="3760" w:type="dxa"/>
            <w:vAlign w:val="bottom"/>
            <w:gridSpan w:val="2"/>
            <w:vMerge w:val="continue"/>
          </w:tcPr>
          <w:p>
            <w:pPr>
              <w:spacing w:after="0"/>
              <w:rPr>
                <w:sz w:val="16"/>
                <w:szCs w:val="16"/>
                <w:color w:val="auto"/>
              </w:rPr>
            </w:pPr>
          </w:p>
        </w:tc>
        <w:tc>
          <w:tcPr>
            <w:tcW w:w="1780" w:type="dxa"/>
            <w:vAlign w:val="bottom"/>
          </w:tcPr>
          <w:p>
            <w:pPr>
              <w:jc w:val="right"/>
              <w:ind w:right="403"/>
              <w:spacing w:after="0"/>
              <w:rPr>
                <w:sz w:val="20"/>
                <w:szCs w:val="20"/>
                <w:color w:val="auto"/>
              </w:rPr>
            </w:pPr>
            <w:r>
              <w:rPr>
                <w:rFonts w:ascii="Arial" w:cs="Arial" w:eastAsia="Arial" w:hAnsi="Arial"/>
                <w:sz w:val="14"/>
                <w:szCs w:val="14"/>
                <w:b w:val="1"/>
                <w:bCs w:val="1"/>
                <w:color w:val="auto"/>
              </w:rPr>
              <w:t>Purchased (1)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w:t>
            </w:r>
          </w:p>
        </w:tc>
        <w:tc>
          <w:tcPr>
            <w:tcW w:w="1800" w:type="dxa"/>
            <w:vAlign w:val="bottom"/>
          </w:tcPr>
          <w:p>
            <w:pPr>
              <w:jc w:val="center"/>
              <w:spacing w:after="0"/>
              <w:rPr>
                <w:sz w:val="20"/>
                <w:szCs w:val="20"/>
                <w:color w:val="auto"/>
              </w:rPr>
            </w:pPr>
            <w:r>
              <w:rPr>
                <w:rFonts w:ascii="Arial" w:cs="Arial" w:eastAsia="Arial" w:hAnsi="Arial"/>
                <w:sz w:val="14"/>
                <w:szCs w:val="14"/>
                <w:b w:val="1"/>
                <w:bCs w:val="1"/>
                <w:color w:val="auto"/>
                <w:w w:val="90"/>
              </w:rPr>
              <w:t>Programs (2)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jc w:val="center"/>
              <w:ind w:right="65"/>
              <w:spacing w:after="0"/>
              <w:rPr>
                <w:sz w:val="20"/>
                <w:szCs w:val="20"/>
                <w:color w:val="auto"/>
              </w:rPr>
            </w:pPr>
            <w:r>
              <w:rPr>
                <w:rFonts w:ascii="Arial" w:cs="Arial" w:eastAsia="Arial" w:hAnsi="Arial"/>
                <w:sz w:val="14"/>
                <w:szCs w:val="14"/>
                <w:b w:val="1"/>
                <w:bCs w:val="1"/>
                <w:color w:val="auto"/>
                <w:w w:val="91"/>
              </w:rPr>
              <w:t>or Programs</w:t>
            </w:r>
          </w:p>
        </w:tc>
        <w:tc>
          <w:tcPr>
            <w:tcW w:w="0" w:type="dxa"/>
            <w:vAlign w:val="bottom"/>
          </w:tcPr>
          <w:p>
            <w:pPr>
              <w:spacing w:after="0"/>
              <w:rPr>
                <w:sz w:val="1"/>
                <w:szCs w:val="1"/>
                <w:color w:val="auto"/>
              </w:rPr>
            </w:pPr>
          </w:p>
        </w:tc>
      </w:tr>
      <w:tr>
        <w:trPr>
          <w:trHeight w:val="190"/>
        </w:trPr>
        <w:tc>
          <w:tcPr>
            <w:tcW w:w="3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1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January 1 — January 31, 2023</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371,711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52.84</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371,711</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10"/>
        </w:trPr>
        <w:tc>
          <w:tcPr>
            <w:tcW w:w="3760" w:type="dxa"/>
            <w:vAlign w:val="bottom"/>
            <w:gridSpan w:val="2"/>
          </w:tcPr>
          <w:p>
            <w:pPr>
              <w:ind w:left="20"/>
              <w:spacing w:after="0"/>
              <w:rPr>
                <w:sz w:val="20"/>
                <w:szCs w:val="20"/>
                <w:color w:val="auto"/>
              </w:rPr>
            </w:pPr>
            <w:r>
              <w:rPr>
                <w:rFonts w:ascii="Arial" w:cs="Arial" w:eastAsia="Arial" w:hAnsi="Arial"/>
                <w:sz w:val="16"/>
                <w:szCs w:val="16"/>
                <w:color w:val="auto"/>
              </w:rPr>
              <w:t>February 1 — February 28, 2023</w:t>
            </w:r>
          </w:p>
        </w:tc>
        <w:tc>
          <w:tcPr>
            <w:tcW w:w="1780" w:type="dxa"/>
            <w:vAlign w:val="bottom"/>
          </w:tcPr>
          <w:p>
            <w:pPr>
              <w:jc w:val="right"/>
              <w:spacing w:after="0"/>
              <w:rPr>
                <w:sz w:val="20"/>
                <w:szCs w:val="20"/>
                <w:color w:val="auto"/>
              </w:rPr>
            </w:pPr>
            <w:r>
              <w:rPr>
                <w:rFonts w:ascii="Arial" w:cs="Arial" w:eastAsia="Arial" w:hAnsi="Arial"/>
                <w:sz w:val="16"/>
                <w:szCs w:val="16"/>
                <w:color w:val="auto"/>
              </w:rPr>
              <w:t>328,028</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57.53</w:t>
            </w:r>
          </w:p>
        </w:tc>
        <w:tc>
          <w:tcPr>
            <w:tcW w:w="120" w:type="dxa"/>
            <w:vAlign w:val="bottom"/>
          </w:tcPr>
          <w:p>
            <w:pPr>
              <w:spacing w:after="0"/>
              <w:rPr>
                <w:sz w:val="18"/>
                <w:szCs w:val="18"/>
                <w:color w:val="auto"/>
              </w:rPr>
            </w:pPr>
          </w:p>
        </w:tc>
        <w:tc>
          <w:tcPr>
            <w:tcW w:w="1800" w:type="dxa"/>
            <w:vAlign w:val="bottom"/>
          </w:tcPr>
          <w:p>
            <w:pPr>
              <w:jc w:val="right"/>
              <w:ind w:right="5"/>
              <w:spacing w:after="0"/>
              <w:rPr>
                <w:sz w:val="20"/>
                <w:szCs w:val="20"/>
                <w:color w:val="auto"/>
              </w:rPr>
            </w:pPr>
            <w:r>
              <w:rPr>
                <w:rFonts w:ascii="Arial" w:cs="Arial" w:eastAsia="Arial" w:hAnsi="Arial"/>
                <w:sz w:val="16"/>
                <w:szCs w:val="16"/>
                <w:color w:val="auto"/>
              </w:rPr>
              <w:t>328,028</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12"/>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March 1 — March 31, 2023</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741,155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51.15</w:t>
            </w:r>
          </w:p>
        </w:tc>
        <w:tc>
          <w:tcPr>
            <w:tcW w:w="120" w:type="dxa"/>
            <w:vAlign w:val="bottom"/>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500,385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08"/>
        </w:trPr>
        <w:tc>
          <w:tcPr>
            <w:tcW w:w="376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1,440,894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1,200,124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10" w:lineRule="exact"/>
        <w:rPr>
          <w:sz w:val="20"/>
          <w:szCs w:val="20"/>
          <w:color w:val="auto"/>
        </w:rPr>
      </w:pPr>
    </w:p>
    <w:p>
      <w:pPr>
        <w:ind w:left="320" w:hanging="314"/>
        <w:spacing w:after="0" w:line="365" w:lineRule="auto"/>
        <w:tabs>
          <w:tab w:leader="none" w:pos="314" w:val="left"/>
        </w:tabs>
        <w:numPr>
          <w:ilvl w:val="0"/>
          <w:numId w:val="63"/>
        </w:numPr>
        <w:rPr>
          <w:rFonts w:ascii="Arial" w:cs="Arial" w:eastAsia="Arial" w:hAnsi="Arial"/>
          <w:sz w:val="15"/>
          <w:szCs w:val="15"/>
          <w:color w:val="auto"/>
        </w:rPr>
      </w:pPr>
      <w:r>
        <w:rPr>
          <w:rFonts w:ascii="Arial" w:cs="Arial" w:eastAsia="Arial" w:hAnsi="Arial"/>
          <w:sz w:val="15"/>
          <w:szCs w:val="15"/>
          <w:color w:val="auto"/>
        </w:rPr>
        <w:t>Where applicable, total number of shares purchased includes shares of common stock withheld with respect to option exercise costs and tax withholding obligations associated with the exercise or vesting of share-based compensation awards under our publicly announced benefit plans or programs.</w:t>
      </w:r>
    </w:p>
    <w:p>
      <w:pPr>
        <w:spacing w:after="0" w:line="5" w:lineRule="exact"/>
        <w:rPr>
          <w:rFonts w:ascii="Arial" w:cs="Arial" w:eastAsia="Arial" w:hAnsi="Arial"/>
          <w:sz w:val="15"/>
          <w:szCs w:val="15"/>
          <w:color w:val="auto"/>
        </w:rPr>
      </w:pPr>
    </w:p>
    <w:p>
      <w:pPr>
        <w:jc w:val="both"/>
        <w:ind w:left="320" w:hanging="314"/>
        <w:spacing w:after="0" w:line="255" w:lineRule="auto"/>
        <w:tabs>
          <w:tab w:leader="none" w:pos="314"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See “Management’s Discussion and Analysis of Financial Condition and Results of Operations — Liquidity and Capital Resources — The Company — Primary Uses of Liquidity and Capital — Common Stock Repurchases” and Note 9 of the Notes to the Interim Condensed Consolidated Financial Statements for more information on common stock repurchases.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04" w:lineRule="exact"/>
        <w:rPr>
          <w:sz w:val="20"/>
          <w:szCs w:val="20"/>
          <w:color w:val="auto"/>
        </w:rPr>
      </w:pPr>
    </w:p>
    <w:p>
      <w:pPr>
        <w:jc w:val="both"/>
        <w:ind w:firstLine="159"/>
        <w:spacing w:after="0" w:line="263" w:lineRule="auto"/>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Note Regarding Reliance on Statements in Our Contracts:</w:t>
      </w:r>
      <w:r>
        <w:rPr>
          <w:rFonts w:ascii="Arial" w:cs="Arial" w:eastAsia="Arial" w:hAnsi="Arial"/>
          <w:sz w:val="17"/>
          <w:szCs w:val="17"/>
          <w:i w:val="1"/>
          <w:iCs w:val="1"/>
          <w:color w:val="auto"/>
        </w:rPr>
        <w:t xml:space="preserve"> In reviewing the agreements included as exhibits herein, please remember that they are included to provide you with information regarding their terms and are not intended to provide any other factual or disclosure information about Brighthouse Financial, Inc. and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Financial, Inc. and its subsidiaries and affiliates may be found elsewhere herein and Brighthouse Financial, Inc.’s other public filings, which are available without charge through the U.S. Securities and Exchange Commission website at www.sec.gov.)</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Exhibit No.</w:t>
            </w:r>
          </w:p>
        </w:tc>
        <w:tc>
          <w:tcPr>
            <w:tcW w:w="10060" w:type="dxa"/>
            <w:vAlign w:val="bottom"/>
            <w:gridSpan w:val="5"/>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28"/>
        </w:trPr>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79"/>
        </w:trPr>
        <w:tc>
          <w:tcPr>
            <w:tcW w:w="1060" w:type="dxa"/>
            <w:vAlign w:val="bottom"/>
          </w:tcPr>
          <w:p>
            <w:pPr>
              <w:jc w:val="center"/>
              <w:spacing w:after="0" w:line="179" w:lineRule="exact"/>
              <w:rPr>
                <w:sz w:val="20"/>
                <w:szCs w:val="20"/>
                <w:color w:val="auto"/>
              </w:rPr>
            </w:pPr>
            <w:r>
              <w:rPr>
                <w:rFonts w:ascii="Arial" w:cs="Arial" w:eastAsia="Arial" w:hAnsi="Arial"/>
                <w:sz w:val="18"/>
                <w:szCs w:val="18"/>
                <w:color w:val="auto"/>
                <w:w w:val="92"/>
              </w:rPr>
              <w:t>10.1*#</w:t>
            </w:r>
          </w:p>
        </w:tc>
        <w:tc>
          <w:tcPr>
            <w:tcW w:w="120" w:type="dxa"/>
            <w:vAlign w:val="bottom"/>
          </w:tcPr>
          <w:p>
            <w:pPr>
              <w:spacing w:after="0"/>
              <w:rPr>
                <w:sz w:val="15"/>
                <w:szCs w:val="15"/>
                <w:color w:val="auto"/>
              </w:rPr>
            </w:pPr>
          </w:p>
        </w:tc>
        <w:tc>
          <w:tcPr>
            <w:tcW w:w="7180" w:type="dxa"/>
            <w:vAlign w:val="bottom"/>
            <w:tcBorders>
              <w:bottom w:val="single" w:sz="8" w:color="0000FF"/>
            </w:tcBorders>
            <w:gridSpan w:val="3"/>
          </w:tcPr>
          <w:p>
            <w:pPr>
              <w:spacing w:after="0" w:line="179" w:lineRule="exact"/>
              <w:rPr>
                <w:sz w:val="20"/>
                <w:szCs w:val="20"/>
                <w:color w:val="auto"/>
              </w:rPr>
            </w:pPr>
            <w:r>
              <w:rPr>
                <w:rFonts w:ascii="Arial" w:cs="Arial" w:eastAsia="Arial" w:hAnsi="Arial"/>
                <w:sz w:val="18"/>
                <w:szCs w:val="18"/>
                <w:color w:val="0000FF"/>
                <w:w w:val="89"/>
              </w:rPr>
              <w:t>Amendment Number Four to the Brighthouse Services, LLC Voluntary Deferred Compensation Plan.</w:t>
            </w:r>
          </w:p>
        </w:tc>
        <w:tc>
          <w:tcPr>
            <w:tcW w:w="2880" w:type="dxa"/>
            <w:vAlign w:val="bottom"/>
            <w:gridSpan w:val="2"/>
          </w:tcPr>
          <w:p>
            <w:pPr>
              <w:spacing w:after="0"/>
              <w:rPr>
                <w:sz w:val="15"/>
                <w:szCs w:val="15"/>
                <w:color w:val="auto"/>
              </w:rPr>
            </w:pPr>
          </w:p>
        </w:tc>
      </w:tr>
      <w:tr>
        <w:trPr>
          <w:trHeight w:val="205"/>
        </w:trPr>
        <w:tc>
          <w:tcPr>
            <w:tcW w:w="1060" w:type="dxa"/>
            <w:vAlign w:val="bottom"/>
          </w:tcPr>
          <w:p>
            <w:pPr>
              <w:jc w:val="center"/>
              <w:spacing w:after="0" w:line="205" w:lineRule="exact"/>
              <w:rPr>
                <w:sz w:val="20"/>
                <w:szCs w:val="20"/>
                <w:color w:val="auto"/>
              </w:rPr>
            </w:pPr>
            <w:r>
              <w:rPr>
                <w:rFonts w:ascii="Arial" w:cs="Arial" w:eastAsia="Arial" w:hAnsi="Arial"/>
                <w:sz w:val="18"/>
                <w:szCs w:val="18"/>
                <w:color w:val="auto"/>
                <w:w w:val="92"/>
              </w:rPr>
              <w:t>10.2*#</w:t>
            </w:r>
          </w:p>
        </w:tc>
        <w:tc>
          <w:tcPr>
            <w:tcW w:w="120" w:type="dxa"/>
            <w:vAlign w:val="bottom"/>
          </w:tcPr>
          <w:p>
            <w:pPr>
              <w:spacing w:after="0"/>
              <w:rPr>
                <w:sz w:val="17"/>
                <w:szCs w:val="17"/>
                <w:color w:val="auto"/>
              </w:rPr>
            </w:pPr>
          </w:p>
        </w:tc>
        <w:tc>
          <w:tcPr>
            <w:tcW w:w="8680" w:type="dxa"/>
            <w:vAlign w:val="bottom"/>
            <w:tcBorders>
              <w:bottom w:val="single" w:sz="8" w:color="0000FF"/>
            </w:tcBorders>
            <w:gridSpan w:val="4"/>
          </w:tcPr>
          <w:p>
            <w:pPr>
              <w:spacing w:after="0" w:line="205" w:lineRule="exact"/>
              <w:rPr>
                <w:sz w:val="20"/>
                <w:szCs w:val="20"/>
                <w:color w:val="auto"/>
              </w:rPr>
            </w:pPr>
            <w:r>
              <w:rPr>
                <w:rFonts w:ascii="Arial" w:cs="Arial" w:eastAsia="Arial" w:hAnsi="Arial"/>
                <w:sz w:val="18"/>
                <w:szCs w:val="18"/>
                <w:color w:val="0000FF"/>
                <w:w w:val="89"/>
              </w:rPr>
              <w:t>Amendment Number One to the Brighthouse Services, LLC Deferred Compensation Plan for Non-Management Directors.</w:t>
            </w:r>
          </w:p>
        </w:tc>
        <w:tc>
          <w:tcPr>
            <w:tcW w:w="1380" w:type="dxa"/>
            <w:vAlign w:val="bottom"/>
          </w:tcPr>
          <w:p>
            <w:pPr>
              <w:spacing w:after="0"/>
              <w:rPr>
                <w:sz w:val="17"/>
                <w:szCs w:val="17"/>
                <w:color w:val="auto"/>
              </w:rPr>
            </w:pPr>
          </w:p>
        </w:tc>
      </w:tr>
      <w:tr>
        <w:trPr>
          <w:trHeight w:val="205"/>
        </w:trPr>
        <w:tc>
          <w:tcPr>
            <w:tcW w:w="1060" w:type="dxa"/>
            <w:vAlign w:val="bottom"/>
          </w:tcPr>
          <w:p>
            <w:pPr>
              <w:jc w:val="center"/>
              <w:spacing w:after="0" w:line="205" w:lineRule="exact"/>
              <w:rPr>
                <w:sz w:val="20"/>
                <w:szCs w:val="20"/>
                <w:color w:val="auto"/>
              </w:rPr>
            </w:pPr>
            <w:r>
              <w:rPr>
                <w:rFonts w:ascii="Arial" w:cs="Arial" w:eastAsia="Arial" w:hAnsi="Arial"/>
                <w:sz w:val="18"/>
                <w:szCs w:val="18"/>
                <w:color w:val="auto"/>
                <w:w w:val="95"/>
              </w:rPr>
              <w:t>31.1*</w:t>
            </w:r>
          </w:p>
        </w:tc>
        <w:tc>
          <w:tcPr>
            <w:tcW w:w="120" w:type="dxa"/>
            <w:vAlign w:val="bottom"/>
          </w:tcPr>
          <w:p>
            <w:pPr>
              <w:spacing w:after="0"/>
              <w:rPr>
                <w:sz w:val="17"/>
                <w:szCs w:val="17"/>
                <w:color w:val="auto"/>
              </w:rPr>
            </w:pPr>
          </w:p>
        </w:tc>
        <w:tc>
          <w:tcPr>
            <w:tcW w:w="10060" w:type="dxa"/>
            <w:vAlign w:val="bottom"/>
            <w:gridSpan w:val="5"/>
          </w:tcPr>
          <w:p>
            <w:pPr>
              <w:spacing w:after="0" w:line="205" w:lineRule="exact"/>
              <w:rPr>
                <w:sz w:val="20"/>
                <w:szCs w:val="20"/>
                <w:color w:val="auto"/>
              </w:rPr>
            </w:pPr>
            <w:r>
              <w:rPr>
                <w:rFonts w:ascii="Arial" w:cs="Arial" w:eastAsia="Arial" w:hAnsi="Arial"/>
                <w:sz w:val="18"/>
                <w:szCs w:val="18"/>
                <w:color w:val="0000FF"/>
              </w:rPr>
              <w:t>Certification of Chief Executive Officer pursuant to Section 302 of the Sarbanes-Oxley Act of 2002.</w:t>
            </w:r>
          </w:p>
        </w:tc>
      </w:tr>
      <w:tr>
        <w:trPr>
          <w:trHeight w:val="205"/>
        </w:trPr>
        <w:tc>
          <w:tcPr>
            <w:tcW w:w="1060" w:type="dxa"/>
            <w:vAlign w:val="bottom"/>
          </w:tcPr>
          <w:p>
            <w:pPr>
              <w:jc w:val="center"/>
              <w:spacing w:after="0" w:line="205" w:lineRule="exact"/>
              <w:rPr>
                <w:sz w:val="20"/>
                <w:szCs w:val="20"/>
                <w:color w:val="auto"/>
              </w:rPr>
            </w:pPr>
            <w:r>
              <w:rPr>
                <w:rFonts w:ascii="Arial" w:cs="Arial" w:eastAsia="Arial" w:hAnsi="Arial"/>
                <w:sz w:val="18"/>
                <w:szCs w:val="18"/>
                <w:color w:val="auto"/>
                <w:w w:val="95"/>
              </w:rPr>
              <w:t>31.2*</w:t>
            </w:r>
          </w:p>
        </w:tc>
        <w:tc>
          <w:tcPr>
            <w:tcW w:w="120" w:type="dxa"/>
            <w:vAlign w:val="bottom"/>
          </w:tcPr>
          <w:p>
            <w:pPr>
              <w:spacing w:after="0"/>
              <w:rPr>
                <w:sz w:val="17"/>
                <w:szCs w:val="17"/>
                <w:color w:val="auto"/>
              </w:rPr>
            </w:pPr>
          </w:p>
        </w:tc>
        <w:tc>
          <w:tcPr>
            <w:tcW w:w="7060" w:type="dxa"/>
            <w:vAlign w:val="bottom"/>
            <w:tcBorders>
              <w:top w:val="single" w:sz="8" w:color="0000FF"/>
              <w:bottom w:val="single" w:sz="8" w:color="0000FF"/>
            </w:tcBorders>
          </w:tcPr>
          <w:p>
            <w:pPr>
              <w:spacing w:after="0" w:line="205" w:lineRule="exact"/>
              <w:rPr>
                <w:sz w:val="20"/>
                <w:szCs w:val="20"/>
                <w:color w:val="auto"/>
              </w:rPr>
            </w:pPr>
            <w:r>
              <w:rPr>
                <w:rFonts w:ascii="Arial" w:cs="Arial" w:eastAsia="Arial" w:hAnsi="Arial"/>
                <w:sz w:val="18"/>
                <w:szCs w:val="18"/>
                <w:color w:val="0000FF"/>
                <w:w w:val="90"/>
              </w:rPr>
              <w:t>Certification of Chief Financial Officer pursuant to Section 302 of the Sarbanes-Oxley Act of 2002.</w:t>
            </w:r>
          </w:p>
        </w:tc>
        <w:tc>
          <w:tcPr>
            <w:tcW w:w="40" w:type="dxa"/>
            <w:vAlign w:val="bottom"/>
            <w:tcBorders>
              <w:top w:val="single" w:sz="8" w:color="0000FF"/>
            </w:tcBorders>
          </w:tcPr>
          <w:p>
            <w:pPr>
              <w:spacing w:after="0"/>
              <w:rPr>
                <w:sz w:val="17"/>
                <w:szCs w:val="17"/>
                <w:color w:val="auto"/>
              </w:rPr>
            </w:pPr>
          </w:p>
        </w:tc>
        <w:tc>
          <w:tcPr>
            <w:tcW w:w="2960" w:type="dxa"/>
            <w:vAlign w:val="bottom"/>
            <w:gridSpan w:val="3"/>
          </w:tcPr>
          <w:p>
            <w:pPr>
              <w:spacing w:after="0"/>
              <w:rPr>
                <w:sz w:val="17"/>
                <w:szCs w:val="17"/>
                <w:color w:val="auto"/>
              </w:rPr>
            </w:pPr>
          </w:p>
        </w:tc>
      </w:tr>
      <w:tr>
        <w:trPr>
          <w:trHeight w:val="205"/>
        </w:trPr>
        <w:tc>
          <w:tcPr>
            <w:tcW w:w="1060" w:type="dxa"/>
            <w:vAlign w:val="bottom"/>
          </w:tcPr>
          <w:p>
            <w:pPr>
              <w:jc w:val="center"/>
              <w:spacing w:after="0" w:line="205" w:lineRule="exact"/>
              <w:rPr>
                <w:sz w:val="20"/>
                <w:szCs w:val="20"/>
                <w:color w:val="auto"/>
              </w:rPr>
            </w:pPr>
            <w:r>
              <w:rPr>
                <w:rFonts w:ascii="Arial" w:cs="Arial" w:eastAsia="Arial" w:hAnsi="Arial"/>
                <w:sz w:val="18"/>
                <w:szCs w:val="18"/>
                <w:color w:val="auto"/>
                <w:w w:val="97"/>
              </w:rPr>
              <w:t>32.1**</w:t>
            </w:r>
          </w:p>
        </w:tc>
        <w:tc>
          <w:tcPr>
            <w:tcW w:w="120" w:type="dxa"/>
            <w:vAlign w:val="bottom"/>
          </w:tcPr>
          <w:p>
            <w:pPr>
              <w:spacing w:after="0"/>
              <w:rPr>
                <w:sz w:val="17"/>
                <w:szCs w:val="17"/>
                <w:color w:val="auto"/>
              </w:rPr>
            </w:pPr>
          </w:p>
        </w:tc>
        <w:tc>
          <w:tcPr>
            <w:tcW w:w="10060" w:type="dxa"/>
            <w:vAlign w:val="bottom"/>
            <w:gridSpan w:val="5"/>
          </w:tcPr>
          <w:p>
            <w:pPr>
              <w:spacing w:after="0" w:line="205" w:lineRule="exact"/>
              <w:rPr>
                <w:sz w:val="20"/>
                <w:szCs w:val="20"/>
                <w:color w:val="auto"/>
              </w:rPr>
            </w:pPr>
            <w:r>
              <w:rPr>
                <w:rFonts w:ascii="Arial" w:cs="Arial" w:eastAsia="Arial" w:hAnsi="Arial"/>
                <w:sz w:val="18"/>
                <w:szCs w:val="18"/>
                <w:color w:val="0000FF"/>
              </w:rPr>
              <w:t>Certification of Chief Executive Officer pursuant to Section 906 of the Sarbanes-Oxley Act of 2002.</w:t>
            </w:r>
          </w:p>
        </w:tc>
      </w:tr>
      <w:tr>
        <w:trPr>
          <w:trHeight w:val="205"/>
        </w:trPr>
        <w:tc>
          <w:tcPr>
            <w:tcW w:w="1060" w:type="dxa"/>
            <w:vAlign w:val="bottom"/>
          </w:tcPr>
          <w:p>
            <w:pPr>
              <w:jc w:val="center"/>
              <w:spacing w:after="0" w:line="205" w:lineRule="exact"/>
              <w:rPr>
                <w:sz w:val="20"/>
                <w:szCs w:val="20"/>
                <w:color w:val="auto"/>
              </w:rPr>
            </w:pPr>
            <w:r>
              <w:rPr>
                <w:rFonts w:ascii="Arial" w:cs="Arial" w:eastAsia="Arial" w:hAnsi="Arial"/>
                <w:sz w:val="18"/>
                <w:szCs w:val="18"/>
                <w:color w:val="auto"/>
                <w:w w:val="97"/>
              </w:rPr>
              <w:t>32.2**</w:t>
            </w:r>
          </w:p>
        </w:tc>
        <w:tc>
          <w:tcPr>
            <w:tcW w:w="120" w:type="dxa"/>
            <w:vAlign w:val="bottom"/>
          </w:tcPr>
          <w:p>
            <w:pPr>
              <w:spacing w:after="0"/>
              <w:rPr>
                <w:sz w:val="17"/>
                <w:szCs w:val="17"/>
                <w:color w:val="auto"/>
              </w:rPr>
            </w:pPr>
          </w:p>
        </w:tc>
        <w:tc>
          <w:tcPr>
            <w:tcW w:w="7060" w:type="dxa"/>
            <w:vAlign w:val="bottom"/>
            <w:tcBorders>
              <w:top w:val="single" w:sz="8" w:color="0000FF"/>
              <w:bottom w:val="single" w:sz="8" w:color="0000FF"/>
            </w:tcBorders>
          </w:tcPr>
          <w:p>
            <w:pPr>
              <w:spacing w:after="0" w:line="205" w:lineRule="exact"/>
              <w:rPr>
                <w:sz w:val="20"/>
                <w:szCs w:val="20"/>
                <w:color w:val="auto"/>
              </w:rPr>
            </w:pPr>
            <w:r>
              <w:rPr>
                <w:rFonts w:ascii="Arial" w:cs="Arial" w:eastAsia="Arial" w:hAnsi="Arial"/>
                <w:sz w:val="18"/>
                <w:szCs w:val="18"/>
                <w:color w:val="0000FF"/>
                <w:w w:val="90"/>
              </w:rPr>
              <w:t>Certification of Chief Financial Officer pursuant to Section 906 of the Sarbanes-Oxley Act of 2002.</w:t>
            </w:r>
          </w:p>
        </w:tc>
        <w:tc>
          <w:tcPr>
            <w:tcW w:w="40" w:type="dxa"/>
            <w:vAlign w:val="bottom"/>
            <w:tcBorders>
              <w:top w:val="single" w:sz="8" w:color="0000FF"/>
            </w:tcBorders>
          </w:tcPr>
          <w:p>
            <w:pPr>
              <w:spacing w:after="0"/>
              <w:rPr>
                <w:sz w:val="17"/>
                <w:szCs w:val="17"/>
                <w:color w:val="auto"/>
              </w:rPr>
            </w:pPr>
          </w:p>
        </w:tc>
        <w:tc>
          <w:tcPr>
            <w:tcW w:w="2960" w:type="dxa"/>
            <w:vAlign w:val="bottom"/>
            <w:gridSpan w:val="3"/>
          </w:tcPr>
          <w:p>
            <w:pPr>
              <w:spacing w:after="0"/>
              <w:rPr>
                <w:sz w:val="17"/>
                <w:szCs w:val="17"/>
                <w:color w:val="auto"/>
              </w:rPr>
            </w:pPr>
          </w:p>
        </w:tc>
      </w:tr>
      <w:tr>
        <w:trPr>
          <w:trHeight w:val="193"/>
        </w:trPr>
        <w:tc>
          <w:tcPr>
            <w:tcW w:w="1180" w:type="dxa"/>
            <w:vAlign w:val="bottom"/>
            <w:gridSpan w:val="2"/>
          </w:tcPr>
          <w:p>
            <w:pPr>
              <w:jc w:val="center"/>
              <w:ind w:right="100"/>
              <w:spacing w:after="0" w:line="193" w:lineRule="exact"/>
              <w:rPr>
                <w:sz w:val="20"/>
                <w:szCs w:val="20"/>
                <w:color w:val="auto"/>
              </w:rPr>
            </w:pPr>
            <w:r>
              <w:rPr>
                <w:rFonts w:ascii="Arial" w:cs="Arial" w:eastAsia="Arial" w:hAnsi="Arial"/>
                <w:sz w:val="18"/>
                <w:szCs w:val="18"/>
                <w:color w:val="auto"/>
                <w:w w:val="94"/>
              </w:rPr>
              <w:t>101.INS*</w:t>
            </w:r>
          </w:p>
        </w:tc>
        <w:tc>
          <w:tcPr>
            <w:tcW w:w="10060" w:type="dxa"/>
            <w:vAlign w:val="bottom"/>
            <w:gridSpan w:val="5"/>
          </w:tcPr>
          <w:p>
            <w:pPr>
              <w:spacing w:after="0" w:line="193" w:lineRule="exact"/>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 embedded within</w:t>
            </w:r>
          </w:p>
        </w:tc>
      </w:tr>
      <w:tr>
        <w:trPr>
          <w:trHeight w:val="223"/>
        </w:trPr>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rPr>
              <w:t>the Inline XBRL document.</w:t>
            </w:r>
          </w:p>
        </w:tc>
      </w:tr>
      <w:tr>
        <w:trPr>
          <w:trHeight w:val="239"/>
        </w:trPr>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101.SCH*</w:t>
            </w:r>
          </w:p>
        </w:tc>
        <w:tc>
          <w:tcPr>
            <w:tcW w:w="1006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5"/>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101.CAL*</w:t>
            </w:r>
          </w:p>
        </w:tc>
        <w:tc>
          <w:tcPr>
            <w:tcW w:w="1006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5"/>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101.LAB*</w:t>
            </w:r>
          </w:p>
        </w:tc>
        <w:tc>
          <w:tcPr>
            <w:tcW w:w="1006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5"/>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101.PRE*</w:t>
            </w:r>
          </w:p>
        </w:tc>
        <w:tc>
          <w:tcPr>
            <w:tcW w:w="1006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25"/>
        </w:trPr>
        <w:tc>
          <w:tcPr>
            <w:tcW w:w="11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1006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174"/>
        </w:trPr>
        <w:tc>
          <w:tcPr>
            <w:tcW w:w="1060" w:type="dxa"/>
            <w:vAlign w:val="bottom"/>
          </w:tcPr>
          <w:p>
            <w:pPr>
              <w:jc w:val="center"/>
              <w:spacing w:after="0" w:line="174" w:lineRule="exact"/>
              <w:rPr>
                <w:sz w:val="20"/>
                <w:szCs w:val="20"/>
                <w:color w:val="auto"/>
              </w:rPr>
            </w:pPr>
            <w:r>
              <w:rPr>
                <w:rFonts w:ascii="Arial" w:cs="Arial" w:eastAsia="Arial" w:hAnsi="Arial"/>
                <w:sz w:val="18"/>
                <w:szCs w:val="18"/>
                <w:color w:val="auto"/>
                <w:w w:val="97"/>
              </w:rPr>
              <w:t>104*</w:t>
            </w:r>
          </w:p>
        </w:tc>
        <w:tc>
          <w:tcPr>
            <w:tcW w:w="120" w:type="dxa"/>
            <w:vAlign w:val="bottom"/>
          </w:tcPr>
          <w:p>
            <w:pPr>
              <w:spacing w:after="0"/>
              <w:rPr>
                <w:sz w:val="15"/>
                <w:szCs w:val="15"/>
                <w:color w:val="auto"/>
              </w:rPr>
            </w:pPr>
          </w:p>
        </w:tc>
        <w:tc>
          <w:tcPr>
            <w:tcW w:w="10060" w:type="dxa"/>
            <w:vAlign w:val="bottom"/>
            <w:gridSpan w:val="5"/>
          </w:tcPr>
          <w:p>
            <w:pPr>
              <w:spacing w:after="0" w:line="174" w:lineRule="exact"/>
              <w:rPr>
                <w:sz w:val="20"/>
                <w:szCs w:val="20"/>
                <w:color w:val="auto"/>
              </w:rPr>
            </w:pPr>
            <w:r>
              <w:rPr>
                <w:rFonts w:ascii="Arial" w:cs="Arial" w:eastAsia="Arial" w:hAnsi="Arial"/>
                <w:sz w:val="18"/>
                <w:szCs w:val="18"/>
                <w:color w:val="auto"/>
                <w:w w:val="92"/>
              </w:rPr>
              <w:t>The cover page of Brighthouse Financial, Inc.’s Quarterly Report on Form 10-Q for the quarter ended March 31, 2023, formatted in Inline</w:t>
            </w:r>
          </w:p>
        </w:tc>
      </w:tr>
      <w:tr>
        <w:trPr>
          <w:trHeight w:val="223"/>
        </w:trPr>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60" w:type="dxa"/>
            <w:vAlign w:val="bottom"/>
            <w:gridSpan w:val="5"/>
          </w:tcPr>
          <w:p>
            <w:pPr>
              <w:spacing w:after="0"/>
              <w:rPr>
                <w:sz w:val="20"/>
                <w:szCs w:val="20"/>
                <w:color w:val="auto"/>
              </w:rPr>
            </w:pPr>
            <w:r>
              <w:rPr>
                <w:rFonts w:ascii="Arial" w:cs="Arial" w:eastAsia="Arial" w:hAnsi="Arial"/>
                <w:sz w:val="18"/>
                <w:szCs w:val="18"/>
                <w:color w:val="auto"/>
              </w:rPr>
              <w:t>XBRL (included within the Exhibit 101 attachments).</w:t>
            </w: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 Denotes management contracts or compensation plans or arrangements.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0" w:name="page101"/>
    <w:bookmarkEnd w:id="100"/>
    <w:p>
      <w:pPr>
        <w:spacing w:after="0"/>
        <w:rPr>
          <w:sz w:val="20"/>
          <w:szCs w:val="20"/>
          <w:color w:val="auto"/>
        </w:rPr>
      </w:pPr>
      <w:r>
        <w:rPr>
          <w:rFonts w:ascii="Arial" w:cs="Arial" w:eastAsia="Arial" w:hAnsi="Arial"/>
          <w:sz w:val="16"/>
          <w:szCs w:val="16"/>
          <w:b w:val="1"/>
          <w:bCs w:val="1"/>
          <w:u w:val="single" w:color="auto"/>
          <w:color w:val="0000FF"/>
        </w:rPr>
        <w:t xml:space="preserve">Table of </w:t>
      </w:r>
      <w:r>
        <w:rPr>
          <w:rFonts w:ascii="Arial" w:cs="Arial" w:eastAsia="Arial" w:hAnsi="Arial"/>
          <w:sz w:val="17"/>
          <w:szCs w:val="17"/>
          <w:b w:val="1"/>
          <w:bCs w:val="1"/>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BRIGHTHOUSE FINANCIAL, INC.</w:t>
      </w:r>
    </w:p>
    <w:p>
      <w:pPr>
        <w:spacing w:after="0" w:line="111" w:lineRule="exact"/>
        <w:rPr>
          <w:sz w:val="20"/>
          <w:szCs w:val="20"/>
          <w:color w:val="auto"/>
        </w:rPr>
      </w:pPr>
    </w:p>
    <w:p>
      <w:pPr>
        <w:ind w:left="3000"/>
        <w:spacing w:after="0"/>
        <w:tabs>
          <w:tab w:leader="none" w:pos="3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10795</wp:posOffset>
            </wp:positionV>
            <wp:extent cx="31889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p>
      <w:pPr>
        <w:spacing w:after="0" w:line="58" w:lineRule="exact"/>
        <w:rPr>
          <w:sz w:val="20"/>
          <w:szCs w:val="20"/>
          <w:color w:val="auto"/>
        </w:rPr>
      </w:pPr>
    </w:p>
    <w:p>
      <w:pPr>
        <w:ind w:left="342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Edward A. Spehar</w:t>
      </w:r>
    </w:p>
    <w:p>
      <w:pPr>
        <w:spacing w:after="0" w:line="53" w:lineRule="exact"/>
        <w:rPr>
          <w:sz w:val="20"/>
          <w:szCs w:val="20"/>
          <w:color w:val="auto"/>
        </w:rPr>
      </w:pPr>
    </w:p>
    <w:p>
      <w:pPr>
        <w:sectPr>
          <w:pgSz w:w="11900" w:h="16838" w:orient="portrait"/>
          <w:cols w:equalWidth="0" w:num="2">
            <w:col w:w="3880" w:space="360"/>
            <w:col w:w="7000"/>
          </w:cols>
          <w:pgMar w:left="320" w:top="227" w:right="339" w:bottom="1440" w:gutter="0" w:footer="0" w:header="0"/>
          <w:type w:val="continuous"/>
        </w:sectPr>
      </w:pPr>
    </w:p>
    <w:p>
      <w:pPr>
        <w:ind w:left="34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 and Chief Financial Officer</w:t>
      </w:r>
    </w:p>
    <w:p>
      <w:pPr>
        <w:spacing w:after="0" w:line="93" w:lineRule="exact"/>
        <w:rPr>
          <w:sz w:val="20"/>
          <w:szCs w:val="20"/>
          <w:color w:val="auto"/>
        </w:rPr>
      </w:pPr>
    </w:p>
    <w:p>
      <w:pPr>
        <w:sectPr>
          <w:pgSz w:w="11900" w:h="16838" w:orient="portrait"/>
          <w:cols w:equalWidth="0" w:num="2">
            <w:col w:w="3800" w:space="440"/>
            <w:col w:w="7000"/>
          </w:cols>
          <w:pgMar w:left="320" w:top="227" w:right="339" w:bottom="1440" w:gutter="0" w:footer="0" w:header="0"/>
          <w:type w:val="continuous"/>
        </w:sectPr>
      </w:pPr>
    </w:p>
    <w:p>
      <w:pPr>
        <w:ind w:left="4240"/>
        <w:spacing w:after="0"/>
        <w:rPr>
          <w:sz w:val="20"/>
          <w:szCs w:val="20"/>
          <w:color w:val="auto"/>
        </w:rPr>
      </w:pPr>
      <w:r>
        <w:rPr>
          <w:rFonts w:ascii="Arial" w:cs="Arial" w:eastAsia="Arial" w:hAnsi="Arial"/>
          <w:sz w:val="15"/>
          <w:szCs w:val="15"/>
          <w:color w:val="auto"/>
        </w:rPr>
        <w:t>(Duly Authorized Officer and Principal Financial Officer)</w:t>
      </w:r>
    </w:p>
    <w:p>
      <w:pPr>
        <w:sectPr>
          <w:pgSz w:w="11900" w:h="16838" w:orient="portrait"/>
          <w:cols w:equalWidth="0" w:num="1">
            <w:col w:w="11240"/>
          </w:cols>
          <w:pgMar w:left="320" w:top="227" w:right="339" w:bottom="1440" w:gutter="0" w:footer="0" w:header="0"/>
          <w:type w:val="continuous"/>
        </w:sectPr>
      </w:pP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Date: May 9, 2023</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240"/>
          </w:cols>
          <w:pgMar w:left="320" w:top="227" w:right="339" w:bottom="1440" w:gutter="0" w:footer="0" w:header="0"/>
          <w:type w:val="continuous"/>
        </w:sectPr>
      </w:pPr>
    </w:p>
    <w:bookmarkStart w:id="101" w:name="page102"/>
    <w:bookmarkEnd w:id="101"/>
    <w:p>
      <w:pPr>
        <w:jc w:val="right"/>
        <w:spacing w:after="0"/>
        <w:rPr>
          <w:sz w:val="20"/>
          <w:szCs w:val="20"/>
          <w:color w:val="auto"/>
        </w:rPr>
      </w:pPr>
      <w:r>
        <w:rPr>
          <w:rFonts w:ascii="Arial" w:cs="Arial" w:eastAsia="Arial" w:hAnsi="Arial"/>
          <w:sz w:val="19"/>
          <w:szCs w:val="19"/>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220"/>
        <w:spacing w:after="0"/>
        <w:rPr>
          <w:sz w:val="20"/>
          <w:szCs w:val="20"/>
          <w:color w:val="auto"/>
        </w:rPr>
      </w:pPr>
      <w:r>
        <w:rPr>
          <w:rFonts w:ascii="Arial" w:cs="Arial" w:eastAsia="Arial" w:hAnsi="Arial"/>
          <w:sz w:val="19"/>
          <w:szCs w:val="19"/>
          <w:b w:val="1"/>
          <w:bCs w:val="1"/>
          <w:color w:val="auto"/>
        </w:rPr>
        <w:t>AMENDMENT NUMBER FOUR</w:t>
      </w:r>
    </w:p>
    <w:p>
      <w:pPr>
        <w:spacing w:after="0" w:line="35" w:lineRule="exact"/>
        <w:rPr>
          <w:sz w:val="20"/>
          <w:szCs w:val="20"/>
          <w:color w:val="auto"/>
        </w:rPr>
      </w:pPr>
    </w:p>
    <w:p>
      <w:pPr>
        <w:ind w:left="5260"/>
        <w:spacing w:after="0"/>
        <w:rPr>
          <w:sz w:val="20"/>
          <w:szCs w:val="20"/>
          <w:color w:val="auto"/>
        </w:rPr>
      </w:pPr>
      <w:r>
        <w:rPr>
          <w:rFonts w:ascii="Arial" w:cs="Arial" w:eastAsia="Arial" w:hAnsi="Arial"/>
          <w:sz w:val="19"/>
          <w:szCs w:val="19"/>
          <w:b w:val="1"/>
          <w:bCs w:val="1"/>
          <w:color w:val="auto"/>
        </w:rPr>
        <w:t>TO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BRIGHTHOUSE SERVICES, LLC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VOLUNTARY DEFERRED COMPENSATION PLAN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BRIGHTHOUSE SERVICES, LLC VOLUNTARY DEFERRED COMPENSATION PLAN (the “Plan”) is hereby amended, effective as of</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January 1, 2023, as follows:</w:t>
      </w:r>
    </w:p>
    <w:p>
      <w:pPr>
        <w:spacing w:after="0" w:line="216" w:lineRule="exact"/>
        <w:rPr>
          <w:sz w:val="20"/>
          <w:szCs w:val="20"/>
          <w:color w:val="auto"/>
        </w:rPr>
      </w:pPr>
    </w:p>
    <w:p>
      <w:pPr>
        <w:ind w:left="420"/>
        <w:spacing w:after="0"/>
        <w:tabs>
          <w:tab w:leader="none" w:pos="720" w:val="left"/>
        </w:tabs>
        <w:rPr>
          <w:sz w:val="20"/>
          <w:szCs w:val="20"/>
          <w:color w:val="auto"/>
        </w:rPr>
      </w:pPr>
      <w:r>
        <w:rPr>
          <w:rFonts w:ascii="Arial" w:cs="Arial" w:eastAsia="Arial" w:hAnsi="Arial"/>
          <w:sz w:val="19"/>
          <w:szCs w:val="19"/>
          <w:color w:val="auto"/>
        </w:rPr>
        <w:t>1.</w:t>
      </w:r>
      <w:r>
        <w:rPr>
          <w:sz w:val="20"/>
          <w:szCs w:val="20"/>
          <w:color w:val="auto"/>
        </w:rPr>
        <w:tab/>
      </w:r>
      <w:r>
        <w:rPr>
          <w:rFonts w:ascii="Arial" w:cs="Arial" w:eastAsia="Arial" w:hAnsi="Arial"/>
          <w:sz w:val="17"/>
          <w:szCs w:val="17"/>
          <w:color w:val="auto"/>
        </w:rPr>
        <w:t>Section 10.1 of the Plan is hereby amended by restating the first sentence thereof in its entirety to read as follows:</w:t>
      </w:r>
    </w:p>
    <w:p>
      <w:pPr>
        <w:spacing w:after="0" w:line="219" w:lineRule="exact"/>
        <w:rPr>
          <w:sz w:val="20"/>
          <w:szCs w:val="20"/>
          <w:color w:val="auto"/>
        </w:rPr>
      </w:pPr>
    </w:p>
    <w:p>
      <w:pPr>
        <w:jc w:val="both"/>
        <w:ind w:left="1380" w:right="100"/>
        <w:spacing w:after="0" w:line="236" w:lineRule="auto"/>
        <w:rPr>
          <w:sz w:val="20"/>
          <w:szCs w:val="20"/>
          <w:color w:val="auto"/>
        </w:rPr>
      </w:pPr>
      <w:r>
        <w:rPr>
          <w:rFonts w:ascii="Arial" w:cs="Arial" w:eastAsia="Arial" w:hAnsi="Arial"/>
          <w:sz w:val="19"/>
          <w:szCs w:val="19"/>
          <w:color w:val="auto"/>
        </w:rPr>
        <w:t>“Except as provided in Section 3.4 of this Plan, the amount of payment(s) from each Deferred Compensation Account shall reflect the value of such Deferred Compensation Account through the first business day of the month in which each payment from a Deferred Compensation Account is made, as adjusted for Investment Tracking.”</w:t>
      </w:r>
    </w:p>
    <w:p>
      <w:pPr>
        <w:spacing w:after="0" w:line="190" w:lineRule="exact"/>
        <w:rPr>
          <w:sz w:val="20"/>
          <w:szCs w:val="20"/>
          <w:color w:val="auto"/>
        </w:rPr>
      </w:pPr>
    </w:p>
    <w:p>
      <w:pPr>
        <w:ind w:left="420"/>
        <w:spacing w:after="0"/>
        <w:tabs>
          <w:tab w:leader="none" w:pos="720" w:val="left"/>
        </w:tabs>
        <w:rPr>
          <w:sz w:val="20"/>
          <w:szCs w:val="20"/>
          <w:color w:val="auto"/>
        </w:rPr>
      </w:pPr>
      <w:r>
        <w:rPr>
          <w:rFonts w:ascii="Arial" w:cs="Arial" w:eastAsia="Arial" w:hAnsi="Arial"/>
          <w:sz w:val="19"/>
          <w:szCs w:val="19"/>
          <w:color w:val="auto"/>
        </w:rPr>
        <w:t>2.</w:t>
      </w:r>
      <w:r>
        <w:rPr>
          <w:sz w:val="20"/>
          <w:szCs w:val="20"/>
          <w:color w:val="auto"/>
        </w:rPr>
        <w:tab/>
      </w:r>
      <w:r>
        <w:rPr>
          <w:rFonts w:ascii="Arial" w:cs="Arial" w:eastAsia="Arial" w:hAnsi="Arial"/>
          <w:sz w:val="17"/>
          <w:szCs w:val="17"/>
          <w:color w:val="auto"/>
        </w:rPr>
        <w:t>Section 10.3.1 of the Plan is hereby amended by restating the second sentence thereof in its entirety to read as follows:</w:t>
      </w:r>
    </w:p>
    <w:p>
      <w:pPr>
        <w:spacing w:after="0" w:line="219" w:lineRule="exact"/>
        <w:rPr>
          <w:sz w:val="20"/>
          <w:szCs w:val="20"/>
          <w:color w:val="auto"/>
        </w:rPr>
      </w:pPr>
    </w:p>
    <w:p>
      <w:pPr>
        <w:ind w:left="1380" w:right="820"/>
        <w:spacing w:after="0" w:line="237" w:lineRule="auto"/>
        <w:rPr>
          <w:sz w:val="20"/>
          <w:szCs w:val="20"/>
          <w:color w:val="auto"/>
        </w:rPr>
      </w:pPr>
      <w:r>
        <w:rPr>
          <w:rFonts w:ascii="Arial" w:cs="Arial" w:eastAsia="Arial" w:hAnsi="Arial"/>
          <w:sz w:val="19"/>
          <w:szCs w:val="19"/>
          <w:color w:val="auto"/>
        </w:rPr>
        <w:t>“Th</w:t>
      </w:r>
      <w:r>
        <w:rPr>
          <w:rFonts w:ascii="Arial" w:cs="Arial" w:eastAsia="Arial" w:hAnsi="Arial"/>
          <w:sz w:val="19"/>
          <w:szCs w:val="19"/>
          <w:color w:val="1F1D1D"/>
        </w:rPr>
        <w:t>e amount of such distribution will be valued based on the Investment Tracking Funds’ respective closing prices</w:t>
      </w:r>
      <w:r>
        <w:rPr>
          <w:rFonts w:ascii="Arial" w:cs="Arial" w:eastAsia="Arial" w:hAnsi="Arial"/>
          <w:sz w:val="19"/>
          <w:szCs w:val="19"/>
          <w:color w:val="auto"/>
        </w:rPr>
        <w:t xml:space="preserve"> </w:t>
      </w:r>
      <w:r>
        <w:rPr>
          <w:rFonts w:ascii="Arial" w:cs="Arial" w:eastAsia="Arial" w:hAnsi="Arial"/>
          <w:sz w:val="19"/>
          <w:szCs w:val="19"/>
          <w:color w:val="1F1D1D"/>
        </w:rPr>
        <w:t>at the end of the first business day of the month in which such distribution is made.</w:t>
      </w:r>
      <w:r>
        <w:rPr>
          <w:rFonts w:ascii="Arial" w:cs="Arial" w:eastAsia="Arial" w:hAnsi="Arial"/>
          <w:sz w:val="19"/>
          <w:szCs w:val="19"/>
          <w:color w:val="000000"/>
        </w:rPr>
        <w:t>”</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this amendment has been executed by the Plan Administrator on this 28</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of April 2023.</w:t>
      </w:r>
    </w:p>
    <w:p>
      <w:pPr>
        <w:spacing w:after="0" w:line="388" w:lineRule="exact"/>
        <w:rPr>
          <w:sz w:val="20"/>
          <w:szCs w:val="20"/>
          <w:color w:val="auto"/>
        </w:rPr>
      </w:pPr>
    </w:p>
    <w:p>
      <w:pPr>
        <w:spacing w:after="0"/>
        <w:rPr>
          <w:sz w:val="20"/>
          <w:szCs w:val="20"/>
          <w:color w:val="auto"/>
        </w:rPr>
      </w:pPr>
      <w:r>
        <w:rPr>
          <w:rFonts w:ascii="Arial" w:cs="Arial" w:eastAsia="Arial" w:hAnsi="Arial"/>
          <w:sz w:val="19"/>
          <w:szCs w:val="19"/>
          <w:color w:val="auto"/>
        </w:rPr>
        <w:t>Plan Administrator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9"/>
          <w:szCs w:val="19"/>
          <w:color w:val="auto"/>
        </w:rPr>
        <w:t>/s/ Micah Dowling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23812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381250"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9"/>
          <w:szCs w:val="19"/>
          <w:color w:val="auto"/>
        </w:rPr>
        <w:t>Micah Dowling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tabs>
          <w:tab w:leader="none" w:pos="840" w:val="left"/>
        </w:tabs>
        <w:rPr>
          <w:sz w:val="20"/>
          <w:szCs w:val="20"/>
          <w:color w:val="auto"/>
        </w:rPr>
      </w:pPr>
      <w:r>
        <w:rPr>
          <w:rFonts w:ascii="Arial" w:cs="Arial" w:eastAsia="Arial" w:hAnsi="Arial"/>
          <w:sz w:val="19"/>
          <w:szCs w:val="19"/>
          <w:color w:val="auto"/>
        </w:rPr>
        <w:t>Witness:</w:t>
      </w:r>
      <w:r>
        <w:rPr>
          <w:sz w:val="20"/>
          <w:szCs w:val="20"/>
          <w:color w:val="auto"/>
        </w:rPr>
        <w:tab/>
      </w:r>
      <w:r>
        <w:rPr>
          <w:rFonts w:ascii="Arial" w:cs="Arial" w:eastAsia="Arial" w:hAnsi="Arial"/>
          <w:sz w:val="18"/>
          <w:szCs w:val="18"/>
          <w:color w:val="auto"/>
        </w:rPr>
        <w:t>/s/ Tracy Kidd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23495</wp:posOffset>
            </wp:positionV>
            <wp:extent cx="18510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51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04"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9"/>
          <w:szCs w:val="19"/>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280"/>
        <w:spacing w:after="0"/>
        <w:rPr>
          <w:sz w:val="20"/>
          <w:szCs w:val="20"/>
          <w:color w:val="auto"/>
        </w:rPr>
      </w:pPr>
      <w:r>
        <w:rPr>
          <w:rFonts w:ascii="Arial" w:cs="Arial" w:eastAsia="Arial" w:hAnsi="Arial"/>
          <w:sz w:val="19"/>
          <w:szCs w:val="19"/>
          <w:b w:val="1"/>
          <w:bCs w:val="1"/>
          <w:color w:val="auto"/>
        </w:rPr>
        <w:t>AMENDMENT NUMBER ONE</w:t>
      </w:r>
    </w:p>
    <w:p>
      <w:pPr>
        <w:spacing w:after="0" w:line="35" w:lineRule="exact"/>
        <w:rPr>
          <w:sz w:val="20"/>
          <w:szCs w:val="20"/>
          <w:color w:val="auto"/>
        </w:rPr>
      </w:pPr>
    </w:p>
    <w:p>
      <w:pPr>
        <w:ind w:left="5260"/>
        <w:spacing w:after="0"/>
        <w:rPr>
          <w:sz w:val="20"/>
          <w:szCs w:val="20"/>
          <w:color w:val="auto"/>
        </w:rPr>
      </w:pPr>
      <w:r>
        <w:rPr>
          <w:rFonts w:ascii="Arial" w:cs="Arial" w:eastAsia="Arial" w:hAnsi="Arial"/>
          <w:sz w:val="19"/>
          <w:szCs w:val="19"/>
          <w:b w:val="1"/>
          <w:bCs w:val="1"/>
          <w:color w:val="auto"/>
        </w:rPr>
        <w:t>TO THE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BRIGHTHOUSE SERVICES, LLC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DEFERRED COMPENSATION PLAN FOR NON-MANAGEMENT DIRECTORS</w:t>
      </w:r>
    </w:p>
    <w:p>
      <w:pPr>
        <w:spacing w:after="0" w:line="250" w:lineRule="exact"/>
        <w:rPr>
          <w:sz w:val="20"/>
          <w:szCs w:val="20"/>
          <w:color w:val="auto"/>
        </w:rPr>
      </w:pPr>
    </w:p>
    <w:p>
      <w:pPr>
        <w:ind w:right="300"/>
        <w:spacing w:after="0" w:line="264" w:lineRule="auto"/>
        <w:rPr>
          <w:sz w:val="20"/>
          <w:szCs w:val="20"/>
          <w:color w:val="auto"/>
        </w:rPr>
      </w:pPr>
      <w:r>
        <w:rPr>
          <w:rFonts w:ascii="Arial" w:cs="Arial" w:eastAsia="Arial" w:hAnsi="Arial"/>
          <w:sz w:val="19"/>
          <w:szCs w:val="19"/>
          <w:color w:val="auto"/>
        </w:rPr>
        <w:t>The BRIGHTHOUSE SERVICES, LLC DEFERRED COMPENSATION PLAN FOR NON-MANAGEMENT DIRECTORS (the “Plan”) is hereby amended, effective as of January 1, 2023, as follows:</w:t>
      </w:r>
    </w:p>
    <w:p>
      <w:pPr>
        <w:spacing w:after="0" w:line="182" w:lineRule="exact"/>
        <w:rPr>
          <w:sz w:val="20"/>
          <w:szCs w:val="20"/>
          <w:color w:val="auto"/>
        </w:rPr>
      </w:pPr>
    </w:p>
    <w:p>
      <w:pPr>
        <w:ind w:left="420"/>
        <w:spacing w:after="0"/>
        <w:tabs>
          <w:tab w:leader="none" w:pos="720" w:val="left"/>
        </w:tabs>
        <w:rPr>
          <w:sz w:val="20"/>
          <w:szCs w:val="20"/>
          <w:color w:val="auto"/>
        </w:rPr>
      </w:pPr>
      <w:r>
        <w:rPr>
          <w:rFonts w:ascii="Arial" w:cs="Arial" w:eastAsia="Arial" w:hAnsi="Arial"/>
          <w:sz w:val="19"/>
          <w:szCs w:val="19"/>
          <w:color w:val="auto"/>
        </w:rPr>
        <w:t>1.</w:t>
      </w:r>
      <w:r>
        <w:rPr>
          <w:sz w:val="20"/>
          <w:szCs w:val="20"/>
          <w:color w:val="auto"/>
        </w:rPr>
        <w:tab/>
      </w:r>
      <w:r>
        <w:rPr>
          <w:rFonts w:ascii="Arial" w:cs="Arial" w:eastAsia="Arial" w:hAnsi="Arial"/>
          <w:sz w:val="17"/>
          <w:szCs w:val="17"/>
          <w:color w:val="auto"/>
        </w:rPr>
        <w:t>Section 8.1 of the Plan is hereby amended by restating the first sentence thereof in its entirety to read as follows:</w:t>
      </w:r>
    </w:p>
    <w:p>
      <w:pPr>
        <w:spacing w:after="0" w:line="232" w:lineRule="exact"/>
        <w:rPr>
          <w:sz w:val="20"/>
          <w:szCs w:val="20"/>
          <w:color w:val="auto"/>
        </w:rPr>
      </w:pPr>
    </w:p>
    <w:p>
      <w:pPr>
        <w:ind w:left="1380" w:right="100"/>
        <w:spacing w:after="0" w:line="245" w:lineRule="auto"/>
        <w:rPr>
          <w:sz w:val="20"/>
          <w:szCs w:val="20"/>
          <w:color w:val="auto"/>
        </w:rPr>
      </w:pPr>
      <w:r>
        <w:rPr>
          <w:rFonts w:ascii="Arial" w:cs="Arial" w:eastAsia="Arial" w:hAnsi="Arial"/>
          <w:sz w:val="17"/>
          <w:szCs w:val="17"/>
          <w:color w:val="auto"/>
        </w:rPr>
        <w:t>“Except as provided in Section 3.4 of this Plan, the amount of payment(s) from the Cash Portion of each Deferred Compensation Account shall reflect the value of such Cash Portion through the first business day of the month in which each</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payment from the Cash Portion of the Deferred Compensation Account is made, as adjusted for Investment Tracking.”</w:t>
      </w:r>
    </w:p>
    <w:p>
      <w:pPr>
        <w:spacing w:after="0" w:line="214" w:lineRule="exact"/>
        <w:rPr>
          <w:sz w:val="20"/>
          <w:szCs w:val="20"/>
          <w:color w:val="auto"/>
        </w:rPr>
      </w:pPr>
    </w:p>
    <w:p>
      <w:pPr>
        <w:ind w:left="440"/>
        <w:spacing w:after="0"/>
        <w:tabs>
          <w:tab w:leader="none" w:pos="720" w:val="left"/>
        </w:tabs>
        <w:rPr>
          <w:sz w:val="20"/>
          <w:szCs w:val="20"/>
          <w:color w:val="auto"/>
        </w:rPr>
      </w:pPr>
      <w:r>
        <w:rPr>
          <w:rFonts w:ascii="Arial" w:cs="Arial" w:eastAsia="Arial" w:hAnsi="Arial"/>
          <w:sz w:val="19"/>
          <w:szCs w:val="19"/>
          <w:color w:val="auto"/>
        </w:rPr>
        <w:t>2.</w:t>
      </w:r>
      <w:r>
        <w:rPr>
          <w:sz w:val="20"/>
          <w:szCs w:val="20"/>
          <w:color w:val="auto"/>
        </w:rPr>
        <w:tab/>
      </w:r>
      <w:r>
        <w:rPr>
          <w:rFonts w:ascii="Arial" w:cs="Arial" w:eastAsia="Arial" w:hAnsi="Arial"/>
          <w:sz w:val="17"/>
          <w:szCs w:val="17"/>
          <w:color w:val="auto"/>
        </w:rPr>
        <w:t>Section 8.2 of the Plan is hereby amended by restating the fourth sentence thereof in its entirety to read as follows:</w:t>
      </w:r>
    </w:p>
    <w:p>
      <w:pPr>
        <w:spacing w:after="0" w:line="215"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“Notwithstanding the foregoing, the Plan Administrator may, in its sole discretion, determine to pay amounts held</w:t>
      </w:r>
    </w:p>
    <w:p>
      <w:pPr>
        <w:ind w:left="1380" w:right="820"/>
        <w:spacing w:after="0" w:line="235" w:lineRule="auto"/>
        <w:rPr>
          <w:sz w:val="20"/>
          <w:szCs w:val="20"/>
          <w:color w:val="auto"/>
        </w:rPr>
      </w:pPr>
      <w:r>
        <w:rPr>
          <w:rFonts w:ascii="Arial" w:cs="Arial" w:eastAsia="Arial" w:hAnsi="Arial"/>
          <w:sz w:val="17"/>
          <w:szCs w:val="17"/>
          <w:color w:val="auto"/>
        </w:rPr>
        <w:t>in the Stock Portion of the Deferred Compensation Account in the form of cash, in which case the value of the Stock Portion will be determined on the first business day of the month in which payment is made and converted to</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cash which shall be allocated to the Schwab Government Money Fund Tracking Fund.”</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this amendment has been executed by the Plan Administrator on this 28</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of April 2023.</w:t>
      </w:r>
    </w:p>
    <w:p>
      <w:pPr>
        <w:spacing w:after="0" w:line="388" w:lineRule="exact"/>
        <w:rPr>
          <w:sz w:val="20"/>
          <w:szCs w:val="20"/>
          <w:color w:val="auto"/>
        </w:rPr>
      </w:pPr>
    </w:p>
    <w:p>
      <w:pPr>
        <w:spacing w:after="0"/>
        <w:rPr>
          <w:sz w:val="20"/>
          <w:szCs w:val="20"/>
          <w:color w:val="auto"/>
        </w:rPr>
      </w:pPr>
      <w:r>
        <w:rPr>
          <w:rFonts w:ascii="Arial" w:cs="Arial" w:eastAsia="Arial" w:hAnsi="Arial"/>
          <w:sz w:val="19"/>
          <w:szCs w:val="19"/>
          <w:color w:val="auto"/>
        </w:rPr>
        <w:t>Plan Administrator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9"/>
          <w:szCs w:val="19"/>
          <w:color w:val="auto"/>
        </w:rPr>
        <w:t>/s/ Micah Dowling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23812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381250" cy="8255"/>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9"/>
          <w:szCs w:val="19"/>
          <w:color w:val="auto"/>
        </w:rPr>
        <w:t>Micah Dowling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840" w:val="left"/>
        </w:tabs>
        <w:rPr>
          <w:sz w:val="20"/>
          <w:szCs w:val="20"/>
          <w:color w:val="auto"/>
        </w:rPr>
      </w:pPr>
      <w:r>
        <w:rPr>
          <w:rFonts w:ascii="Arial" w:cs="Arial" w:eastAsia="Arial" w:hAnsi="Arial"/>
          <w:sz w:val="19"/>
          <w:szCs w:val="19"/>
          <w:color w:val="auto"/>
        </w:rPr>
        <w:t>Witness:</w:t>
      </w:r>
      <w:r>
        <w:rPr>
          <w:sz w:val="20"/>
          <w:szCs w:val="20"/>
          <w:color w:val="auto"/>
        </w:rPr>
        <w:tab/>
      </w:r>
      <w:r>
        <w:rPr>
          <w:rFonts w:ascii="Arial" w:cs="Arial" w:eastAsia="Arial" w:hAnsi="Arial"/>
          <w:sz w:val="18"/>
          <w:szCs w:val="18"/>
          <w:color w:val="auto"/>
        </w:rPr>
        <w:t>/s/ Tracy Kidd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23495</wp:posOffset>
            </wp:positionV>
            <wp:extent cx="18510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51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1240"/>
          </w:cols>
          <w:pgMar w:left="320" w:top="104" w:right="339" w:bottom="1440" w:gutter="0" w:footer="0" w:header="0"/>
        </w:sectPr>
      </w:pPr>
    </w:p>
    <w:bookmarkStart w:id="103" w:name="page104"/>
    <w:bookmarkEnd w:id="103"/>
    <w:p>
      <w:pPr>
        <w:ind w:left="10320"/>
        <w:spacing w:after="0"/>
        <w:rPr>
          <w:sz w:val="20"/>
          <w:szCs w:val="20"/>
          <w:color w:val="auto"/>
        </w:rPr>
      </w:pPr>
      <w:r>
        <w:rPr>
          <w:rFonts w:ascii="Arial" w:cs="Arial" w:eastAsia="Arial" w:hAnsi="Arial"/>
          <w:sz w:val="15"/>
          <w:szCs w:val="15"/>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I, Eric T. Steigerwalt, certify that:</w:t>
      </w:r>
    </w:p>
    <w:p>
      <w:pPr>
        <w:spacing w:after="0" w:line="85" w:lineRule="exact"/>
        <w:rPr>
          <w:sz w:val="20"/>
          <w:szCs w:val="20"/>
          <w:color w:val="auto"/>
        </w:rPr>
      </w:pPr>
    </w:p>
    <w:p>
      <w:pPr>
        <w:ind w:left="180" w:hanging="174"/>
        <w:spacing w:after="0"/>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Brighthouse Financial, Inc.;</w:t>
      </w:r>
    </w:p>
    <w:p>
      <w:pPr>
        <w:spacing w:after="0" w:line="97" w:lineRule="exact"/>
        <w:rPr>
          <w:rFonts w:ascii="Arial" w:cs="Arial" w:eastAsia="Arial" w:hAnsi="Arial"/>
          <w:sz w:val="18"/>
          <w:szCs w:val="18"/>
          <w:color w:val="auto"/>
        </w:rPr>
      </w:pPr>
    </w:p>
    <w:p>
      <w:pPr>
        <w:ind w:firstLine="6"/>
        <w:spacing w:after="0" w:line="359" w:lineRule="auto"/>
        <w:tabs>
          <w:tab w:leader="none" w:pos="206" w:val="left"/>
        </w:tabs>
        <w:numPr>
          <w:ilvl w:val="0"/>
          <w:numId w:val="6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firstLine="6"/>
        <w:spacing w:after="0" w:line="264" w:lineRule="auto"/>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firstLine="6"/>
        <w:spacing w:after="0" w:line="255" w:lineRule="auto"/>
        <w:tabs>
          <w:tab w:leader="none" w:pos="17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Arial" w:cs="Arial" w:eastAsia="Arial" w:hAnsi="Arial"/>
          <w:sz w:val="18"/>
          <w:szCs w:val="18"/>
          <w:color w:val="auto"/>
        </w:rPr>
      </w:pPr>
    </w:p>
    <w:p>
      <w:pPr>
        <w:jc w:val="both"/>
        <w:ind w:left="640" w:hanging="316"/>
        <w:spacing w:after="0" w:line="255" w:lineRule="auto"/>
        <w:tabs>
          <w:tab w:leader="none" w:pos="631"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jc w:val="both"/>
        <w:ind w:left="640" w:hanging="316"/>
        <w:spacing w:after="0" w:line="255" w:lineRule="auto"/>
        <w:tabs>
          <w:tab w:leader="none" w:pos="628"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ind w:left="640" w:hanging="316"/>
        <w:spacing w:after="0" w:line="294" w:lineRule="auto"/>
        <w:tabs>
          <w:tab w:leader="none" w:pos="631" w:val="left"/>
        </w:tabs>
        <w:numPr>
          <w:ilvl w:val="1"/>
          <w:numId w:val="6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Arial" w:cs="Arial" w:eastAsia="Arial" w:hAnsi="Arial"/>
          <w:sz w:val="17"/>
          <w:szCs w:val="17"/>
          <w:color w:val="auto"/>
        </w:rPr>
      </w:pPr>
    </w:p>
    <w:p>
      <w:pPr>
        <w:jc w:val="both"/>
        <w:ind w:left="640" w:hanging="316"/>
        <w:spacing w:after="0" w:line="255" w:lineRule="auto"/>
        <w:tabs>
          <w:tab w:leader="none" w:pos="628"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firstLine="6"/>
        <w:spacing w:after="0" w:line="294" w:lineRule="auto"/>
        <w:tabs>
          <w:tab w:leader="none" w:pos="198"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40" w:hanging="316"/>
        <w:spacing w:after="0" w:line="264" w:lineRule="auto"/>
        <w:tabs>
          <w:tab w:leader="none" w:pos="631"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640" w:hanging="316"/>
        <w:spacing w:after="0" w:line="264" w:lineRule="auto"/>
        <w:tabs>
          <w:tab w:leader="none" w:pos="628"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Date: May 9, 2023</w:t>
      </w:r>
    </w:p>
    <w:p>
      <w:pPr>
        <w:spacing w:after="0" w:line="270"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10795</wp:posOffset>
            </wp:positionV>
            <wp:extent cx="30035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003550" cy="8255"/>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Eric T. Steigerwalt</w:t>
      </w:r>
    </w:p>
    <w:p>
      <w:pPr>
        <w:spacing w:after="0" w:line="18"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60" w:right="339" w:bottom="1440" w:gutter="0" w:footer="0" w:header="0"/>
        </w:sectPr>
      </w:pPr>
    </w:p>
    <w:bookmarkStart w:id="104" w:name="page105"/>
    <w:bookmarkEnd w:id="104"/>
    <w:p>
      <w:pPr>
        <w:ind w:left="10320"/>
        <w:spacing w:after="0"/>
        <w:rPr>
          <w:sz w:val="20"/>
          <w:szCs w:val="20"/>
          <w:color w:val="auto"/>
        </w:rPr>
      </w:pPr>
      <w:r>
        <w:rPr>
          <w:rFonts w:ascii="Arial" w:cs="Arial" w:eastAsia="Arial" w:hAnsi="Arial"/>
          <w:sz w:val="15"/>
          <w:szCs w:val="15"/>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I, Edward A. Spehar, certify that:</w:t>
      </w:r>
    </w:p>
    <w:p>
      <w:pPr>
        <w:spacing w:after="0" w:line="85" w:lineRule="exact"/>
        <w:rPr>
          <w:sz w:val="20"/>
          <w:szCs w:val="20"/>
          <w:color w:val="auto"/>
        </w:rPr>
      </w:pPr>
    </w:p>
    <w:p>
      <w:pPr>
        <w:ind w:left="180" w:hanging="174"/>
        <w:spacing w:after="0"/>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Brighthouse Financial, Inc.;</w:t>
      </w:r>
    </w:p>
    <w:p>
      <w:pPr>
        <w:spacing w:after="0" w:line="97" w:lineRule="exact"/>
        <w:rPr>
          <w:rFonts w:ascii="Arial" w:cs="Arial" w:eastAsia="Arial" w:hAnsi="Arial"/>
          <w:sz w:val="18"/>
          <w:szCs w:val="18"/>
          <w:color w:val="auto"/>
        </w:rPr>
      </w:pPr>
    </w:p>
    <w:p>
      <w:pPr>
        <w:ind w:firstLine="6"/>
        <w:spacing w:after="0" w:line="359" w:lineRule="auto"/>
        <w:tabs>
          <w:tab w:leader="none" w:pos="206" w:val="left"/>
        </w:tabs>
        <w:numPr>
          <w:ilvl w:val="0"/>
          <w:numId w:val="6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firstLine="6"/>
        <w:spacing w:after="0" w:line="264" w:lineRule="auto"/>
        <w:tabs>
          <w:tab w:leader="none" w:pos="1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jc w:val="both"/>
        <w:ind w:firstLine="6"/>
        <w:spacing w:after="0" w:line="255" w:lineRule="auto"/>
        <w:tabs>
          <w:tab w:leader="none" w:pos="17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Arial" w:cs="Arial" w:eastAsia="Arial" w:hAnsi="Arial"/>
          <w:sz w:val="18"/>
          <w:szCs w:val="18"/>
          <w:color w:val="auto"/>
        </w:rPr>
      </w:pPr>
    </w:p>
    <w:p>
      <w:pPr>
        <w:jc w:val="both"/>
        <w:ind w:left="640" w:hanging="316"/>
        <w:spacing w:after="0" w:line="255" w:lineRule="auto"/>
        <w:tabs>
          <w:tab w:leader="none" w:pos="631"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jc w:val="both"/>
        <w:ind w:left="640" w:hanging="316"/>
        <w:spacing w:after="0" w:line="255" w:lineRule="auto"/>
        <w:tabs>
          <w:tab w:leader="none" w:pos="628"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5" w:lineRule="exact"/>
        <w:rPr>
          <w:rFonts w:ascii="Arial" w:cs="Arial" w:eastAsia="Arial" w:hAnsi="Arial"/>
          <w:sz w:val="18"/>
          <w:szCs w:val="18"/>
          <w:color w:val="auto"/>
        </w:rPr>
      </w:pPr>
    </w:p>
    <w:p>
      <w:pPr>
        <w:ind w:left="640" w:hanging="316"/>
        <w:spacing w:after="0" w:line="294" w:lineRule="auto"/>
        <w:tabs>
          <w:tab w:leader="none" w:pos="631" w:val="left"/>
        </w:tabs>
        <w:numPr>
          <w:ilvl w:val="1"/>
          <w:numId w:val="6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7" w:lineRule="exact"/>
        <w:rPr>
          <w:rFonts w:ascii="Arial" w:cs="Arial" w:eastAsia="Arial" w:hAnsi="Arial"/>
          <w:sz w:val="17"/>
          <w:szCs w:val="17"/>
          <w:color w:val="auto"/>
        </w:rPr>
      </w:pPr>
    </w:p>
    <w:p>
      <w:pPr>
        <w:jc w:val="both"/>
        <w:ind w:left="640" w:hanging="316"/>
        <w:spacing w:after="0" w:line="255" w:lineRule="auto"/>
        <w:tabs>
          <w:tab w:leader="none" w:pos="628"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firstLine="6"/>
        <w:spacing w:after="0" w:line="294" w:lineRule="auto"/>
        <w:tabs>
          <w:tab w:leader="none" w:pos="198"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640" w:hanging="316"/>
        <w:spacing w:after="0" w:line="264" w:lineRule="auto"/>
        <w:tabs>
          <w:tab w:leader="none" w:pos="631" w:val="left"/>
        </w:tabs>
        <w:numPr>
          <w:ilvl w:val="1"/>
          <w:numId w:val="6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640" w:hanging="316"/>
        <w:spacing w:after="0" w:line="264" w:lineRule="auto"/>
        <w:tabs>
          <w:tab w:leader="none" w:pos="628"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Date: May 9, 2023</w:t>
      </w:r>
    </w:p>
    <w:p>
      <w:pPr>
        <w:spacing w:after="0" w:line="270"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10795</wp:posOffset>
            </wp:positionV>
            <wp:extent cx="32226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2262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Edward A. Spehar</w:t>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360"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CERTIFICATION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1350 OF CHAPTER 63 OF TITLE 18 OF THE UNITED STATES CODE</w:t>
      </w:r>
    </w:p>
    <w:p>
      <w:pPr>
        <w:spacing w:after="0" w:line="151" w:lineRule="exact"/>
        <w:rPr>
          <w:sz w:val="20"/>
          <w:szCs w:val="20"/>
          <w:color w:val="auto"/>
        </w:rPr>
      </w:pPr>
    </w:p>
    <w:p>
      <w:pPr>
        <w:jc w:val="both"/>
        <w:ind w:firstLine="477"/>
        <w:spacing w:after="0" w:line="330" w:lineRule="auto"/>
        <w:rPr>
          <w:sz w:val="20"/>
          <w:szCs w:val="20"/>
          <w:color w:val="auto"/>
        </w:rPr>
      </w:pPr>
      <w:r>
        <w:rPr>
          <w:rFonts w:ascii="Arial" w:cs="Arial" w:eastAsia="Arial" w:hAnsi="Arial"/>
          <w:sz w:val="15"/>
          <w:szCs w:val="15"/>
          <w:color w:val="auto"/>
        </w:rPr>
        <w:t>I, Eric T. Steigerwalt, certify that, to my knowledge, (i) Brighthouse Financial, Inc.’s Quarterly Report on Form 10-Q for the quarter ended March 31, 2023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2023</w:t>
      </w:r>
    </w:p>
    <w:p>
      <w:pPr>
        <w:spacing w:after="0" w:line="200" w:lineRule="exact"/>
        <w:rPr>
          <w:sz w:val="20"/>
          <w:szCs w:val="20"/>
          <w:color w:val="auto"/>
        </w:rPr>
      </w:pPr>
    </w:p>
    <w:p>
      <w:pPr>
        <w:spacing w:after="0" w:line="282"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10795</wp:posOffset>
            </wp:positionV>
            <wp:extent cx="300355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003550" cy="8255"/>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Eric T. Steigerwalt</w:t>
      </w:r>
    </w:p>
    <w:p>
      <w:pPr>
        <w:spacing w:after="0" w:line="18"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President and Chief Executive Officer</w:t>
      </w:r>
    </w:p>
    <w:p>
      <w:pPr>
        <w:spacing w:after="0" w:line="217" w:lineRule="exact"/>
        <w:rPr>
          <w:sz w:val="20"/>
          <w:szCs w:val="20"/>
          <w:color w:val="auto"/>
        </w:rPr>
      </w:pPr>
    </w:p>
    <w:p>
      <w:pPr>
        <w:jc w:val="both"/>
        <w:ind w:firstLine="477"/>
        <w:spacing w:after="0" w:line="318" w:lineRule="auto"/>
        <w:rPr>
          <w:sz w:val="20"/>
          <w:szCs w:val="20"/>
          <w:color w:val="auto"/>
        </w:rPr>
      </w:pPr>
      <w:r>
        <w:rPr>
          <w:rFonts w:ascii="Arial" w:cs="Arial" w:eastAsia="Arial" w:hAnsi="Arial"/>
          <w:sz w:val="15"/>
          <w:szCs w:val="15"/>
          <w:color w:val="auto"/>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360"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CERTIFICATION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1350 OF CHAPTER 63 OF TITLE 18 OF THE UNITED STATES CODE</w:t>
      </w:r>
    </w:p>
    <w:p>
      <w:pPr>
        <w:spacing w:after="0" w:line="151" w:lineRule="exact"/>
        <w:rPr>
          <w:sz w:val="20"/>
          <w:szCs w:val="20"/>
          <w:color w:val="auto"/>
        </w:rPr>
      </w:pPr>
    </w:p>
    <w:p>
      <w:pPr>
        <w:jc w:val="both"/>
        <w:ind w:firstLine="477"/>
        <w:spacing w:after="0" w:line="330" w:lineRule="auto"/>
        <w:rPr>
          <w:sz w:val="20"/>
          <w:szCs w:val="20"/>
          <w:color w:val="auto"/>
        </w:rPr>
      </w:pPr>
      <w:r>
        <w:rPr>
          <w:rFonts w:ascii="Arial" w:cs="Arial" w:eastAsia="Arial" w:hAnsi="Arial"/>
          <w:sz w:val="15"/>
          <w:szCs w:val="15"/>
          <w:color w:val="auto"/>
        </w:rPr>
        <w:t>I, Edward A. Spehar, certify that, to my knowledge, (i) Brighthouse Financial, Inc.’s Quarterly Report on Form 10-Q for the quarter ended March 31, 2023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2023</w:t>
      </w:r>
    </w:p>
    <w:p>
      <w:pPr>
        <w:spacing w:after="0" w:line="200" w:lineRule="exact"/>
        <w:rPr>
          <w:sz w:val="20"/>
          <w:szCs w:val="20"/>
          <w:color w:val="auto"/>
        </w:rPr>
      </w:pPr>
    </w:p>
    <w:p>
      <w:pPr>
        <w:spacing w:after="0" w:line="282"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10795</wp:posOffset>
            </wp:positionV>
            <wp:extent cx="32226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2262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Edward A. Spehar</w:t>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Executive Vice President and Chief Financial Officer</w:t>
      </w:r>
    </w:p>
    <w:p>
      <w:pPr>
        <w:spacing w:after="0" w:line="217" w:lineRule="exact"/>
        <w:rPr>
          <w:sz w:val="20"/>
          <w:szCs w:val="20"/>
          <w:color w:val="auto"/>
        </w:rPr>
      </w:pPr>
    </w:p>
    <w:p>
      <w:pPr>
        <w:jc w:val="both"/>
        <w:ind w:firstLine="477"/>
        <w:spacing w:after="0" w:line="318" w:lineRule="auto"/>
        <w:rPr>
          <w:sz w:val="20"/>
          <w:szCs w:val="20"/>
          <w:color w:val="auto"/>
        </w:rPr>
      </w:pPr>
      <w:r>
        <w:rPr>
          <w:rFonts w:ascii="Arial" w:cs="Arial" w:eastAsia="Arial" w:hAnsi="Arial"/>
          <w:sz w:val="15"/>
          <w:szCs w:val="15"/>
          <w:color w:val="auto"/>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decimal"/>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1)"/>
      <w:numFmt w:val="decimal"/>
      <w:start w:val="1"/>
    </w:lvl>
  </w:abstractNum>
  <w:abstractNum w:abstractNumId="7">
    <w:nsid w:val="3804823E"/>
    <w:multiLevelType w:val="hybridMultilevel"/>
    <w:lvl w:ilvl="0">
      <w:lvlJc w:val="left"/>
      <w:lvlText w:val="(%1)"/>
      <w:numFmt w:val="decimal"/>
      <w:start w:val="1"/>
    </w:lvl>
  </w:abstractNum>
  <w:abstractNum w:abstractNumId="8">
    <w:nsid w:val="77465F01"/>
    <w:multiLevelType w:val="hybridMultilevel"/>
    <w:lvl w:ilvl="0">
      <w:lvlJc w:val="left"/>
      <w:lvlText w:val="(%1)"/>
      <w:numFmt w:val="decimal"/>
      <w:start w:val="1"/>
    </w:lvl>
  </w:abstractNum>
  <w:abstractNum w:abstractNumId="9">
    <w:nsid w:val="7724C67E"/>
    <w:multiLevelType w:val="hybridMultilevel"/>
    <w:lvl w:ilvl="0">
      <w:lvlJc w:val="left"/>
      <w:lvlText w:val="(%1)"/>
      <w:numFmt w:val="decimal"/>
      <w:start w:val="1"/>
    </w:lvl>
  </w:abstractNum>
  <w:abstractNum w:abstractNumId="10">
    <w:nsid w:val="5C482A97"/>
    <w:multiLevelType w:val="hybridMultilevel"/>
    <w:lvl w:ilvl="0">
      <w:lvlJc w:val="left"/>
      <w:lvlText w:val="(%1)"/>
      <w:numFmt w:val="decimal"/>
      <w:start w:val="1"/>
    </w:lvl>
  </w:abstractNum>
  <w:abstractNum w:abstractNumId="11">
    <w:nsid w:val="2463B9EA"/>
    <w:multiLevelType w:val="hybridMultilevel"/>
    <w:lvl w:ilvl="0">
      <w:lvlJc w:val="left"/>
      <w:lvlText w:val="%1."/>
      <w:numFmt w:val="decimal"/>
      <w:start w:val="6"/>
    </w:lvl>
  </w:abstractNum>
  <w:abstractNum w:abstractNumId="12">
    <w:nsid w:val="5E884ADC"/>
    <w:multiLevelType w:val="hybridMultilevel"/>
    <w:lvl w:ilvl="0">
      <w:lvlJc w:val="left"/>
      <w:lvlText w:val="(%1)"/>
      <w:numFmt w:val="decimal"/>
      <w:start w:val="1"/>
    </w:lvl>
  </w:abstractNum>
  <w:abstractNum w:abstractNumId="13">
    <w:nsid w:val="51EAD36B"/>
    <w:multiLevelType w:val="hybridMultilevel"/>
    <w:lvl w:ilvl="0">
      <w:lvlJc w:val="left"/>
      <w:lvlText w:val="(%1)"/>
      <w:numFmt w:val="decimal"/>
      <w:start w:val="1"/>
    </w:lvl>
  </w:abstractNum>
  <w:abstractNum w:abstractNumId="14">
    <w:nsid w:val="2D517796"/>
    <w:multiLevelType w:val="hybridMultilevel"/>
    <w:lvl w:ilvl="0">
      <w:lvlJc w:val="left"/>
      <w:lvlText w:val="(%1)"/>
      <w:numFmt w:val="decimal"/>
      <w:start w:val="1"/>
    </w:lvl>
  </w:abstractNum>
  <w:abstractNum w:abstractNumId="15">
    <w:nsid w:val="580BD78F"/>
    <w:multiLevelType w:val="hybridMultilevel"/>
    <w:lvl w:ilvl="0">
      <w:lvlJc w:val="left"/>
      <w:lvlText w:val="(%1)"/>
      <w:numFmt w:val="decimal"/>
      <w:start w:val="1"/>
    </w:lvl>
  </w:abstractNum>
  <w:abstractNum w:abstractNumId="16">
    <w:nsid w:val="153EA438"/>
    <w:multiLevelType w:val="hybridMultilevel"/>
    <w:lvl w:ilvl="0">
      <w:lvlJc w:val="left"/>
      <w:lvlText w:val="(%1)"/>
      <w:numFmt w:val="decimal"/>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1)"/>
      <w:numFmt w:val="decimal"/>
      <w:start w:val="1"/>
    </w:lvl>
  </w:abstractNum>
  <w:abstractNum w:abstractNumId="19">
    <w:nsid w:val="6A2342EC"/>
    <w:multiLevelType w:val="hybridMultilevel"/>
    <w:lvl w:ilvl="0">
      <w:lvlJc w:val="left"/>
      <w:lvlText w:val="(%1)"/>
      <w:numFmt w:val="lowerRoman"/>
      <w:start w:val="2"/>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1)"/>
      <w:numFmt w:val="decimal"/>
      <w:start w:val="2"/>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1)"/>
      <w:numFmt w:val="decimal"/>
      <w:start w:val="1"/>
    </w:lvl>
  </w:abstractNum>
  <w:abstractNum w:abstractNumId="24">
    <w:nsid w:val="57E4CCAF"/>
    <w:multiLevelType w:val="hybridMultilevel"/>
    <w:lvl w:ilvl="0">
      <w:lvlJc w:val="left"/>
      <w:lvlText w:val="(%1)"/>
      <w:numFmt w:val="decimal"/>
      <w:start w:val="1"/>
    </w:lvl>
  </w:abstractNum>
  <w:abstractNum w:abstractNumId="25">
    <w:nsid w:val="7A6D8D3C"/>
    <w:multiLevelType w:val="hybridMultilevel"/>
    <w:lvl w:ilvl="0">
      <w:lvlJc w:val="left"/>
      <w:lvlText w:val="(%1)"/>
      <w:numFmt w:val="decimal"/>
      <w:start w:val="3"/>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1)"/>
      <w:numFmt w:val="decimal"/>
      <w:start w:val="5"/>
    </w:lvl>
  </w:abstractNum>
  <w:abstractNum w:abstractNumId="28">
    <w:nsid w:val="6DE91B18"/>
    <w:multiLevelType w:val="hybridMultilevel"/>
    <w:lvl w:ilvl="0">
      <w:lvlJc w:val="left"/>
      <w:lvlText w:val="(%1)"/>
      <w:numFmt w:val="decimal"/>
      <w:start w:val="1"/>
    </w:lvl>
  </w:abstractNum>
  <w:abstractNum w:abstractNumId="29">
    <w:nsid w:val="38437FDB"/>
    <w:multiLevelType w:val="hybridMultilevel"/>
    <w:lvl w:ilvl="0">
      <w:lvlJc w:val="left"/>
      <w:lvlText w:val="\emdash "/>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lvl w:ilvl="1">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lvl w:ilvl="1">
      <w:lvlJc w:val="left"/>
      <w:lvlText w:val="◦"/>
      <w:numFmt w:val="bullet"/>
      <w:start w:val="1"/>
    </w:lvl>
  </w:abstractNum>
  <w:abstractNum w:abstractNumId="39">
    <w:nsid w:val="12E685FB"/>
    <w:multiLevelType w:val="hybridMultilevel"/>
    <w:lvl w:ilvl="0">
      <w:lvlJc w:val="left"/>
      <w:lvlText w:val="•"/>
      <w:numFmt w:val="bullet"/>
      <w:start w:val="1"/>
    </w:lvl>
    <w:lvl w:ilvl="1">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lvl w:ilvl="1">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lvl w:ilvl="1">
      <w:lvlJc w:val="left"/>
      <w:lvlText w:val="◦"/>
      <w:numFmt w:val="bullet"/>
      <w:start w:val="1"/>
    </w:lvl>
  </w:abstractNum>
  <w:abstractNum w:abstractNumId="44">
    <w:nsid w:val="23F9C13C"/>
    <w:multiLevelType w:val="hybridMultilevel"/>
    <w:lvl w:ilvl="0">
      <w:lvlJc w:val="left"/>
      <w:lvlText w:val="•"/>
      <w:numFmt w:val="bullet"/>
      <w:start w:val="1"/>
    </w:lvl>
    <w:lvl w:ilvl="1">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lvl w:ilvl="1">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1)"/>
      <w:numFmt w:val="decimal"/>
      <w:start w:val="1"/>
    </w:lvl>
  </w:abstractNum>
  <w:abstractNum w:abstractNumId="51">
    <w:nsid w:val="47398C89"/>
    <w:multiLevelType w:val="hybridMultilevel"/>
    <w:lvl w:ilvl="0">
      <w:lvlJc w:val="left"/>
      <w:lvlText w:val="(%1)"/>
      <w:numFmt w:val="decimal"/>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1)"/>
      <w:numFmt w:val="decimal"/>
      <w:start w:val="1"/>
    </w:lvl>
  </w:abstractNum>
  <w:abstractNum w:abstractNumId="54">
    <w:nsid w:val="741226BB"/>
    <w:multiLevelType w:val="hybridMultilevel"/>
    <w:lvl w:ilvl="0">
      <w:lvlJc w:val="left"/>
      <w:lvlText w:val="(%1)"/>
      <w:numFmt w:val="decimal"/>
      <w:start w:val="1"/>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1)"/>
      <w:numFmt w:val="decimal"/>
      <w:start w:val="1"/>
    </w:lvl>
  </w:abstractNum>
  <w:abstractNum w:abstractNumId="62">
    <w:nsid w:val="310C50B3"/>
    <w:multiLevelType w:val="hybridMultilevel"/>
    <w:lvl w:ilvl="0">
      <w:lvlJc w:val="left"/>
      <w:lvlText w:val="(%1)"/>
      <w:numFmt w:val="decimal"/>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2023-05-09T15:52:38Z</dcterms:created>
  <dcterms:modified xsi:type="dcterms:W3CDTF">2023-05-09T15:52:38Z</dcterms:modified>
</cp:coreProperties>
</file>